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2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2.xml" ContentType="application/vnd.openxmlformats-officedocument.wordprocessingml.header+xml"/>
  <Override PartName="/word/footer4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35.xml" ContentType="application/vnd.openxmlformats-officedocument.wordprocessingml.header+xml"/>
  <Override PartName="/word/footer44.xml" ContentType="application/vnd.openxmlformats-officedocument.wordprocessingml.footer+xml"/>
  <Override PartName="/word/header36.xml" ContentType="application/vnd.openxmlformats-officedocument.wordprocessingml.header+xml"/>
  <Override PartName="/word/footer4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flation Report" w:id="1"/>
      <w:bookmarkEnd w:id="1"/>
      <w:r>
        <w:rPr>
          <w:b w:val="0"/>
        </w:rPr>
      </w:r>
      <w:r>
        <w:rPr>
          <w:color w:val="009483"/>
        </w:rPr>
        <w:t>Inflation Report</w:t>
      </w:r>
    </w:p>
    <w:p>
      <w:pPr>
        <w:spacing w:before="711"/>
        <w:ind w:left="5000" w:right="0" w:firstLine="0"/>
        <w:jc w:val="left"/>
        <w:rPr>
          <w:b/>
          <w:sz w:val="40"/>
        </w:rPr>
      </w:pPr>
      <w:r>
        <w:rPr>
          <w:b/>
          <w:color w:val="009483"/>
          <w:sz w:val="40"/>
        </w:rPr>
        <w:t>February 1998</w:t>
      </w:r>
    </w:p>
    <w:p>
      <w:pPr>
        <w:pStyle w:val="BodyText"/>
        <w:rPr>
          <w:b/>
          <w:sz w:val="44"/>
        </w:rPr>
      </w:pPr>
    </w:p>
    <w:p>
      <w:pPr>
        <w:pStyle w:val="Heading5"/>
        <w:spacing w:line="242" w:lineRule="auto" w:before="303"/>
        <w:ind w:right="201"/>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a dual purpose.</w:t>
      </w:r>
      <w:r>
        <w:rPr>
          <w:color w:val="231F20"/>
          <w:spacing w:val="56"/>
        </w:rPr>
        <w:t> </w:t>
      </w:r>
      <w:r>
        <w:rPr>
          <w:color w:val="231F20"/>
        </w:rPr>
        <w:t>First,</w:t>
      </w:r>
    </w:p>
    <w:p>
      <w:pPr>
        <w:spacing w:before="4"/>
        <w:ind w:left="5000" w:right="0" w:firstLine="0"/>
        <w:jc w:val="left"/>
        <w:rPr>
          <w:sz w:val="24"/>
        </w:rPr>
      </w:pPr>
      <w:r>
        <w:rPr>
          <w:color w:val="231F20"/>
          <w:sz w:val="24"/>
        </w:rPr>
        <w:t>its preparation provides a comprehensive and</w:t>
      </w:r>
    </w:p>
    <w:p>
      <w:pPr>
        <w:spacing w:line="242" w:lineRule="auto" w:before="4"/>
        <w:ind w:left="5000" w:right="201" w:firstLine="0"/>
        <w:jc w:val="left"/>
        <w:rPr>
          <w:sz w:val="24"/>
        </w:rPr>
      </w:pPr>
      <w:r>
        <w:rPr>
          <w:color w:val="231F20"/>
          <w:sz w:val="24"/>
        </w:rPr>
        <w:t>forward-looking framework for discussion among MPC members as an aide to our decision making. Second, its publication allows us to share our thinking and explain the reasons for our decisions to those whom they affect.</w:t>
      </w:r>
    </w:p>
    <w:p>
      <w:pPr>
        <w:pStyle w:val="BodyText"/>
        <w:spacing w:before="9"/>
        <w:rPr>
          <w:sz w:val="24"/>
        </w:rPr>
      </w:pPr>
    </w:p>
    <w:p>
      <w:pPr>
        <w:spacing w:line="242" w:lineRule="auto" w:before="0"/>
        <w:ind w:left="5000" w:right="201" w:firstLine="0"/>
        <w:jc w:val="left"/>
        <w:rPr>
          <w:sz w:val="24"/>
        </w:rPr>
      </w:pPr>
      <w:r>
        <w:rPr>
          <w:color w:val="231F20"/>
          <w:sz w:val="24"/>
        </w:rPr>
        <w:t>The forecasts incorporate MPC views on the assumptions that shape the medium-term outlook for the UK economy and on the uncertainties and risks that surround it. Not every MPC member will agree with every assumption, but the ‘fan charts’ that result from this process encompass the views of all members.</w:t>
      </w:r>
    </w:p>
    <w:p>
      <w:pPr>
        <w:pStyle w:val="BodyText"/>
        <w:rPr>
          <w:sz w:val="25"/>
        </w:rPr>
      </w:pPr>
    </w:p>
    <w:p>
      <w:pPr>
        <w:spacing w:line="242" w:lineRule="auto" w:before="0"/>
        <w:ind w:left="5000" w:right="187" w:firstLine="0"/>
        <w:jc w:val="left"/>
        <w:rPr>
          <w:sz w:val="24"/>
        </w:rPr>
      </w:pPr>
      <w:r>
        <w:rPr>
          <w:color w:val="231F20"/>
          <w:sz w:val="24"/>
        </w:rPr>
        <w:t>We wish to acknowledge the outstanding technical ability and dedication of staff across the Bank whose efforts combine in the production of this </w:t>
      </w:r>
      <w:r>
        <w:rPr>
          <w:i/>
          <w:color w:val="231F20"/>
          <w:sz w:val="24"/>
        </w:rPr>
        <w:t>Report</w:t>
      </w:r>
      <w:r>
        <w:rPr>
          <w:color w:val="231F20"/>
          <w:sz w:val="24"/>
        </w:rPr>
        <w:t>. Our thanks go especially to the Monetary Analysis Divisions which bear the brunt of translating our wide-ranging discussions into clear forecasts.</w:t>
      </w:r>
    </w:p>
    <w:p>
      <w:pPr>
        <w:pStyle w:val="BodyText"/>
        <w:rPr>
          <w:sz w:val="25"/>
        </w:rPr>
      </w:pPr>
    </w:p>
    <w:p>
      <w:pPr>
        <w:spacing w:before="1"/>
        <w:ind w:left="5000" w:right="0" w:firstLine="0"/>
        <w:jc w:val="left"/>
        <w:rPr>
          <w:b/>
          <w:sz w:val="24"/>
        </w:rPr>
      </w:pPr>
      <w:r>
        <w:rPr>
          <w:b/>
          <w:color w:val="231F20"/>
          <w:sz w:val="24"/>
        </w:rPr>
        <w:t>The Monetary Policy Committee</w:t>
      </w:r>
    </w:p>
    <w:p>
      <w:pPr>
        <w:spacing w:before="4"/>
        <w:ind w:left="5000" w:right="0" w:firstLine="0"/>
        <w:jc w:val="left"/>
        <w:rPr>
          <w:sz w:val="24"/>
        </w:rPr>
      </w:pPr>
      <w:r>
        <w:rPr>
          <w:color w:val="231F20"/>
          <w:sz w:val="24"/>
        </w:rPr>
        <w:t>Eddie George (Governor)</w:t>
      </w:r>
    </w:p>
    <w:p>
      <w:pPr>
        <w:spacing w:line="242" w:lineRule="auto" w:before="4"/>
        <w:ind w:left="5000" w:right="1761" w:firstLine="0"/>
        <w:jc w:val="left"/>
        <w:rPr>
          <w:sz w:val="24"/>
        </w:rPr>
      </w:pPr>
      <w:r>
        <w:rPr>
          <w:color w:val="231F20"/>
          <w:sz w:val="24"/>
        </w:rPr>
        <w:t>David Clementi (Deputy Governor) Alan Budd</w:t>
      </w:r>
    </w:p>
    <w:p>
      <w:pPr>
        <w:spacing w:line="242" w:lineRule="auto" w:before="2"/>
        <w:ind w:left="5000" w:right="3920" w:firstLine="0"/>
        <w:jc w:val="left"/>
        <w:rPr>
          <w:sz w:val="24"/>
        </w:rPr>
      </w:pPr>
      <w:r>
        <w:rPr>
          <w:color w:val="231F20"/>
          <w:sz w:val="24"/>
        </w:rPr>
        <w:t>Willem Buiter Charles Goodhart DeAnne Julius Mervyn King</w:t>
      </w:r>
    </w:p>
    <w:p>
      <w:pPr>
        <w:spacing w:before="5"/>
        <w:ind w:left="5000" w:right="0" w:firstLine="0"/>
        <w:jc w:val="left"/>
        <w:rPr>
          <w:sz w:val="24"/>
        </w:rPr>
      </w:pPr>
      <w:r>
        <w:rPr>
          <w:color w:val="231F20"/>
          <w:sz w:val="24"/>
        </w:rPr>
        <w:t>Ian Plenderleith</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2"/>
        </w:rPr>
      </w:pPr>
    </w:p>
    <w:p>
      <w:pPr>
        <w:spacing w:line="182" w:lineRule="exact" w:before="0"/>
        <w:ind w:left="5000" w:right="0" w:firstLine="0"/>
        <w:jc w:val="left"/>
        <w:rPr>
          <w:sz w:val="16"/>
        </w:rPr>
      </w:pPr>
      <w:r>
        <w:rPr>
          <w:color w:val="231F20"/>
          <w:sz w:val="16"/>
        </w:rPr>
        <w:t>Printed by Park Communications Ltd</w:t>
      </w:r>
    </w:p>
    <w:p>
      <w:pPr>
        <w:spacing w:line="235" w:lineRule="auto" w:before="1"/>
        <w:ind w:left="5000" w:right="4014" w:firstLine="0"/>
        <w:jc w:val="left"/>
        <w:rPr>
          <w:sz w:val="16"/>
        </w:rPr>
      </w:pPr>
      <w:r>
        <w:rPr>
          <w:color w:val="231F20"/>
          <w:sz w:val="16"/>
        </w:rPr>
        <w:t>© Bank of England 1998 ISBN 1 85730 121 8</w:t>
      </w:r>
    </w:p>
    <w:p>
      <w:pPr>
        <w:spacing w:line="180" w:lineRule="exact" w:before="0"/>
        <w:ind w:left="5000" w:right="0" w:firstLine="0"/>
        <w:jc w:val="left"/>
        <w:rPr>
          <w:sz w:val="16"/>
        </w:rPr>
      </w:pPr>
      <w:r>
        <w:rPr>
          <w:color w:val="231F20"/>
          <w:sz w:val="16"/>
        </w:rPr>
        <w:t>ISSN 1353–6737</w:t>
      </w:r>
    </w:p>
    <w:p>
      <w:pPr>
        <w:spacing w:after="0" w:line="180" w:lineRule="exact"/>
        <w:jc w:val="left"/>
        <w:rPr>
          <w:sz w:val="16"/>
        </w:rPr>
        <w:sectPr>
          <w:type w:val="continuous"/>
          <w:pgSz w:w="11880" w:h="16840"/>
          <w:pgMar w:top="1200" w:bottom="280" w:left="620" w:right="6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84"/>
        <w:ind w:left="5000" w:right="0" w:firstLine="0"/>
        <w:jc w:val="left"/>
        <w:rPr>
          <w:b/>
          <w:sz w:val="40"/>
        </w:rPr>
      </w:pPr>
      <w:bookmarkStart w:name="Overview" w:id="2"/>
      <w:bookmarkEnd w:id="2"/>
      <w:r>
        <w:rPr/>
      </w:r>
      <w:r>
        <w:rPr>
          <w:b/>
          <w:color w:val="009483"/>
          <w:sz w:val="40"/>
        </w:rPr>
        <w:t>Overview</w:t>
      </w:r>
    </w:p>
    <w:p>
      <w:pPr>
        <w:pStyle w:val="Heading5"/>
        <w:spacing w:line="242" w:lineRule="auto" w:before="377"/>
        <w:ind w:right="154"/>
      </w:pPr>
      <w:r>
        <w:rPr>
          <w:color w:val="231F20"/>
        </w:rPr>
        <w:t>It is almost six years since output reached its trough in the last recession. Since then, output has risen at an average rate of 3% a year and inflation has fallen from almost 5% to below 3% a </w:t>
      </w:r>
      <w:r>
        <w:rPr>
          <w:color w:val="231F20"/>
          <w:spacing w:val="-3"/>
        </w:rPr>
        <w:t>year. </w:t>
      </w:r>
      <w:r>
        <w:rPr>
          <w:color w:val="231F20"/>
        </w:rPr>
        <w:t>The combination of above-trend growth and falling inflation is</w:t>
      </w:r>
      <w:r>
        <w:rPr>
          <w:color w:val="231F20"/>
          <w:spacing w:val="-31"/>
        </w:rPr>
        <w:t> </w:t>
      </w:r>
      <w:r>
        <w:rPr>
          <w:color w:val="231F20"/>
        </w:rPr>
        <w:t>unsustainable, and has probably already come to an end. At this juncture, with output growth likely to fall sharply, monetary policy is more finely balanced than at any point since the inflation target was introduced in</w:t>
      </w:r>
      <w:r>
        <w:rPr>
          <w:color w:val="231F20"/>
          <w:spacing w:val="-6"/>
        </w:rPr>
        <w:t> </w:t>
      </w:r>
      <w:r>
        <w:rPr>
          <w:color w:val="231F20"/>
        </w:rPr>
        <w:t>1992.</w:t>
      </w:r>
    </w:p>
    <w:p>
      <w:pPr>
        <w:spacing w:line="242" w:lineRule="auto" w:before="12"/>
        <w:ind w:left="5000" w:right="473" w:firstLine="0"/>
        <w:jc w:val="both"/>
        <w:rPr>
          <w:sz w:val="24"/>
        </w:rPr>
      </w:pPr>
      <w:r>
        <w:rPr>
          <w:color w:val="231F20"/>
          <w:sz w:val="24"/>
        </w:rPr>
        <w:t>The central issue is whether the existing policy </w:t>
      </w:r>
      <w:r>
        <w:rPr>
          <w:color w:val="231F20"/>
          <w:spacing w:val="-3"/>
          <w:sz w:val="24"/>
        </w:rPr>
        <w:t>stance </w:t>
      </w:r>
      <w:r>
        <w:rPr>
          <w:color w:val="231F20"/>
          <w:sz w:val="24"/>
        </w:rPr>
        <w:t>will slow the economy sufficiently quickly to prevent further upward pressure on earnings growth and retail price inflation.</w:t>
      </w:r>
    </w:p>
    <w:p>
      <w:pPr>
        <w:pStyle w:val="BodyText"/>
        <w:spacing w:before="9"/>
        <w:rPr>
          <w:sz w:val="24"/>
        </w:rPr>
      </w:pPr>
    </w:p>
    <w:p>
      <w:pPr>
        <w:spacing w:line="242" w:lineRule="auto" w:before="0"/>
        <w:ind w:left="5000" w:right="155" w:firstLine="0"/>
        <w:jc w:val="left"/>
        <w:rPr>
          <w:sz w:val="24"/>
        </w:rPr>
      </w:pPr>
      <w:r>
        <w:rPr>
          <w:color w:val="231F20"/>
          <w:sz w:val="24"/>
        </w:rPr>
        <w:t>Monetary policy is currently being pulled in opposite directions. On the one hand, despite the one-off effect of the higher level of sterling on commodity and other import prices, inflation has remained stubbornly above the target of 2</w:t>
      </w:r>
      <w:r>
        <w:rPr>
          <w:color w:val="231F20"/>
          <w:position w:val="8"/>
          <w:sz w:val="12"/>
        </w:rPr>
        <w:t>1</w:t>
      </w:r>
      <w:r>
        <w:rPr>
          <w:color w:val="231F20"/>
          <w:sz w:val="24"/>
        </w:rPr>
        <w:t>/</w:t>
      </w:r>
      <w:r>
        <w:rPr>
          <w:color w:val="231F20"/>
          <w:sz w:val="12"/>
        </w:rPr>
        <w:t>2</w:t>
      </w:r>
      <w:r>
        <w:rPr>
          <w:color w:val="231F20"/>
          <w:sz w:val="24"/>
        </w:rPr>
        <w:t>%. Adjusting for the effects of lower import prices and changes in the terms of trade, which temporarily depress retail price inflation, domestically generated inflation is significantly above the target level. Earnings growth, especially in the private sector, has risen since November and is now at a level which is not easy to reconcile with the inflation target.</w:t>
      </w:r>
    </w:p>
    <w:p>
      <w:pPr>
        <w:pStyle w:val="BodyText"/>
        <w:spacing w:before="6"/>
        <w:rPr>
          <w:sz w:val="25"/>
        </w:rPr>
      </w:pPr>
    </w:p>
    <w:p>
      <w:pPr>
        <w:spacing w:line="242" w:lineRule="auto" w:before="0"/>
        <w:ind w:left="5000" w:right="154" w:firstLine="0"/>
        <w:jc w:val="left"/>
        <w:rPr>
          <w:sz w:val="24"/>
        </w:rPr>
      </w:pPr>
      <w:r>
        <w:rPr>
          <w:color w:val="231F20"/>
          <w:sz w:val="24"/>
        </w:rPr>
        <w:t>On the other hand, the delayed demand effect of the rise in the real exchange rate, accompanied by monetary and fiscal tightening, is likely to slow growth sharply over the coming </w:t>
      </w:r>
      <w:r>
        <w:rPr>
          <w:color w:val="231F20"/>
          <w:spacing w:val="-3"/>
          <w:sz w:val="24"/>
        </w:rPr>
        <w:t>year. </w:t>
      </w:r>
      <w:r>
        <w:rPr>
          <w:color w:val="231F20"/>
          <w:sz w:val="24"/>
        </w:rPr>
        <w:t>Indeed, the preliminary estimate of GDP growth in the fourth quarter of 1997 was, at 0.5%, markedly weaker than expected in the November </w:t>
      </w:r>
      <w:r>
        <w:rPr>
          <w:i/>
          <w:color w:val="231F20"/>
          <w:spacing w:val="-3"/>
          <w:sz w:val="24"/>
        </w:rPr>
        <w:t>Report</w:t>
      </w:r>
      <w:r>
        <w:rPr>
          <w:color w:val="231F20"/>
          <w:spacing w:val="-3"/>
          <w:sz w:val="24"/>
        </w:rPr>
        <w:t>, </w:t>
      </w:r>
      <w:r>
        <w:rPr>
          <w:color w:val="231F20"/>
          <w:sz w:val="24"/>
        </w:rPr>
        <w:t>and suggests that this may already be happening. The imminent slowdown in economic growth will, in due course, reduce the rates of increase of money and nominal demand and, in turn, of earnings and prices.</w:t>
      </w:r>
    </w:p>
    <w:p>
      <w:pPr>
        <w:spacing w:line="242" w:lineRule="auto" w:before="13"/>
        <w:ind w:left="5000" w:right="187" w:firstLine="0"/>
        <w:jc w:val="left"/>
        <w:rPr>
          <w:sz w:val="24"/>
        </w:rPr>
      </w:pPr>
      <w:r>
        <w:rPr>
          <w:color w:val="231F20"/>
          <w:sz w:val="24"/>
        </w:rPr>
        <w:t>The question is whether the timing and magnitude of the slowdown will be sufficient to prevent inflation turning up as the price level effect from the appreciation wears off.</w:t>
      </w:r>
    </w:p>
    <w:p>
      <w:pPr>
        <w:spacing w:after="0" w:line="242" w:lineRule="auto"/>
        <w:jc w:val="left"/>
        <w:rPr>
          <w:sz w:val="24"/>
        </w:rPr>
        <w:sectPr>
          <w:footerReference w:type="even" r:id="rId5"/>
          <w:pgSz w:w="11880" w:h="16840"/>
          <w:pgMar w:footer="597" w:header="0" w:top="760" w:bottom="780" w:left="620" w:right="620"/>
        </w:sectPr>
      </w:pPr>
    </w:p>
    <w:p>
      <w:pPr>
        <w:tabs>
          <w:tab w:pos="10484" w:val="left" w:leader="none"/>
        </w:tabs>
        <w:spacing w:before="82"/>
        <w:ind w:left="145" w:right="0" w:firstLine="0"/>
        <w:jc w:val="left"/>
        <w:rPr>
          <w:sz w:val="16"/>
        </w:rPr>
      </w:pPr>
      <w:r>
        <w:rPr>
          <w:color w:val="231F20"/>
          <w:spacing w:val="-20"/>
          <w:sz w:val="16"/>
          <w:u w:val="single" w:color="231F20"/>
        </w:rPr>
        <w:t> </w:t>
      </w:r>
      <w:r>
        <w:rPr>
          <w:color w:val="231F20"/>
          <w:sz w:val="16"/>
          <w:u w:val="single" w:color="231F20"/>
        </w:rPr>
        <w:t>Inflation Report:  February 1998</w:t>
        <w:tab/>
      </w:r>
    </w:p>
    <w:p>
      <w:pPr>
        <w:pStyle w:val="BodyText"/>
        <w:rPr>
          <w:sz w:val="20"/>
        </w:rPr>
      </w:pPr>
    </w:p>
    <w:p>
      <w:pPr>
        <w:pStyle w:val="Heading5"/>
        <w:spacing w:line="242" w:lineRule="auto" w:before="227"/>
        <w:ind w:left="4980" w:right="160"/>
      </w:pPr>
      <w:r>
        <w:rPr>
          <w:color w:val="231F20"/>
        </w:rPr>
        <w:t>The scale of the slowdown depends, in part, on the behaviour of net trade. There are two major depressing factors on trade. First, the effective exchange rate is about 25% higher than eighteen months ago. The impact of this appreciation on both export and import volumes is now starting to come through. This has coincided, </w:t>
      </w:r>
      <w:r>
        <w:rPr>
          <w:color w:val="231F20"/>
          <w:spacing w:val="-4"/>
        </w:rPr>
        <w:t>however, </w:t>
      </w:r>
      <w:r>
        <w:rPr>
          <w:color w:val="231F20"/>
        </w:rPr>
        <w:t>with recent surveys becoming less uniformly pessimistic about future export growth. Second, the crisis in Asia is likely to depress domestic demand in that region, with significant effects on world trade and output. </w:t>
      </w:r>
      <w:r>
        <w:rPr>
          <w:color w:val="231F20"/>
          <w:spacing w:val="-4"/>
        </w:rPr>
        <w:t>Taking </w:t>
      </w:r>
      <w:r>
        <w:rPr>
          <w:color w:val="231F20"/>
        </w:rPr>
        <w:t>into account the anticipated monetary policy response in the industrialised world, as reflected in the almost 50 basis point fall in market expectations </w:t>
      </w:r>
      <w:r>
        <w:rPr>
          <w:color w:val="231F20"/>
          <w:spacing w:val="-8"/>
        </w:rPr>
        <w:t>of </w:t>
      </w:r>
      <w:r>
        <w:rPr>
          <w:color w:val="231F20"/>
        </w:rPr>
        <w:t>short-term interest rates, the impact on output growth in the industrialised world in 1998 is likely to be of the order of half a percentage point. The impact on growth in Europe will, if anything, be slightly smaller. Hence, the larger of the two effects on UK net trade is likely to come from the higher value of</w:t>
      </w:r>
      <w:r>
        <w:rPr>
          <w:color w:val="231F20"/>
          <w:spacing w:val="-2"/>
        </w:rPr>
        <w:t> </w:t>
      </w:r>
      <w:r>
        <w:rPr>
          <w:color w:val="231F20"/>
        </w:rPr>
        <w:t>sterling.</w:t>
      </w:r>
    </w:p>
    <w:p>
      <w:pPr>
        <w:pStyle w:val="BodyText"/>
        <w:spacing w:before="11"/>
        <w:rPr>
          <w:sz w:val="29"/>
        </w:rPr>
      </w:pPr>
    </w:p>
    <w:p>
      <w:pPr>
        <w:spacing w:line="242" w:lineRule="auto" w:before="0"/>
        <w:ind w:left="4980" w:right="0" w:firstLine="0"/>
        <w:jc w:val="left"/>
        <w:rPr>
          <w:sz w:val="24"/>
        </w:rPr>
      </w:pPr>
      <w:r>
        <w:rPr>
          <w:color w:val="231F20"/>
          <w:sz w:val="24"/>
        </w:rPr>
        <w:t>Net trade is weakening, but domestic demand growth is projected to decline only gradually towards trend.</w:t>
      </w:r>
    </w:p>
    <w:p>
      <w:pPr>
        <w:spacing w:line="242" w:lineRule="auto" w:before="3"/>
        <w:ind w:left="4980" w:right="201" w:firstLine="0"/>
        <w:jc w:val="left"/>
        <w:rPr>
          <w:sz w:val="24"/>
        </w:rPr>
      </w:pPr>
      <w:r>
        <w:rPr>
          <w:color w:val="231F20"/>
          <w:sz w:val="24"/>
        </w:rPr>
        <w:t>Although consumption will not be supported by substantial windfall gains this year, and will be affected by past monetary and fiscal tightening, its main determinants—personal sector wealth and labour income—have continued to rise rapidly in real terms.</w:t>
      </w:r>
    </w:p>
    <w:p>
      <w:pPr>
        <w:spacing w:line="242" w:lineRule="auto" w:before="6"/>
        <w:ind w:left="4980" w:right="293" w:firstLine="0"/>
        <w:jc w:val="left"/>
        <w:rPr>
          <w:sz w:val="24"/>
        </w:rPr>
      </w:pPr>
      <w:r>
        <w:rPr>
          <w:color w:val="231F20"/>
          <w:sz w:val="24"/>
        </w:rPr>
        <w:t>Broad money growth also, despite moderating slightly, still poses upside risks to nominal demand and inflation over the next two years.</w:t>
      </w:r>
    </w:p>
    <w:p>
      <w:pPr>
        <w:pStyle w:val="BodyText"/>
        <w:spacing w:before="2"/>
        <w:rPr>
          <w:sz w:val="28"/>
        </w:rPr>
      </w:pPr>
    </w:p>
    <w:p>
      <w:pPr>
        <w:spacing w:line="242" w:lineRule="auto" w:before="0"/>
        <w:ind w:left="4980" w:right="0" w:firstLine="0"/>
        <w:jc w:val="left"/>
        <w:rPr>
          <w:sz w:val="24"/>
        </w:rPr>
      </w:pPr>
      <w:r>
        <w:rPr>
          <w:color w:val="231F20"/>
          <w:sz w:val="24"/>
        </w:rPr>
        <w:t>The combination of sharply weakening net trade and slowly declining, but above-trend, domestic demand growth will determine whether capacity constraints ease sufficiently rapidly to reduce inflationary pressures.</w:t>
      </w:r>
    </w:p>
    <w:p>
      <w:pPr>
        <w:spacing w:line="242" w:lineRule="auto" w:before="5"/>
        <w:ind w:left="4980" w:right="201" w:firstLine="0"/>
        <w:jc w:val="left"/>
        <w:rPr>
          <w:sz w:val="24"/>
        </w:rPr>
      </w:pPr>
      <w:r>
        <w:rPr>
          <w:color w:val="231F20"/>
          <w:sz w:val="24"/>
        </w:rPr>
        <w:t>Such constraints can be seen in the labour market. The substantial fall in unemployment, and high levels of reported skill shortages, are evidence of continuing tightening in the labour market. The implications for inflation depend on how far this tightening will lead to higher earnings growth and wage settlements. Earnings growth rose by half a percentage point over the past quarter, and private sector earnings growth is now over 5%. Ultimately, slower growth will ease labour market pressures and push earnings growth down. In the meantime, if the inflation target is to be met, any further rise in earnings growth would have to be absorbed by lower profits.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spacing w:before="93"/>
        <w:ind w:left="185" w:right="0" w:firstLine="0"/>
        <w:jc w:val="left"/>
        <w:rPr>
          <w:sz w:val="16"/>
        </w:rPr>
      </w:pPr>
      <w:r>
        <w:rPr>
          <w:color w:val="231F20"/>
          <w:sz w:val="16"/>
        </w:rPr>
        <w:t>ii</w:t>
      </w:r>
    </w:p>
    <w:p>
      <w:pPr>
        <w:spacing w:after="0"/>
        <w:jc w:val="left"/>
        <w:rPr>
          <w:sz w:val="16"/>
        </w:rPr>
        <w:sectPr>
          <w:footerReference w:type="default" r:id="rId6"/>
          <w:pgSz w:w="11880" w:h="16840"/>
          <w:pgMar w:footer="0" w:header="0" w:top="500" w:bottom="280" w:left="620" w:right="620"/>
        </w:sectPr>
      </w:pPr>
    </w:p>
    <w:p>
      <w:pPr>
        <w:spacing w:before="82"/>
        <w:ind w:left="0" w:right="157" w:firstLine="0"/>
        <w:jc w:val="right"/>
        <w:rPr>
          <w:i/>
          <w:sz w:val="16"/>
        </w:rPr>
      </w:pPr>
      <w:r>
        <w:rPr>
          <w:i/>
          <w:color w:val="231F20"/>
          <w:sz w:val="16"/>
        </w:rPr>
        <w:t>Overview</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footerReference w:type="even" r:id="rId7"/>
          <w:pgSz w:w="11880" w:h="16840"/>
          <w:pgMar w:footer="597" w:header="0" w:top="500" w:bottom="780" w:left="620" w:right="620"/>
        </w:sectPr>
      </w:pPr>
    </w:p>
    <w:p>
      <w:pPr>
        <w:pStyle w:val="BodyText"/>
        <w:rPr>
          <w:i/>
        </w:rPr>
      </w:pPr>
    </w:p>
    <w:p>
      <w:pPr>
        <w:pStyle w:val="Heading9"/>
        <w:spacing w:before="0"/>
        <w:ind w:left="190"/>
      </w:pPr>
      <w:r>
        <w:rPr>
          <w:color w:val="0093C1"/>
        </w:rPr>
        <w:t>Chart 1</w:t>
      </w:r>
    </w:p>
    <w:p>
      <w:pPr>
        <w:spacing w:before="10"/>
        <w:ind w:left="190" w:right="0" w:firstLine="0"/>
        <w:jc w:val="left"/>
        <w:rPr>
          <w:b/>
          <w:sz w:val="20"/>
        </w:rPr>
      </w:pPr>
      <w:r>
        <w:rPr>
          <w:b/>
          <w:color w:val="0093C1"/>
          <w:sz w:val="20"/>
        </w:rPr>
        <w:t>Current GDP projection</w:t>
      </w:r>
    </w:p>
    <w:p>
      <w:pPr>
        <w:pStyle w:val="BodyText"/>
        <w:spacing w:before="10"/>
        <w:rPr>
          <w:b/>
          <w:sz w:val="21"/>
        </w:rPr>
      </w:pPr>
    </w:p>
    <w:p>
      <w:pPr>
        <w:spacing w:before="0"/>
        <w:ind w:left="1243" w:right="0" w:firstLine="0"/>
        <w:jc w:val="left"/>
        <w:rPr>
          <w:sz w:val="12"/>
        </w:rPr>
      </w:pPr>
      <w:r>
        <w:rPr/>
        <w:pict>
          <v:line style="position:absolute;mso-position-horizontal-relative:page;mso-position-vertical-relative:paragraph;z-index:-20353024" from="204.049997pt,8.185982pt" to="199.449997pt,8.185982pt" stroked="true" strokeweight=".5pt" strokecolor="#000000">
            <v:stroke dashstyle="solid"/>
            <w10:wrap type="none"/>
          </v:line>
        </w:pict>
      </w:r>
      <w:r>
        <w:rPr/>
        <w:pict>
          <v:line style="position:absolute;mso-position-horizontal-relative:page;mso-position-vertical-relative:paragraph;z-index:15737344" from="51.800001pt,7.935982pt" to="47.200001pt,7.935982pt" stroked="true" strokeweight=".5pt" strokecolor="#000000">
            <v:stroke dashstyle="solid"/>
            <w10:wrap type="none"/>
          </v:line>
        </w:pict>
      </w:r>
      <w:r>
        <w:rPr>
          <w:sz w:val="12"/>
        </w:rPr>
        <w:t>Percentage increase in output on a year earlier </w:t>
      </w:r>
      <w:r>
        <w:rPr>
          <w:position w:val="-7"/>
          <w:sz w:val="12"/>
        </w:rPr>
        <w:t>6</w:t>
      </w:r>
    </w:p>
    <w:p>
      <w:pPr>
        <w:pStyle w:val="BodyText"/>
        <w:spacing w:before="6"/>
        <w:rPr>
          <w:sz w:val="25"/>
        </w:rPr>
      </w:pPr>
    </w:p>
    <w:p>
      <w:pPr>
        <w:spacing w:before="0"/>
        <w:ind w:left="0" w:right="38" w:firstLine="0"/>
        <w:jc w:val="right"/>
        <w:rPr>
          <w:sz w:val="12"/>
        </w:rPr>
      </w:pPr>
      <w:r>
        <w:rPr/>
        <w:pict>
          <v:group style="position:absolute;margin-left:46.700001pt;margin-top:1.80457pt;width:157.6pt;height:110.3pt;mso-position-horizontal-relative:page;mso-position-vertical-relative:paragraph;z-index:15735808" coordorigin="934,36" coordsize="3152,2206">
            <v:shape style="position:absolute;left:2873;top:36;width:1066;height:2206" coordorigin="2874,36" coordsize="1066,2206" path="m3939,36l3821,207,3703,404,3584,643,3466,814,3347,931,3229,1018,3111,915,2992,752,2874,844,2992,1037,3111,1483,3229,1870,3347,2067,3466,2235,3584,2241,3703,2180,3821,2161,3939,2167,3939,36xe" filled="true" fillcolor="#dbeae4" stroked="false">
              <v:path arrowok="t"/>
              <v:fill type="solid"/>
            </v:shape>
            <v:shape style="position:absolute;left:2873;top:273;width:1066;height:1810" coordorigin="2874,274" coordsize="1066,1810" path="m3939,274l3821,426,3703,604,3584,823,3466,976,3347,1062,3229,1119,3111,985,2992,792,2874,853,2992,1014,3111,1428,3229,1783,3347,1948,3466,2084,3584,2070,3703,1988,3821,1949,3939,1936,3939,274xe" filled="true" fillcolor="#bfdbcf" stroked="false">
              <v:path arrowok="t"/>
              <v:fill type="solid"/>
            </v:shape>
            <v:shape style="position:absolute;left:2873;top:428;width:1066;height:1544" coordorigin="2874,429" coordsize="1066,1544" path="m3939,429l3821,567,3703,731,3584,937,3466,1076,3347,1142,3229,1178,3111,1024,2992,811,2874,852,2992,990,3111,1383,3229,1716,3347,1859,3466,1972,3584,1946,3703,1852,3821,1800,3939,1773,3939,429xe" filled="true" fillcolor="#a4cdbd" stroked="false">
              <v:path arrowok="t"/>
              <v:fill type="solid"/>
            </v:shape>
            <v:shape style="position:absolute;left:2873;top:550;width:1066;height:1337" coordorigin="2874,551" coordsize="1066,1337" path="m3939,551l3821,680,3703,834,3584,1031,3466,1159,3347,1209,3229,1228,3111,1057,2992,827,2874,851,2992,973,3111,1348,3229,1664,3347,1790,3466,1887,3584,1849,3703,1743,3821,1680,3939,1642,3939,551xe" filled="true" fillcolor="#8abfab" stroked="false">
              <v:path arrowok="t"/>
              <v:fill type="solid"/>
            </v:shape>
            <v:shape style="position:absolute;left:2873;top:646;width:1066;height:1159" coordorigin="2874,647" coordsize="1066,1159" path="m3939,647l3821,767,3703,913,3584,1101,3466,1222,3347,1257,3229,1263,3111,1079,2992,835,2874,846,2992,952,3111,1312,3229,1614,3347,1724,3466,1806,3584,1758,3703,1643,3821,1570,3939,1522,3939,647xe" filled="true" fillcolor="#6fb39a" stroked="false">
              <v:path arrowok="t"/>
              <v:fill type="solid"/>
            </v:shape>
            <v:shape style="position:absolute;left:2873;top:747;width:1066;height:998" coordorigin="2874,747" coordsize="1066,998" path="m3939,747l3821,859,3703,997,3584,1176,3466,1288,3347,1311,3229,1305,3111,1107,2992,851,2874,849,2992,943,3111,1290,3229,1579,3347,1677,3466,1745,3584,1689,3703,1565,3821,1484,3939,1428,3939,747xe" filled="true" fillcolor="#53a78b" stroked="false">
              <v:path arrowok="t"/>
              <v:fill type="solid"/>
            </v:shape>
            <v:shape style="position:absolute;left:2873;top:828;width:1066;height:850" coordorigin="2874,829" coordsize="1066,850" path="m3939,829l3821,934,3703,1066,3584,1239,3466,1345,3347,1356,3229,1337,3111,1128,2992,860,2874,846,2992,927,3111,1262,3229,1537,3347,1623,3466,1679,3584,1615,3703,1484,3821,1395,3939,1332,3939,829xe" filled="true" fillcolor="#309d7d" stroked="false">
              <v:path arrowok="t"/>
              <v:fill type="solid"/>
            </v:shape>
            <v:shape style="position:absolute;left:2863;top:846;width:1076;height:781" coordorigin="2864,847" coordsize="1076,781" path="m3939,914l3929,923,3929,921,3811,1019,3693,1143,3574,1309,3464,1401,3347,1401,3229,1371,3111,1151,2992,872,2874,847,2898,861,2864,853,2982,923,3101,1246,3219,1510,3337,1583,3456,1627,3574,1556,3575,1555,3584,1550,3703,1411,3818,1318,3929,1251,3929,1250,3939,1244,3939,914xe" filled="true" fillcolor="#00936f" stroked="false">
              <v:path arrowok="t"/>
              <v:fill type="solid"/>
            </v:shape>
            <v:shape style="position:absolute;left:2873;top:849;width:1066;height:715" coordorigin="2874,850" coordsize="1066,715" path="m2874,850l2992,907,3111,1218,3229,1470,3347,1532,3466,1564,3584,1487,3703,1342,3821,1240,3939,1163,3939,998,3821,1089,3703,1205,3584,1363,3466,1454,3347,1444,3229,1404,3111,1174,2992,885,2874,850xe" filled="true" fillcolor="#008256" stroked="false">
              <v:path arrowok="t"/>
              <v:fill type="solid"/>
            </v:shape>
            <v:shape style="position:absolute;left:1089;top:90;width:237;height:589" coordorigin="1089,90" coordsize="237,589" path="m1208,277l1089,679m1326,90l1208,277e" filled="false" stroked="true" strokeweight="1pt" strokecolor="#008256">
              <v:path arrowok="t"/>
              <v:stroke dashstyle="solid"/>
            </v:shape>
            <v:line style="position:absolute" from="1316,92" to="1454,92" stroked="true" strokeweight="1.195pt" strokecolor="#008256">
              <v:stroke dashstyle="solid"/>
            </v:line>
            <v:shape style="position:absolute;left:1444;top:94;width:2487;height:1418" coordorigin="1444,94" coordsize="2487,1418" path="m1563,486l1444,94m1681,970l1563,486m1800,1286l1681,970m1918,1326l1800,1286m2036,1262l1918,1326m2155,1132l2036,1262m2273,1095l2155,1132m2392,917l2273,1095m2510,940l2392,917m2628,700l2510,940m2747,603l2628,700m2865,852l2747,603m2984,899l2865,852m3102,1199l2984,899m3220,1440l3102,1199m3339,1491l3220,1440m3457,1512l3339,1491m3576,1427l3457,1512m3694,1275l3576,1427m3812,1165l3694,1275m3931,1081l3812,1165e" filled="false" stroked="true" strokeweight="1pt" strokecolor="#008256">
              <v:path arrowok="t"/>
              <v:stroke dashstyle="solid"/>
            </v:shape>
            <v:shape style="position:absolute;left:934;top:73;width:3152;height:2114" coordorigin="934,74" coordsize="3152,2114" path="m1033,1762l941,1762m1038,1339l946,1339m1038,915l946,915m1033,487l941,487m1043,74l951,74m4076,1762l3984,1762m4081,1337l3989,1337m4081,2187l3989,2187m4086,912l3994,912m4081,487l3989,487m4081,77l3989,77m1026,2182l934,2182e" filled="false" stroked="true" strokeweight=".5pt" strokecolor="#000000">
              <v:path arrowok="t"/>
              <v:stroke dashstyle="solid"/>
            </v:shape>
            <v:line style="position:absolute" from="1100,2182" to="3933,2182" stroked="true" strokeweight=".5pt" strokecolor="#000000">
              <v:stroke dashstyle="solid"/>
            </v:line>
            <w10:wrap type="none"/>
          </v:group>
        </w:pict>
      </w:r>
      <w:r>
        <w:rPr>
          <w:sz w:val="12"/>
        </w:rPr>
        <w:t>5</w:t>
      </w:r>
    </w:p>
    <w:p>
      <w:pPr>
        <w:pStyle w:val="BodyText"/>
        <w:rPr>
          <w:sz w:val="12"/>
        </w:rPr>
      </w:pPr>
    </w:p>
    <w:p>
      <w:pPr>
        <w:pStyle w:val="BodyText"/>
        <w:spacing w:before="1"/>
        <w:rPr>
          <w:sz w:val="12"/>
        </w:rPr>
      </w:pPr>
    </w:p>
    <w:p>
      <w:pPr>
        <w:spacing w:before="0"/>
        <w:ind w:left="0" w:right="38" w:firstLine="0"/>
        <w:jc w:val="right"/>
        <w:rPr>
          <w:sz w:val="12"/>
        </w:rPr>
      </w:pPr>
      <w:r>
        <w:rPr>
          <w:sz w:val="12"/>
        </w:rPr>
        <w:t>4</w:t>
      </w:r>
    </w:p>
    <w:p>
      <w:pPr>
        <w:pStyle w:val="BodyText"/>
        <w:rPr>
          <w:sz w:val="12"/>
        </w:rPr>
      </w:pPr>
    </w:p>
    <w:p>
      <w:pPr>
        <w:pStyle w:val="BodyText"/>
        <w:rPr>
          <w:sz w:val="13"/>
        </w:rPr>
      </w:pPr>
    </w:p>
    <w:p>
      <w:pPr>
        <w:spacing w:before="0"/>
        <w:ind w:left="0" w:right="38" w:firstLine="0"/>
        <w:jc w:val="right"/>
        <w:rPr>
          <w:sz w:val="12"/>
        </w:rPr>
      </w:pPr>
      <w:r>
        <w:rPr>
          <w:sz w:val="12"/>
        </w:rPr>
        <w:t>3</w:t>
      </w:r>
    </w:p>
    <w:p>
      <w:pPr>
        <w:pStyle w:val="BodyText"/>
        <w:rPr>
          <w:sz w:val="12"/>
        </w:rPr>
      </w:pPr>
    </w:p>
    <w:p>
      <w:pPr>
        <w:pStyle w:val="BodyText"/>
        <w:spacing w:before="1"/>
        <w:rPr>
          <w:sz w:val="12"/>
        </w:rPr>
      </w:pPr>
    </w:p>
    <w:p>
      <w:pPr>
        <w:spacing w:before="0"/>
        <w:ind w:left="0" w:right="38" w:firstLine="0"/>
        <w:jc w:val="right"/>
        <w:rPr>
          <w:sz w:val="12"/>
        </w:rPr>
      </w:pPr>
      <w:r>
        <w:rPr>
          <w:sz w:val="12"/>
        </w:rPr>
        <w:t>2</w:t>
      </w:r>
    </w:p>
    <w:p>
      <w:pPr>
        <w:pStyle w:val="BodyText"/>
        <w:rPr>
          <w:sz w:val="12"/>
        </w:rPr>
      </w:pPr>
    </w:p>
    <w:p>
      <w:pPr>
        <w:pStyle w:val="BodyText"/>
        <w:spacing w:before="6"/>
        <w:rPr>
          <w:sz w:val="12"/>
        </w:rPr>
      </w:pPr>
    </w:p>
    <w:p>
      <w:pPr>
        <w:spacing w:before="0"/>
        <w:ind w:left="0" w:right="38" w:firstLine="0"/>
        <w:jc w:val="right"/>
        <w:rPr>
          <w:sz w:val="12"/>
        </w:rPr>
      </w:pPr>
      <w:r>
        <w:rPr>
          <w:sz w:val="12"/>
        </w:rPr>
        <w:t>1</w:t>
      </w:r>
    </w:p>
    <w:p>
      <w:pPr>
        <w:spacing w:before="49"/>
        <w:ind w:left="0" w:right="62" w:firstLine="0"/>
        <w:jc w:val="right"/>
        <w:rPr>
          <w:sz w:val="16"/>
        </w:rPr>
      </w:pPr>
      <w:r>
        <w:rPr>
          <w:sz w:val="16"/>
        </w:rPr>
        <w:t>+</w:t>
      </w:r>
    </w:p>
    <w:p>
      <w:pPr>
        <w:spacing w:before="69"/>
        <w:ind w:left="0" w:right="38" w:firstLine="0"/>
        <w:jc w:val="right"/>
        <w:rPr>
          <w:sz w:val="12"/>
        </w:rPr>
      </w:pPr>
      <w:r>
        <w:rPr>
          <w:sz w:val="12"/>
        </w:rPr>
        <w:t>0</w:t>
      </w:r>
    </w:p>
    <w:p>
      <w:pPr>
        <w:spacing w:before="9"/>
        <w:ind w:left="0" w:right="64" w:firstLine="0"/>
        <w:jc w:val="right"/>
        <w:rPr>
          <w:sz w:val="16"/>
        </w:rPr>
      </w:pPr>
      <w:r>
        <w:rPr>
          <w:sz w:val="16"/>
        </w:rPr>
        <w:t>–</w:t>
      </w:r>
    </w:p>
    <w:p>
      <w:pPr>
        <w:spacing w:line="136" w:lineRule="exact" w:before="84"/>
        <w:ind w:left="3510" w:right="0" w:firstLine="0"/>
        <w:jc w:val="left"/>
        <w:rPr>
          <w:sz w:val="12"/>
        </w:rPr>
      </w:pPr>
      <w:r>
        <w:rPr/>
        <w:pict>
          <v:shape style="position:absolute;margin-left:46.450001pt;margin-top:2.958753pt;width:157.35pt;height:5.9pt;mso-position-horizontal-relative:page;mso-position-vertical-relative:paragraph;z-index:15736320" coordorigin="929,59" coordsize="3147,118" path="m1092,173l3937,173m1083,165l1083,66m1202,173l1202,99m1320,173l1320,99m1439,173l1439,99m1557,170l1557,66m1675,173l1675,99m1794,173l1794,99m1912,173l1912,99m2031,165l2031,66m2149,173l2149,99m2267,173l2267,99m2386,173l2386,99m2504,165l2504,71m2623,173l2623,99m2741,173l2741,99m2859,173l2859,99m2978,170l2978,66m3096,173l3096,99m3215,173l3215,99m3333,173l3333,99m3451,162l3451,63m3570,173l3570,99m3688,173l3688,99m3807,167l3807,103m3928,177l3928,59m4076,171l3984,171m1021,166l929,166e" filled="false" stroked="true" strokeweight=".5pt" strokecolor="#000000">
            <v:path arrowok="t"/>
            <v:stroke dashstyle="solid"/>
            <w10:wrap type="none"/>
          </v:shape>
        </w:pict>
      </w:r>
      <w:r>
        <w:rPr>
          <w:sz w:val="12"/>
        </w:rPr>
        <w:t>1</w:t>
      </w:r>
    </w:p>
    <w:p>
      <w:pPr>
        <w:tabs>
          <w:tab w:pos="1119" w:val="left" w:leader="none"/>
          <w:tab w:pos="1603" w:val="left" w:leader="none"/>
          <w:tab w:pos="2031" w:val="left" w:leader="none"/>
          <w:tab w:pos="2526" w:val="left" w:leader="none"/>
          <w:tab w:pos="2988" w:val="left" w:leader="none"/>
        </w:tabs>
        <w:spacing w:line="136" w:lineRule="exact" w:before="0"/>
        <w:ind w:left="573" w:right="0" w:firstLine="0"/>
        <w:jc w:val="left"/>
        <w:rPr>
          <w:sz w:val="12"/>
        </w:rPr>
      </w:pPr>
      <w:r>
        <w:rPr>
          <w:sz w:val="12"/>
        </w:rPr>
        <w:t>1994</w:t>
        <w:tab/>
        <w:t>95</w:t>
        <w:tab/>
        <w:t>96</w:t>
        <w:tab/>
        <w:t>97</w:t>
        <w:tab/>
        <w:t>98</w:t>
        <w:tab/>
        <w:t>99</w:t>
      </w:r>
      <w:r>
        <w:rPr>
          <w:spacing w:val="5"/>
          <w:sz w:val="12"/>
        </w:rPr>
        <w:t> </w:t>
      </w:r>
      <w:r>
        <w:rPr>
          <w:sz w:val="12"/>
        </w:rPr>
        <w:t>2000</w:t>
      </w:r>
    </w:p>
    <w:p>
      <w:pPr>
        <w:pStyle w:val="BodyText"/>
        <w:rPr>
          <w:sz w:val="12"/>
        </w:rPr>
      </w:pPr>
    </w:p>
    <w:p>
      <w:pPr>
        <w:spacing w:line="208" w:lineRule="auto" w:before="1"/>
        <w:ind w:left="180" w:right="128" w:firstLine="0"/>
        <w:jc w:val="left"/>
        <w:rPr>
          <w:sz w:val="12"/>
        </w:rPr>
      </w:pPr>
      <w:r>
        <w:rPr>
          <w:color w:val="231F20"/>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output </w:t>
      </w:r>
      <w:r>
        <w:rPr>
          <w:color w:val="231F20"/>
          <w:spacing w:val="-3"/>
          <w:sz w:val="12"/>
        </w:rPr>
        <w:t>growth </w:t>
      </w:r>
      <w:r>
        <w:rPr>
          <w:color w:val="231F20"/>
          <w:sz w:val="12"/>
        </w:rPr>
        <w:t>at any particular time horizon, the wider the bands, and the more gradually the colour fades. And if the risks are more on one side than the other, then the remaining bands will be wider on that side  of the central band.</w:t>
      </w:r>
    </w:p>
    <w:p>
      <w:pPr>
        <w:pStyle w:val="BodyText"/>
        <w:rPr>
          <w:sz w:val="12"/>
        </w:rPr>
      </w:pPr>
    </w:p>
    <w:p>
      <w:pPr>
        <w:pStyle w:val="BodyText"/>
        <w:rPr>
          <w:sz w:val="12"/>
        </w:rPr>
      </w:pPr>
    </w:p>
    <w:p>
      <w:pPr>
        <w:pStyle w:val="BodyText"/>
        <w:spacing w:before="10"/>
        <w:rPr>
          <w:sz w:val="13"/>
        </w:rPr>
      </w:pPr>
    </w:p>
    <w:p>
      <w:pPr>
        <w:pStyle w:val="Heading9"/>
        <w:spacing w:before="0"/>
      </w:pPr>
      <w:r>
        <w:rPr>
          <w:color w:val="0093C1"/>
        </w:rPr>
        <w:t>Chart 2</w:t>
      </w:r>
    </w:p>
    <w:p>
      <w:pPr>
        <w:spacing w:before="10"/>
        <w:ind w:left="200" w:right="0" w:firstLine="0"/>
        <w:jc w:val="left"/>
        <w:rPr>
          <w:b/>
          <w:sz w:val="20"/>
        </w:rPr>
      </w:pPr>
      <w:r>
        <w:rPr>
          <w:b/>
          <w:color w:val="0093C1"/>
          <w:sz w:val="20"/>
        </w:rPr>
        <w:t>Current RPIX inflation projection</w:t>
      </w:r>
    </w:p>
    <w:p>
      <w:pPr>
        <w:spacing w:before="152"/>
        <w:ind w:left="0" w:right="159" w:firstLine="0"/>
        <w:jc w:val="right"/>
        <w:rPr>
          <w:sz w:val="12"/>
        </w:rPr>
      </w:pPr>
      <w:r>
        <w:rPr/>
        <w:pict>
          <v:line style="position:absolute;mso-position-horizontal-relative:page;mso-position-vertical-relative:paragraph;z-index:15733760" from="43.716pt,14.868555pt" to="47.396pt,14.868555pt" stroked="true" strokeweight=".5pt" strokecolor="#000000">
            <v:stroke dashstyle="solid"/>
            <w10:wrap type="none"/>
          </v:line>
        </w:pict>
      </w:r>
      <w:r>
        <w:rPr/>
        <w:pict>
          <v:line style="position:absolute;mso-position-horizontal-relative:page;mso-position-vertical-relative:paragraph;z-index:-20354560" from="197.849998pt,14.868555pt" to="194.169998pt,14.868555pt" stroked="true" strokeweight=".5pt" strokecolor="#000000">
            <v:stroke dashstyle="solid"/>
            <w10:wrap type="none"/>
          </v:line>
        </w:pict>
      </w:r>
      <w:r>
        <w:rPr>
          <w:sz w:val="12"/>
        </w:rPr>
        <w:t>Percentage increase in prices on a year earlier </w:t>
      </w:r>
      <w:r>
        <w:rPr>
          <w:position w:val="-7"/>
          <w:sz w:val="12"/>
        </w:rPr>
        <w:t>6</w:t>
      </w:r>
    </w:p>
    <w:p>
      <w:pPr>
        <w:pStyle w:val="BodyText"/>
        <w:rPr>
          <w:sz w:val="20"/>
        </w:rPr>
      </w:pPr>
    </w:p>
    <w:p>
      <w:pPr>
        <w:spacing w:before="125"/>
        <w:ind w:left="0" w:right="159" w:firstLine="0"/>
        <w:jc w:val="right"/>
        <w:rPr>
          <w:sz w:val="12"/>
        </w:rPr>
      </w:pPr>
      <w:r>
        <w:rPr/>
        <w:pict>
          <v:group style="position:absolute;margin-left:50.16pt;margin-top:14.584573pt;width:147.7pt;height:86.6pt;mso-position-horizontal-relative:page;mso-position-vertical-relative:paragraph;z-index:15730688" coordorigin="1003,292" coordsize="2954,1732">
            <v:shape style="position:absolute;left:2779;top:291;width:1060;height:1732" coordorigin="2779,292" coordsize="1060,1732" path="m3839,292l3721,494,3486,889,3368,1022,3250,1037,3132,1075,3015,1058,2897,1203,2779,1298,2897,1517,3015,1607,3132,1781,3250,1821,3368,1806,3486,1910,3721,1989,3839,2023,3839,292xe" filled="true" fillcolor="#fee7de" stroked="false">
              <v:path arrowok="t"/>
              <v:fill type="solid"/>
            </v:shape>
            <v:shape style="position:absolute;left:2779;top:521;width:1060;height:1352" coordorigin="2779,522" coordsize="1060,1352" path="m3839,522l3721,684,3486,1000,3368,1094,3250,1109,3132,1140,3015,1108,2897,1231,2779,1296,2897,1492,3015,1564,3132,1726,3250,1760,3368,1745,3486,1826,3721,1861,3839,1873,3839,522xe" filled="true" fillcolor="#fcd3c4" stroked="false">
              <v:path arrowok="t"/>
              <v:fill type="solid"/>
            </v:shape>
            <v:shape style="position:absolute;left:2779;top:679;width:1060;height:1096" coordorigin="2779,680" coordsize="1060,1096" path="m3839,680l3721,819,3486,1088,3368,1158,3250,1173,3132,1198,3015,1153,2897,1257,2779,1297,2897,1472,3015,1530,3132,1682,3250,1711,3368,1696,3486,1765,3721,1775,3839,1775,3839,680xe" filled="true" fillcolor="#fabeac" stroked="false">
              <v:path arrowok="t"/>
              <v:fill type="solid"/>
            </v:shape>
            <v:shape style="position:absolute;left:2779;top:808;width:1060;height:906" coordorigin="2779,808" coordsize="1060,906" path="m3839,808l3721,928,3486,1157,3368,1208,3250,1223,3132,1242,3015,1188,2897,1277,2779,1297,2897,1454,3015,1499,3132,1642,3250,1667,3368,1652,3486,1713,3721,1709,3839,1701,3839,808xe" filled="true" fillcolor="#f8aa95" stroked="false">
              <v:path arrowok="t"/>
              <v:fill type="solid"/>
            </v:shape>
            <v:shape style="position:absolute;left:2779;top:915;width:1060;height:750" coordorigin="2779,916" coordsize="1060,750" path="m3839,916l3721,1019,3486,1217,3368,1251,3250,1266,3132,1281,3015,1218,2897,1294,2779,1296,2897,1438,3015,1470,3132,1606,3250,1626,3368,1611,3486,1666,3721,1646,3839,1631,3839,916xe" filled="true" fillcolor="#f69780" stroked="false">
              <v:path arrowok="t"/>
              <v:fill type="solid"/>
            </v:shape>
            <v:shape style="position:absolute;left:2779;top:1007;width:1060;height:615" coordorigin="2779,1007" coordsize="1060,615" path="m3839,1007l3721,1098,3486,1271,3368,1293,3250,1308,3132,1319,3015,1247,2897,1309,2779,1293,2897,1421,3015,1444,3132,1572,3250,1589,3368,1574,3486,1621,3721,1587,3839,1565,3839,1007xe" filled="true" fillcolor="#f5846d" stroked="false">
              <v:path arrowok="t"/>
              <v:fill type="solid"/>
            </v:shape>
            <v:shape style="position:absolute;left:2779;top:1101;width:1060;height:485" coordorigin="2779,1102" coordsize="1060,485" path="m3839,1102l3721,1181,3486,1329,3368,1339,3250,1353,3132,1360,3015,1279,2897,1328,2779,1294,2897,1411,3015,1424,3132,1546,3250,1561,3368,1546,3486,1587,3721,1540,3839,1511,3839,1102xe" filled="true" fillcolor="#f3715b" stroked="false">
              <v:path arrowok="t"/>
              <v:fill type="solid"/>
            </v:shape>
            <v:shape style="position:absolute;left:2779;top:1186;width:1060;height:362" coordorigin="2779,1187" coordsize="1060,362" path="m3839,1187l3721,1253,3486,1377,3368,1374,3250,1389,3132,1392,3015,1304,2897,1343,2779,1295,2897,1398,3015,1401,3132,1516,3250,1527,3368,1512,3486,1548,3721,1491,3839,1458,3839,1187xe" filled="true" fillcolor="#f15b4a" stroked="false">
              <v:path arrowok="t"/>
              <v:fill type="solid"/>
            </v:shape>
            <v:shape style="position:absolute;left:2779;top:1269;width:1060;height:242" coordorigin="2779,1270" coordsize="1060,242" path="m3839,1270l3721,1325,3486,1427,3368,1413,3250,1428,3132,1427,3015,1331,2897,1358,2779,1295,2897,1385,3015,1379,3132,1489,3250,1497,3368,1482,3486,1512,3721,1443,3839,1403,3839,1270xe" filled="true" fillcolor="#ed1b2d" stroked="false">
              <v:path arrowok="t"/>
              <v:fill type="solid"/>
            </v:shape>
            <v:shape style="position:absolute;left:3883;top:684;width:74;height:987" coordorigin="3883,684" coordsize="74,987" path="m3957,1671l3883,1671m3957,1177l3883,1177m3957,684l3883,684e" filled="false" stroked="true" strokeweight=".5pt" strokecolor="#000000">
              <v:path arrowok="t"/>
              <v:stroke dashstyle="solid"/>
            </v:shape>
            <v:shape style="position:absolute;left:1013;top:1212;width:707;height:375" coordorigin="1013,1212" coordsize="707,375" path="m1131,1469l1013,1325m1249,1587l1131,1469m1366,1552l1249,1587m1484,1281l1366,1552m1602,1301l1484,1281m1720,1212l1602,1301e" filled="false" stroked="true" strokeweight="1pt" strokecolor="#ed1b2d">
              <v:path arrowok="t"/>
              <v:stroke dashstyle="solid"/>
            </v:shape>
            <v:line style="position:absolute" from="1710,1214" to="1848,1214" stroked="true" strokeweight="1.246pt" strokecolor="#ed1b2d">
              <v:stroke dashstyle="solid"/>
            </v:line>
            <v:shape style="position:absolute;left:1837;top:1067;width:943;height:328" coordorigin="1838,1067" coordsize="943,328" path="m1955,1261l1838,1217m2073,1281l1955,1261m2191,1247l2073,1281m2309,1067l2191,1247m2426,1247l2309,1067m2544,1395l2426,1247m2662,1271l2544,1395m2780,1296l2662,1271e" filled="false" stroked="true" strokeweight="1pt" strokecolor="#ed1b2d">
              <v:path arrowok="t"/>
              <v:stroke dashstyle="solid"/>
            </v:shape>
            <v:shape style="position:absolute;left:1003;top:291;width:2954;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7"/>
                      </w:rPr>
                    </w:pPr>
                  </w:p>
                  <w:p>
                    <w:pPr>
                      <w:tabs>
                        <w:tab w:pos="2958" w:val="left" w:leader="none"/>
                      </w:tabs>
                      <w:spacing w:before="0"/>
                      <w:ind w:left="-1"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15733248" from="43.716pt,9.541573pt" to="47.396pt,9.541573pt" stroked="true" strokeweight=".5pt" strokecolor="#000000">
            <v:stroke dashstyle="solid"/>
            <w10:wrap type="none"/>
          </v:line>
        </w:pict>
      </w:r>
      <w:r>
        <w:rPr/>
        <w:pict>
          <v:line style="position:absolute;mso-position-horizontal-relative:page;mso-position-vertical-relative:paragraph;z-index:15734784" from="197.849998pt,9.541573pt" to="194.169998pt,9.54157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79"/>
        <w:ind w:left="0" w:right="159" w:firstLine="0"/>
        <w:jc w:val="right"/>
        <w:rPr>
          <w:sz w:val="12"/>
        </w:rPr>
      </w:pPr>
      <w:r>
        <w:rPr/>
        <w:pict>
          <v:line style="position:absolute;mso-position-horizontal-relative:page;mso-position-vertical-relative:paragraph;z-index:15732736" from="43.716pt,7.240367pt" to="47.396pt,7.240367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0"/>
        <w:ind w:left="0" w:right="159" w:firstLine="0"/>
        <w:jc w:val="right"/>
        <w:rPr>
          <w:sz w:val="12"/>
        </w:rPr>
      </w:pPr>
      <w:r>
        <w:rPr/>
        <w:pict>
          <v:line style="position:absolute;mso-position-horizontal-relative:page;mso-position-vertical-relative:paragraph;z-index:15732224" from="43.716pt,7.290161pt" to="47.396pt,7.290161pt" stroked="true" strokeweight=".5pt" strokecolor="#000000">
            <v:stroke dashstyle="solid"/>
            <w10:wrap type="none"/>
          </v:line>
        </w:pict>
      </w:r>
      <w:r>
        <w:rPr>
          <w:sz w:val="12"/>
        </w:rPr>
        <w:t>3</w:t>
      </w:r>
    </w:p>
    <w:p>
      <w:pPr>
        <w:spacing w:before="69"/>
        <w:ind w:left="0" w:right="62" w:firstLine="0"/>
        <w:jc w:val="right"/>
        <w:rPr>
          <w:sz w:val="12"/>
        </w:rPr>
      </w:pPr>
      <w:r>
        <w:rPr>
          <w:sz w:val="12"/>
        </w:rPr>
        <w:t>2.5</w:t>
      </w:r>
    </w:p>
    <w:p>
      <w:pPr>
        <w:pStyle w:val="BodyText"/>
        <w:spacing w:before="10"/>
        <w:rPr>
          <w:sz w:val="12"/>
        </w:rPr>
      </w:pPr>
    </w:p>
    <w:p>
      <w:pPr>
        <w:spacing w:before="0"/>
        <w:ind w:left="0" w:right="159" w:firstLine="0"/>
        <w:jc w:val="right"/>
        <w:rPr>
          <w:sz w:val="12"/>
        </w:rPr>
      </w:pPr>
      <w:r>
        <w:rPr/>
        <w:pict>
          <v:line style="position:absolute;mso-position-horizontal-relative:page;mso-position-vertical-relative:paragraph;z-index:15731712" from="43.716pt,3.289955pt" to="47.396pt,3.289955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79"/>
        <w:ind w:left="0" w:right="159" w:firstLine="0"/>
        <w:jc w:val="right"/>
        <w:rPr>
          <w:sz w:val="12"/>
        </w:rPr>
      </w:pPr>
      <w:r>
        <w:rPr/>
        <w:pict>
          <v:line style="position:absolute;mso-position-horizontal-relative:page;mso-position-vertical-relative:paragraph;z-index:15731200" from="43.716pt,7.23875pt" to="47.396pt,7.23875pt" stroked="true" strokeweight=".5pt" strokecolor="#000000">
            <v:stroke dashstyle="solid"/>
            <w10:wrap type="none"/>
          </v:line>
        </w:pict>
      </w:r>
      <w:r>
        <w:rPr/>
        <w:pict>
          <v:line style="position:absolute;mso-position-horizontal-relative:page;mso-position-vertical-relative:paragraph;z-index:15734272" from="197.849998pt,7.23875pt" to="194.169998pt,7.23875pt" stroked="true" strokeweight=".5pt" strokecolor="#000000">
            <v:stroke dashstyle="solid"/>
            <w10:wrap type="none"/>
          </v:line>
        </w:pict>
      </w:r>
      <w:r>
        <w:rPr>
          <w:sz w:val="12"/>
        </w:rPr>
        <w:t>1</w:t>
      </w:r>
    </w:p>
    <w:p>
      <w:pPr>
        <w:pStyle w:val="BodyText"/>
        <w:spacing w:before="8" w:after="40"/>
        <w:rPr>
          <w:sz w:val="21"/>
        </w:rPr>
      </w:pPr>
    </w:p>
    <w:p>
      <w:pPr>
        <w:pStyle w:val="BodyText"/>
        <w:spacing w:line="139" w:lineRule="exact"/>
        <w:ind w:left="249"/>
        <w:rPr>
          <w:sz w:val="13"/>
        </w:rPr>
      </w:pPr>
      <w:r>
        <w:rPr>
          <w:position w:val="-2"/>
          <w:sz w:val="13"/>
        </w:rPr>
        <w:pict>
          <v:group style="width:154.65pt;height:6.65pt;mso-position-horizontal-relative:char;mso-position-vertical-relative:line" coordorigin="0,0" coordsize="3093,133">
            <v:shape style="position:absolute;left:0;top:0;width:3093;height:129" coordorigin="0,0" coordsize="3093,129" path="m138,127l2954,127m138,129l138,10m256,127l256,53m374,127l374,53m491,127l491,53m609,122l609,3m727,127l727,53m845,127l845,53m962,127l962,53m1080,119l1080,0m1198,127l1198,53m1316,127l1316,53m1434,127l1434,53m1551,119l1551,0m1669,127l1669,53m1787,127l1787,53m1905,127l1905,53m2022,119l2022,0m2140,127l2140,53m2258,127l2258,53m2376,127l2376,53m2493,119l2493,0m2611,127l2611,53m2833,127l2833,53m2719,127l2719,53m2964,127l2964,53m3093,127l3019,127m0,121l74,121e" filled="false" stroked="true" strokeweight=".5pt" strokecolor="#000000">
              <v:path arrowok="t"/>
              <v:stroke dashstyle="solid"/>
            </v:shape>
          </v:group>
        </w:pict>
      </w:r>
      <w:r>
        <w:rPr>
          <w:position w:val="-2"/>
          <w:sz w:val="13"/>
        </w:rPr>
      </w:r>
    </w:p>
    <w:p>
      <w:pPr>
        <w:pStyle w:val="Heading5"/>
        <w:spacing w:line="242" w:lineRule="auto" w:before="207"/>
        <w:ind w:left="180" w:right="164"/>
      </w:pPr>
      <w:r>
        <w:rPr/>
        <w:br w:type="column"/>
      </w:r>
      <w:r>
        <w:rPr>
          <w:color w:val="231F20"/>
        </w:rPr>
        <w:t>The </w:t>
      </w:r>
      <w:r>
        <w:rPr>
          <w:color w:val="231F20"/>
          <w:spacing w:val="-3"/>
        </w:rPr>
        <w:t>MPC’s </w:t>
      </w:r>
      <w:r>
        <w:rPr>
          <w:color w:val="231F20"/>
        </w:rPr>
        <w:t>probability distribution for the four-quarter growth rate of GDP is shown in Chart 1. The central projection is that growth, having already peaked, will continue to fall, before rising again towards the end of the forecasting horizon as the contribution of net trade </w:t>
      </w:r>
      <w:r>
        <w:rPr>
          <w:color w:val="231F20"/>
          <w:spacing w:val="-9"/>
        </w:rPr>
        <w:t>to </w:t>
      </w:r>
      <w:r>
        <w:rPr>
          <w:color w:val="231F20"/>
        </w:rPr>
        <w:t>GDP growth becomes less negative.  That implies a large rise in the current account deficit. Domestic demand growth is expected to fall towards trend. The overall shape of the output projection is broadly similar to </w:t>
      </w:r>
      <w:r>
        <w:rPr>
          <w:color w:val="231F20"/>
          <w:spacing w:val="-3"/>
        </w:rPr>
        <w:t>November. </w:t>
      </w:r>
      <w:r>
        <w:rPr>
          <w:color w:val="231F20"/>
        </w:rPr>
        <w:t>But the central case is for a somewhat lower level of output during the next two years, reflecting the recent data.</w:t>
      </w:r>
    </w:p>
    <w:p>
      <w:pPr>
        <w:pStyle w:val="BodyText"/>
        <w:spacing w:before="8"/>
        <w:rPr>
          <w:sz w:val="25"/>
        </w:rPr>
      </w:pPr>
    </w:p>
    <w:p>
      <w:pPr>
        <w:spacing w:line="242" w:lineRule="auto" w:before="0"/>
        <w:ind w:left="180" w:right="179" w:firstLine="0"/>
        <w:jc w:val="left"/>
        <w:rPr>
          <w:sz w:val="24"/>
        </w:rPr>
      </w:pPr>
      <w:r>
        <w:rPr>
          <w:color w:val="231F20"/>
          <w:sz w:val="24"/>
        </w:rPr>
        <w:t>The </w:t>
      </w:r>
      <w:r>
        <w:rPr>
          <w:color w:val="231F20"/>
          <w:spacing w:val="-3"/>
          <w:sz w:val="24"/>
        </w:rPr>
        <w:t>MPC’s </w:t>
      </w:r>
      <w:r>
        <w:rPr>
          <w:color w:val="231F20"/>
          <w:sz w:val="24"/>
        </w:rPr>
        <w:t>projection of the twelve-month RPIX inflation rate is shown in Chart 2. The most likely path is for RPIX inflation to fall slightly over the next year or so, before rising to just above the target of 2</w:t>
      </w:r>
      <w:r>
        <w:rPr>
          <w:color w:val="231F20"/>
          <w:position w:val="8"/>
          <w:sz w:val="12"/>
        </w:rPr>
        <w:t>1</w:t>
      </w:r>
      <w:r>
        <w:rPr>
          <w:color w:val="231F20"/>
          <w:sz w:val="24"/>
        </w:rPr>
        <w:t>/</w:t>
      </w:r>
      <w:r>
        <w:rPr>
          <w:color w:val="231F20"/>
          <w:sz w:val="12"/>
        </w:rPr>
        <w:t>2</w:t>
      </w:r>
      <w:r>
        <w:rPr>
          <w:color w:val="231F20"/>
          <w:sz w:val="24"/>
        </w:rPr>
        <w:t>% by the end of the forecast horizon. The central projection for RPIX inflation at the two-year forecasting horizon is a little higher than in </w:t>
      </w:r>
      <w:r>
        <w:rPr>
          <w:color w:val="231F20"/>
          <w:spacing w:val="-3"/>
          <w:sz w:val="24"/>
        </w:rPr>
        <w:t>November. </w:t>
      </w:r>
      <w:r>
        <w:rPr>
          <w:color w:val="231F20"/>
          <w:sz w:val="24"/>
        </w:rPr>
        <w:t>The recent evidence suggests that the appreciation of sterling has not </w:t>
      </w:r>
      <w:r>
        <w:rPr>
          <w:color w:val="231F20"/>
          <w:spacing w:val="-3"/>
          <w:sz w:val="24"/>
        </w:rPr>
        <w:t>reduced </w:t>
      </w:r>
      <w:r>
        <w:rPr>
          <w:color w:val="231F20"/>
          <w:sz w:val="24"/>
        </w:rPr>
        <w:t>retail price inflation as much as anticipated in previous </w:t>
      </w:r>
      <w:r>
        <w:rPr>
          <w:i/>
          <w:color w:val="231F20"/>
          <w:sz w:val="24"/>
        </w:rPr>
        <w:t>Reports</w:t>
      </w:r>
      <w:r>
        <w:rPr>
          <w:color w:val="231F20"/>
          <w:sz w:val="24"/>
        </w:rPr>
        <w:t>. As a result, and notwithstanding the lower level of output, the current projection embodies a slightly higher profile for inflation in the next two years relative to that in the November</w:t>
      </w:r>
      <w:r>
        <w:rPr>
          <w:color w:val="231F20"/>
          <w:spacing w:val="-5"/>
          <w:sz w:val="24"/>
        </w:rPr>
        <w:t> </w:t>
      </w:r>
      <w:r>
        <w:rPr>
          <w:i/>
          <w:color w:val="231F20"/>
          <w:sz w:val="24"/>
        </w:rPr>
        <w:t>Report</w:t>
      </w:r>
      <w:r>
        <w:rPr>
          <w:color w:val="231F20"/>
          <w:sz w:val="24"/>
        </w:rPr>
        <w:t>.</w:t>
      </w:r>
    </w:p>
    <w:p>
      <w:pPr>
        <w:pStyle w:val="BodyText"/>
        <w:spacing w:before="5"/>
        <w:rPr>
          <w:sz w:val="25"/>
        </w:rPr>
      </w:pPr>
    </w:p>
    <w:p>
      <w:pPr>
        <w:spacing w:line="280" w:lineRule="atLeast" w:before="0"/>
        <w:ind w:left="180" w:right="147" w:firstLine="0"/>
        <w:jc w:val="left"/>
        <w:rPr>
          <w:sz w:val="24"/>
        </w:rPr>
      </w:pPr>
      <w:r>
        <w:rPr>
          <w:color w:val="231F20"/>
          <w:sz w:val="24"/>
        </w:rPr>
        <w:t>Overall, the balance of risks to inflation in the projection is on the upside. The main upside risks stem from the possibility of a more rapid fall in the exchange rate than that implied by interest rate differentials, past rapid money growth and, particularly, pressures in the labour market. The downside risks to inflation stem mainly from the possibility of a larger fall in output and demand than in the central case.</w:t>
      </w:r>
    </w:p>
    <w:p>
      <w:pPr>
        <w:spacing w:after="0" w:line="280" w:lineRule="atLeast"/>
        <w:jc w:val="left"/>
        <w:rPr>
          <w:sz w:val="24"/>
        </w:rPr>
        <w:sectPr>
          <w:type w:val="continuous"/>
          <w:pgSz w:w="11880" w:h="16840"/>
          <w:pgMar w:top="1200" w:bottom="280" w:left="620" w:right="620"/>
          <w:cols w:num="2" w:equalWidth="0">
            <w:col w:w="3611" w:space="1229"/>
            <w:col w:w="5800"/>
          </w:cols>
        </w:sectPr>
      </w:pPr>
    </w:p>
    <w:p>
      <w:pPr>
        <w:tabs>
          <w:tab w:pos="1048" w:val="left" w:leader="none"/>
          <w:tab w:pos="1524" w:val="left" w:leader="none"/>
          <w:tab w:pos="1988" w:val="left" w:leader="none"/>
          <w:tab w:pos="2472" w:val="left" w:leader="none"/>
          <w:tab w:pos="2916" w:val="left" w:leader="none"/>
        </w:tabs>
        <w:spacing w:line="240" w:lineRule="auto" w:before="0"/>
        <w:ind w:left="533" w:right="0" w:firstLine="0"/>
        <w:jc w:val="left"/>
        <w:rPr>
          <w:sz w:val="12"/>
        </w:rPr>
      </w:pPr>
      <w:r>
        <w:rPr>
          <w:sz w:val="12"/>
        </w:rPr>
        <w:t>1994</w:t>
        <w:tab/>
        <w:t>95</w:t>
        <w:tab/>
        <w:t>96</w:t>
        <w:tab/>
        <w:t>97</w:t>
        <w:tab/>
        <w:t>98</w:t>
        <w:tab/>
        <w:t>99</w:t>
      </w:r>
      <w:r>
        <w:rPr>
          <w:spacing w:val="15"/>
          <w:sz w:val="12"/>
        </w:rPr>
        <w:t> </w:t>
      </w:r>
      <w:r>
        <w:rPr>
          <w:sz w:val="12"/>
        </w:rPr>
        <w:t>2000</w:t>
      </w:r>
      <w:r>
        <w:rPr>
          <w:position w:val="9"/>
          <w:sz w:val="12"/>
        </w:rPr>
        <w:t>0</w:t>
      </w:r>
    </w:p>
    <w:p>
      <w:pPr>
        <w:spacing w:after="0" w:line="240" w:lineRule="auto"/>
        <w:jc w:val="left"/>
        <w:rPr>
          <w:sz w:val="12"/>
        </w:rPr>
        <w:sectPr>
          <w:type w:val="continuous"/>
          <w:pgSz w:w="11880" w:h="16840"/>
          <w:pgMar w:top="1200" w:bottom="280" w:left="620" w:right="620"/>
        </w:sectPr>
      </w:pPr>
    </w:p>
    <w:p>
      <w:pPr>
        <w:spacing w:line="208" w:lineRule="auto" w:before="74"/>
        <w:ind w:left="198" w:right="248" w:firstLine="0"/>
        <w:jc w:val="left"/>
        <w:rPr>
          <w:sz w:val="12"/>
        </w:rPr>
      </w:pPr>
      <w:r>
        <w:rPr>
          <w:color w:val="231F20"/>
          <w:sz w:val="12"/>
        </w:rPr>
        <w:t>The chart shows the relative likelihood of possible outcomes. The central band, coloured deep red, includes the central projection: there is judged to be a 10% chance that inflation will be within</w:t>
      </w:r>
    </w:p>
    <w:p>
      <w:pPr>
        <w:spacing w:line="208" w:lineRule="auto" w:before="0"/>
        <w:ind w:left="198" w:right="248" w:firstLine="0"/>
        <w:jc w:val="left"/>
        <w:rPr>
          <w:sz w:val="12"/>
        </w:rPr>
      </w:pPr>
      <w:r>
        <w:rPr>
          <w:color w:val="231F20"/>
          <w:sz w:val="12"/>
        </w:rPr>
        <w:t>that central band at any date. The next deepest shade, on both sides of the central band, takes the distribution out to 20%; and so on, in steps of 10 percentage points. Of course, it is impossible to assess the probabilities with any precision, but this represents the MPC’s</w:t>
      </w:r>
    </w:p>
    <w:p>
      <w:pPr>
        <w:spacing w:line="208" w:lineRule="auto" w:before="0"/>
        <w:ind w:left="198" w:right="4" w:firstLine="0"/>
        <w:jc w:val="left"/>
        <w:rPr>
          <w:sz w:val="12"/>
        </w:rPr>
      </w:pPr>
      <w:r>
        <w:rPr>
          <w:color w:val="231F20"/>
          <w:sz w:val="12"/>
        </w:rPr>
        <w:t>best estimate. The more uncertainty there is about the inflation outcome at any particular time horizon, the wider the bands, and the more gradually the colour fades. And if the risks are more on one side</w:t>
      </w:r>
    </w:p>
    <w:p>
      <w:pPr>
        <w:spacing w:line="208" w:lineRule="auto" w:before="0"/>
        <w:ind w:left="198" w:right="324" w:firstLine="0"/>
        <w:jc w:val="left"/>
        <w:rPr>
          <w:sz w:val="12"/>
        </w:rPr>
      </w:pPr>
      <w:r>
        <w:rPr>
          <w:color w:val="231F20"/>
          <w:sz w:val="12"/>
        </w:rPr>
        <w:t>than the other, then the remaining bands will be wider on that side of the central band.</w:t>
      </w:r>
    </w:p>
    <w:p>
      <w:pPr>
        <w:pStyle w:val="Heading5"/>
        <w:spacing w:line="242" w:lineRule="auto" w:before="56"/>
        <w:ind w:left="198" w:right="87"/>
      </w:pPr>
      <w:r>
        <w:rPr/>
        <w:br w:type="column"/>
      </w:r>
      <w:r>
        <w:rPr>
          <w:color w:val="231F20"/>
        </w:rPr>
        <w:t>Against the background of this projection, there is a case for a further rise in interest rates. Indeed, the balance of risks in the projection implies that it is more likely than not that a modest further rise in interest rates will be necessary at some point to hit the inflation target looking two years or so ahead. There are, however, very significant uncertainties about the magnitude of the slowdown in the economy that is now visible. It is still too early to be confident of how pronounced this slowdown will prove to be. In these circumstances, an immediate rise in interest rates might shortly have to be reversed. The considerations which affect monetary policy are finely balanced. At its February meeting, the MPC voted to leave interest rates unchanged.</w:t>
      </w:r>
    </w:p>
    <w:p>
      <w:pPr>
        <w:spacing w:after="0" w:line="242" w:lineRule="auto"/>
        <w:sectPr>
          <w:type w:val="continuous"/>
          <w:pgSz w:w="11880" w:h="16840"/>
          <w:pgMar w:top="1200" w:bottom="280" w:left="620" w:right="620"/>
          <w:cols w:num="2" w:equalWidth="0">
            <w:col w:w="3718" w:space="1103"/>
            <w:col w:w="5819"/>
          </w:cols>
        </w:sectPr>
      </w:pPr>
    </w:p>
    <w:p>
      <w:pPr>
        <w:spacing w:before="76"/>
        <w:ind w:left="1408" w:right="956" w:firstLine="0"/>
        <w:jc w:val="center"/>
        <w:rPr>
          <w:b/>
          <w:sz w:val="28"/>
        </w:rPr>
      </w:pPr>
      <w:bookmarkStart w:name="Contents" w:id="3"/>
      <w:bookmarkEnd w:id="3"/>
      <w:r>
        <w:rPr/>
      </w:r>
      <w:r>
        <w:rPr>
          <w:b/>
          <w:color w:val="009483"/>
          <w:sz w:val="28"/>
        </w:rPr>
        <w:t>Contents</w:t>
      </w:r>
    </w:p>
    <w:p>
      <w:pPr>
        <w:spacing w:after="0"/>
        <w:jc w:val="center"/>
        <w:rPr>
          <w:sz w:val="28"/>
        </w:rPr>
        <w:sectPr>
          <w:footerReference w:type="default" r:id="rId8"/>
          <w:pgSz w:w="11880" w:h="16840"/>
          <w:pgMar w:footer="0" w:header="0" w:top="1200" w:bottom="2770" w:left="620" w:right="620"/>
        </w:sectPr>
      </w:pPr>
    </w:p>
    <w:sdt>
      <w:sdtPr>
        <w:docPartObj>
          <w:docPartGallery w:val="Table of Contents"/>
          <w:docPartUnique/>
        </w:docPartObj>
      </w:sdtPr>
      <w:sdtEndPr/>
      <w:sdtContent>
        <w:p>
          <w:pPr>
            <w:pStyle w:val="TOC1"/>
            <w:numPr>
              <w:ilvl w:val="0"/>
              <w:numId w:val="1"/>
            </w:numPr>
            <w:tabs>
              <w:tab w:pos="5389" w:val="left" w:leader="none"/>
              <w:tab w:pos="5390" w:val="left" w:leader="none"/>
              <w:tab w:pos="10289" w:val="right" w:leader="none"/>
            </w:tabs>
            <w:spacing w:line="240" w:lineRule="auto" w:before="595" w:after="0"/>
            <w:ind w:left="5389" w:right="0" w:hanging="381"/>
            <w:jc w:val="left"/>
            <w:rPr>
              <w:b w:val="0"/>
            </w:rPr>
          </w:pPr>
          <w:hyperlink w:history="true" w:anchor="_bookmark0">
            <w:r>
              <w:rPr>
                <w:color w:val="0093C1"/>
                <w:spacing w:val="-3"/>
              </w:rPr>
              <w:t>Money, </w:t>
            </w:r>
            <w:r>
              <w:rPr>
                <w:color w:val="0093C1"/>
              </w:rPr>
              <w:t>interest rates and</w:t>
            </w:r>
            <w:r>
              <w:rPr>
                <w:color w:val="0093C1"/>
                <w:spacing w:val="2"/>
              </w:rPr>
              <w:t> </w:t>
            </w:r>
            <w:r>
              <w:rPr>
                <w:color w:val="0093C1"/>
              </w:rPr>
              <w:t>exchange rates</w:t>
            </w:r>
          </w:hyperlink>
          <w:r>
            <w:rPr>
              <w:color w:val="0093C1"/>
            </w:rPr>
            <w:tab/>
          </w:r>
          <w:r>
            <w:rPr>
              <w:b w:val="0"/>
              <w:color w:val="231F20"/>
            </w:rPr>
            <w:t>3</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0">
            <w:r>
              <w:rPr>
                <w:color w:val="231F20"/>
              </w:rPr>
              <w:t>Money</w:t>
            </w:r>
          </w:hyperlink>
          <w:r>
            <w:rPr>
              <w:color w:val="231F20"/>
            </w:rPr>
            <w:tab/>
          </w:r>
          <w:r>
            <w:rPr>
              <w:b w:val="0"/>
              <w:color w:val="231F20"/>
            </w:rPr>
            <w:t>3</w:t>
          </w:r>
        </w:p>
        <w:p>
          <w:pPr>
            <w:pStyle w:val="TOC5"/>
            <w:tabs>
              <w:tab w:pos="10289" w:val="right" w:leader="none"/>
            </w:tabs>
          </w:pPr>
          <w:hyperlink w:history="true" w:anchor="_bookmark1">
            <w:r>
              <w:rPr>
                <w:color w:val="231F20"/>
              </w:rPr>
              <w:t>Other</w:t>
            </w:r>
            <w:r>
              <w:rPr>
                <w:color w:val="231F20"/>
                <w:spacing w:val="-1"/>
              </w:rPr>
              <w:t> </w:t>
            </w:r>
            <w:r>
              <w:rPr>
                <w:color w:val="231F20"/>
              </w:rPr>
              <w:t>financial institutions</w:t>
            </w:r>
          </w:hyperlink>
          <w:r>
            <w:rPr>
              <w:color w:val="231F20"/>
            </w:rPr>
            <w:tab/>
            <w:t>4</w:t>
          </w:r>
        </w:p>
        <w:p>
          <w:pPr>
            <w:pStyle w:val="TOC5"/>
            <w:tabs>
              <w:tab w:pos="10289" w:val="right" w:leader="none"/>
            </w:tabs>
            <w:spacing w:before="45"/>
          </w:pPr>
          <w:hyperlink w:history="true" w:anchor="_bookmark1">
            <w:r>
              <w:rPr>
                <w:color w:val="231F20"/>
              </w:rPr>
              <w:t>Personal sector</w:t>
            </w:r>
          </w:hyperlink>
          <w:r>
            <w:rPr>
              <w:color w:val="231F20"/>
            </w:rPr>
            <w:tab/>
            <w:t>4</w:t>
          </w:r>
        </w:p>
        <w:p>
          <w:pPr>
            <w:pStyle w:val="TOC5"/>
            <w:tabs>
              <w:tab w:pos="10289" w:val="right" w:leader="none"/>
            </w:tabs>
          </w:pPr>
          <w:hyperlink w:history="true" w:anchor="_bookmark2">
            <w:r>
              <w:rPr>
                <w:color w:val="231F20"/>
              </w:rPr>
              <w:t>Industrial and commercial companies</w:t>
            </w:r>
          </w:hyperlink>
          <w:r>
            <w:rPr>
              <w:color w:val="231F20"/>
            </w:rPr>
            <w:tab/>
            <w:t>5</w:t>
          </w:r>
        </w:p>
        <w:p>
          <w:pPr>
            <w:pStyle w:val="TOC5"/>
            <w:tabs>
              <w:tab w:pos="10289" w:val="right" w:leader="none"/>
            </w:tabs>
          </w:pPr>
          <w:hyperlink w:history="true" w:anchor="_bookmark2">
            <w:r>
              <w:rPr>
                <w:color w:val="231F20"/>
              </w:rPr>
              <w:t>Narrow</w:t>
            </w:r>
            <w:r>
              <w:rPr>
                <w:color w:val="231F20"/>
                <w:spacing w:val="-1"/>
              </w:rPr>
              <w:t> </w:t>
            </w:r>
            <w:r>
              <w:rPr>
                <w:color w:val="231F20"/>
              </w:rPr>
              <w:t>money</w:t>
            </w:r>
          </w:hyperlink>
          <w:r>
            <w:rPr>
              <w:color w:val="231F20"/>
            </w:rPr>
            <w:tab/>
            <w:t>5</w:t>
          </w:r>
        </w:p>
        <w:p>
          <w:pPr>
            <w:pStyle w:val="TOC5"/>
            <w:tabs>
              <w:tab w:pos="10289" w:val="right" w:leader="none"/>
            </w:tabs>
          </w:pPr>
          <w:hyperlink w:history="true" w:anchor="_bookmark3">
            <w:r>
              <w:rPr>
                <w:color w:val="231F20"/>
              </w:rPr>
              <w:t>Divisia</w:t>
            </w:r>
            <w:r>
              <w:rPr>
                <w:color w:val="231F20"/>
                <w:spacing w:val="-1"/>
              </w:rPr>
              <w:t> </w:t>
            </w:r>
            <w:r>
              <w:rPr>
                <w:color w:val="231F20"/>
              </w:rPr>
              <w:t>money</w:t>
            </w:r>
          </w:hyperlink>
          <w:r>
            <w:rPr>
              <w:color w:val="231F20"/>
            </w:rPr>
            <w:tab/>
            <w:t>6</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3">
            <w:r>
              <w:rPr>
                <w:color w:val="231F20"/>
              </w:rPr>
              <w:t>Credit</w:t>
            </w:r>
          </w:hyperlink>
          <w:r>
            <w:rPr>
              <w:color w:val="231F20"/>
            </w:rPr>
            <w:tab/>
          </w:r>
          <w:r>
            <w:rPr>
              <w:b w:val="0"/>
              <w:color w:val="231F20"/>
            </w:rPr>
            <w:t>6</w:t>
          </w:r>
        </w:p>
        <w:p>
          <w:pPr>
            <w:pStyle w:val="TOC5"/>
            <w:tabs>
              <w:tab w:pos="10289" w:val="right" w:leader="none"/>
            </w:tabs>
          </w:pPr>
          <w:hyperlink w:history="true" w:anchor="_bookmark3">
            <w:r>
              <w:rPr>
                <w:color w:val="231F20"/>
              </w:rPr>
              <w:t>Other</w:t>
            </w:r>
            <w:r>
              <w:rPr>
                <w:color w:val="231F20"/>
                <w:spacing w:val="-1"/>
              </w:rPr>
              <w:t> </w:t>
            </w:r>
            <w:r>
              <w:rPr>
                <w:color w:val="231F20"/>
              </w:rPr>
              <w:t>financial institutions</w:t>
            </w:r>
          </w:hyperlink>
          <w:r>
            <w:rPr>
              <w:color w:val="231F20"/>
            </w:rPr>
            <w:tab/>
            <w:t>6</w:t>
          </w:r>
        </w:p>
        <w:p>
          <w:pPr>
            <w:pStyle w:val="TOC5"/>
            <w:tabs>
              <w:tab w:pos="10289" w:val="right" w:leader="none"/>
            </w:tabs>
          </w:pPr>
          <w:hyperlink w:history="true" w:anchor="_bookmark3">
            <w:r>
              <w:rPr>
                <w:color w:val="231F20"/>
              </w:rPr>
              <w:t>Personal sector</w:t>
            </w:r>
          </w:hyperlink>
          <w:r>
            <w:rPr>
              <w:color w:val="231F20"/>
            </w:rPr>
            <w:tab/>
            <w:t>6</w:t>
          </w:r>
        </w:p>
        <w:p>
          <w:pPr>
            <w:pStyle w:val="TOC5"/>
            <w:tabs>
              <w:tab w:pos="10289" w:val="right" w:leader="none"/>
            </w:tabs>
          </w:pPr>
          <w:hyperlink w:history="true" w:anchor="_bookmark4">
            <w:r>
              <w:rPr>
                <w:color w:val="231F20"/>
              </w:rPr>
              <w:t>Industrial and commercial companies</w:t>
            </w:r>
          </w:hyperlink>
          <w:r>
            <w:rPr>
              <w:color w:val="231F20"/>
            </w:rPr>
            <w:tab/>
            <w:t>7</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5">
            <w:r>
              <w:rPr>
                <w:color w:val="231F20"/>
              </w:rPr>
              <w:t>Interest rates and</w:t>
            </w:r>
            <w:r>
              <w:rPr>
                <w:color w:val="231F20"/>
                <w:spacing w:val="-1"/>
              </w:rPr>
              <w:t> </w:t>
            </w:r>
            <w:r>
              <w:rPr>
                <w:color w:val="231F20"/>
              </w:rPr>
              <w:t>exchange</w:t>
            </w:r>
            <w:r>
              <w:rPr>
                <w:color w:val="231F20"/>
                <w:spacing w:val="-1"/>
              </w:rPr>
              <w:t> </w:t>
            </w:r>
            <w:r>
              <w:rPr>
                <w:color w:val="231F20"/>
              </w:rPr>
              <w:t>rates</w:t>
            </w:r>
          </w:hyperlink>
          <w:r>
            <w:rPr>
              <w:color w:val="231F20"/>
            </w:rPr>
            <w:tab/>
          </w:r>
          <w:r>
            <w:rPr>
              <w:b w:val="0"/>
              <w:color w:val="231F20"/>
            </w:rPr>
            <w:t>8</w:t>
          </w:r>
        </w:p>
        <w:p>
          <w:pPr>
            <w:pStyle w:val="TOC5"/>
            <w:tabs>
              <w:tab w:pos="10289" w:val="right" w:leader="none"/>
            </w:tabs>
          </w:pPr>
          <w:hyperlink w:history="true" w:anchor="_bookmark5">
            <w:r>
              <w:rPr>
                <w:color w:val="231F20"/>
              </w:rPr>
              <w:t>Short-term interest rates</w:t>
            </w:r>
          </w:hyperlink>
          <w:r>
            <w:rPr>
              <w:color w:val="231F20"/>
            </w:rPr>
            <w:tab/>
            <w:t>8</w:t>
          </w:r>
        </w:p>
        <w:p>
          <w:pPr>
            <w:pStyle w:val="TOC5"/>
            <w:tabs>
              <w:tab w:pos="10289" w:val="right" w:leader="none"/>
            </w:tabs>
          </w:pPr>
          <w:hyperlink w:history="true" w:anchor="_bookmark6">
            <w:r>
              <w:rPr>
                <w:color w:val="231F20"/>
              </w:rPr>
              <w:t>Long-term interest rates</w:t>
            </w:r>
          </w:hyperlink>
          <w:r>
            <w:rPr>
              <w:color w:val="231F20"/>
            </w:rPr>
            <w:tab/>
            <w:t>9</w:t>
          </w:r>
        </w:p>
        <w:p>
          <w:pPr>
            <w:pStyle w:val="TOC5"/>
            <w:tabs>
              <w:tab w:pos="10289" w:val="right" w:leader="none"/>
            </w:tabs>
          </w:pPr>
          <w:hyperlink w:history="true" w:anchor="_bookmark7">
            <w:r>
              <w:rPr>
                <w:color w:val="231F20"/>
              </w:rPr>
              <w:t>Exchange rates</w:t>
            </w:r>
          </w:hyperlink>
          <w:r>
            <w:rPr>
              <w:color w:val="231F20"/>
            </w:rPr>
            <w:tab/>
            <w:t>10</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8">
            <w:r>
              <w:rPr>
                <w:color w:val="231F20"/>
              </w:rPr>
              <w:t>Summary</w:t>
            </w:r>
          </w:hyperlink>
          <w:r>
            <w:rPr>
              <w:color w:val="231F20"/>
            </w:rPr>
            <w:tab/>
          </w:r>
          <w:r>
            <w:rPr>
              <w:b w:val="0"/>
              <w:color w:val="231F20"/>
            </w:rPr>
            <w:t>11</w:t>
          </w:r>
        </w:p>
        <w:p>
          <w:pPr>
            <w:pStyle w:val="TOC1"/>
            <w:numPr>
              <w:ilvl w:val="0"/>
              <w:numId w:val="1"/>
            </w:numPr>
            <w:tabs>
              <w:tab w:pos="5389" w:val="left" w:leader="none"/>
              <w:tab w:pos="5390" w:val="left" w:leader="none"/>
              <w:tab w:pos="10289" w:val="right" w:leader="none"/>
            </w:tabs>
            <w:spacing w:line="240" w:lineRule="auto" w:before="244" w:after="0"/>
            <w:ind w:left="5389" w:right="0" w:hanging="381"/>
            <w:jc w:val="left"/>
            <w:rPr>
              <w:b w:val="0"/>
            </w:rPr>
          </w:pPr>
          <w:hyperlink w:history="true" w:anchor="_bookmark9">
            <w:r>
              <w:rPr>
                <w:color w:val="0093C1"/>
              </w:rPr>
              <w:t>Demand and output</w:t>
            </w:r>
          </w:hyperlink>
          <w:r>
            <w:rPr>
              <w:color w:val="0093C1"/>
            </w:rPr>
            <w:tab/>
          </w:r>
          <w:r>
            <w:rPr>
              <w:b w:val="0"/>
              <w:color w:val="231F20"/>
            </w:rPr>
            <w:t>12</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9">
            <w:r>
              <w:rPr>
                <w:color w:val="231F20"/>
              </w:rPr>
              <w:t>External</w:t>
            </w:r>
            <w:r>
              <w:rPr>
                <w:color w:val="231F20"/>
                <w:spacing w:val="-1"/>
              </w:rPr>
              <w:t> </w:t>
            </w:r>
            <w:r>
              <w:rPr>
                <w:color w:val="231F20"/>
              </w:rPr>
              <w:t>demand</w:t>
            </w:r>
          </w:hyperlink>
          <w:r>
            <w:rPr>
              <w:color w:val="231F20"/>
            </w:rPr>
            <w:tab/>
          </w:r>
          <w:r>
            <w:rPr>
              <w:b w:val="0"/>
              <w:color w:val="231F20"/>
            </w:rPr>
            <w:t>12</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1">
            <w:r>
              <w:rPr>
                <w:color w:val="231F20"/>
              </w:rPr>
              <w:t>Domestic demand</w:t>
            </w:r>
          </w:hyperlink>
          <w:r>
            <w:rPr>
              <w:color w:val="231F20"/>
            </w:rPr>
            <w:tab/>
          </w:r>
          <w:r>
            <w:rPr>
              <w:b w:val="0"/>
              <w:color w:val="231F20"/>
            </w:rPr>
            <w:t>17</w:t>
          </w:r>
        </w:p>
        <w:p>
          <w:pPr>
            <w:pStyle w:val="TOC5"/>
            <w:tabs>
              <w:tab w:pos="10289" w:val="right" w:leader="none"/>
            </w:tabs>
          </w:pPr>
          <w:hyperlink w:history="true" w:anchor="_bookmark11">
            <w:r>
              <w:rPr>
                <w:color w:val="231F20"/>
              </w:rPr>
              <w:t>Consumption</w:t>
            </w:r>
          </w:hyperlink>
          <w:r>
            <w:rPr>
              <w:color w:val="231F20"/>
            </w:rPr>
            <w:tab/>
            <w:t>17</w:t>
          </w:r>
        </w:p>
        <w:p>
          <w:pPr>
            <w:pStyle w:val="TOC5"/>
            <w:tabs>
              <w:tab w:pos="10289" w:val="right" w:leader="none"/>
            </w:tabs>
          </w:pPr>
          <w:hyperlink w:history="true" w:anchor="_bookmark12">
            <w:r>
              <w:rPr>
                <w:color w:val="231F20"/>
              </w:rPr>
              <w:t>Investment</w:t>
            </w:r>
            <w:r>
              <w:rPr>
                <w:color w:val="231F20"/>
                <w:spacing w:val="-1"/>
              </w:rPr>
              <w:t> </w:t>
            </w:r>
            <w:r>
              <w:rPr>
                <w:color w:val="231F20"/>
              </w:rPr>
              <w:t>demand</w:t>
            </w:r>
          </w:hyperlink>
          <w:r>
            <w:rPr>
              <w:color w:val="231F20"/>
            </w:rPr>
            <w:tab/>
            <w:t>18</w:t>
          </w:r>
        </w:p>
        <w:p>
          <w:pPr>
            <w:pStyle w:val="TOC5"/>
            <w:tabs>
              <w:tab w:pos="10289" w:val="right" w:leader="none"/>
            </w:tabs>
          </w:pPr>
          <w:hyperlink w:history="true" w:anchor="_bookmark14">
            <w:r>
              <w:rPr>
                <w:color w:val="231F20"/>
              </w:rPr>
              <w:t>Stockbuilding</w:t>
            </w:r>
          </w:hyperlink>
          <w:r>
            <w:rPr>
              <w:color w:val="231F20"/>
            </w:rPr>
            <w:tab/>
            <w:t>20</w:t>
          </w:r>
        </w:p>
        <w:p>
          <w:pPr>
            <w:pStyle w:val="TOC5"/>
            <w:tabs>
              <w:tab w:pos="10289" w:val="right" w:leader="none"/>
            </w:tabs>
          </w:pPr>
          <w:hyperlink w:history="true" w:anchor="_bookmark15">
            <w:r>
              <w:rPr>
                <w:color w:val="231F20"/>
              </w:rPr>
              <w:t>Public sector demand</w:t>
            </w:r>
          </w:hyperlink>
          <w:r>
            <w:rPr>
              <w:color w:val="231F20"/>
            </w:rPr>
            <w:tab/>
            <w:t>21</w:t>
          </w:r>
        </w:p>
        <w:p>
          <w:pPr>
            <w:pStyle w:val="TOC4"/>
            <w:numPr>
              <w:ilvl w:val="1"/>
              <w:numId w:val="1"/>
            </w:numPr>
            <w:tabs>
              <w:tab w:pos="5949" w:val="left" w:leader="none"/>
              <w:tab w:pos="5950" w:val="left" w:leader="none"/>
              <w:tab w:pos="10289" w:val="right" w:leader="none"/>
            </w:tabs>
            <w:spacing w:line="240" w:lineRule="auto" w:before="44" w:after="0"/>
            <w:ind w:left="5949" w:right="0" w:hanging="561"/>
            <w:jc w:val="left"/>
            <w:rPr>
              <w:b w:val="0"/>
              <w:i w:val="0"/>
              <w:sz w:val="24"/>
            </w:rPr>
          </w:pPr>
          <w:hyperlink w:history="true" w:anchor="_bookmark15">
            <w:r>
              <w:rPr>
                <w:i w:val="0"/>
                <w:color w:val="231F20"/>
                <w:sz w:val="24"/>
              </w:rPr>
              <w:t>Output</w:t>
            </w:r>
          </w:hyperlink>
          <w:r>
            <w:rPr>
              <w:i w:val="0"/>
              <w:color w:val="231F20"/>
              <w:sz w:val="24"/>
            </w:rPr>
            <w:tab/>
          </w:r>
          <w:r>
            <w:rPr>
              <w:b w:val="0"/>
              <w:i w:val="0"/>
              <w:color w:val="231F20"/>
              <w:sz w:val="24"/>
            </w:rPr>
            <w:t>21</w:t>
          </w:r>
        </w:p>
        <w:p>
          <w:pPr>
            <w:pStyle w:val="TOC2"/>
            <w:numPr>
              <w:ilvl w:val="1"/>
              <w:numId w:val="1"/>
            </w:numPr>
            <w:tabs>
              <w:tab w:pos="5949" w:val="left" w:leader="none"/>
              <w:tab w:pos="5950" w:val="left" w:leader="none"/>
              <w:tab w:pos="10289" w:val="right" w:leader="none"/>
            </w:tabs>
            <w:spacing w:line="240" w:lineRule="auto" w:before="24" w:after="0"/>
            <w:ind w:left="5949" w:right="0" w:hanging="561"/>
            <w:jc w:val="left"/>
            <w:rPr>
              <w:b w:val="0"/>
            </w:rPr>
          </w:pPr>
          <w:hyperlink w:history="true" w:anchor="_bookmark16">
            <w:r>
              <w:rPr>
                <w:color w:val="231F20"/>
              </w:rPr>
              <w:t>Summary</w:t>
            </w:r>
          </w:hyperlink>
          <w:r>
            <w:rPr>
              <w:color w:val="231F20"/>
            </w:rPr>
            <w:tab/>
          </w:r>
          <w:r>
            <w:rPr>
              <w:b w:val="0"/>
              <w:color w:val="231F20"/>
            </w:rPr>
            <w:t>22</w:t>
          </w:r>
        </w:p>
        <w:p>
          <w:pPr>
            <w:pStyle w:val="TOC3"/>
            <w:tabs>
              <w:tab w:pos="6249" w:val="left" w:leader="none"/>
              <w:tab w:pos="10289" w:val="right" w:leader="none"/>
            </w:tabs>
            <w:spacing w:line="261" w:lineRule="auto"/>
            <w:rPr>
              <w:i w:val="0"/>
            </w:rPr>
          </w:pPr>
          <w:r>
            <w:rPr>
              <w:i/>
              <w:color w:val="231F20"/>
            </w:rPr>
            <w:t>Boxes:</w:t>
            <w:tab/>
          </w:r>
          <w:hyperlink w:history="true" w:anchor="_bookmark10">
            <w:r>
              <w:rPr>
                <w:i/>
                <w:color w:val="231F20"/>
              </w:rPr>
              <w:t>Recent developments in Asia: </w:t>
            </w:r>
            <w:r>
              <w:rPr>
                <w:color w:val="231F20"/>
              </w:rPr>
              <w:t>implications for the world economy</w:t>
            </w:r>
          </w:hyperlink>
          <w:r>
            <w:rPr>
              <w:color w:val="231F20"/>
            </w:rPr>
            <w:tab/>
          </w:r>
          <w:r>
            <w:rPr>
              <w:i w:val="0"/>
              <w:color w:val="231F20"/>
            </w:rPr>
            <w:t>14</w:t>
          </w:r>
        </w:p>
        <w:p>
          <w:pPr>
            <w:pStyle w:val="TOC6"/>
            <w:rPr>
              <w:i/>
            </w:rPr>
          </w:pPr>
          <w:hyperlink w:history="true" w:anchor="_bookmark13">
            <w:r>
              <w:rPr>
                <w:i/>
                <w:color w:val="231F20"/>
              </w:rPr>
              <w:t>An alternative estimate of house</w:t>
            </w:r>
          </w:hyperlink>
        </w:p>
        <w:p>
          <w:pPr>
            <w:pStyle w:val="TOC7"/>
            <w:tabs>
              <w:tab w:pos="10289" w:val="right" w:leader="none"/>
            </w:tabs>
            <w:rPr>
              <w:b w:val="0"/>
              <w:i w:val="0"/>
              <w:sz w:val="24"/>
            </w:rPr>
          </w:pPr>
          <w:hyperlink w:history="true" w:anchor="_bookmark13">
            <w:r>
              <w:rPr>
                <w:b w:val="0"/>
                <w:i/>
                <w:color w:val="231F20"/>
                <w:sz w:val="24"/>
              </w:rPr>
              <w:t>prices</w:t>
            </w:r>
          </w:hyperlink>
          <w:r>
            <w:rPr>
              <w:b w:val="0"/>
              <w:i/>
              <w:color w:val="231F20"/>
              <w:sz w:val="24"/>
            </w:rPr>
            <w:tab/>
          </w:r>
          <w:r>
            <w:rPr>
              <w:b w:val="0"/>
              <w:i w:val="0"/>
              <w:color w:val="231F20"/>
              <w:sz w:val="24"/>
            </w:rPr>
            <w:t>19</w:t>
          </w:r>
        </w:p>
        <w:p>
          <w:pPr>
            <w:pStyle w:val="TOC1"/>
            <w:numPr>
              <w:ilvl w:val="0"/>
              <w:numId w:val="1"/>
            </w:numPr>
            <w:tabs>
              <w:tab w:pos="5389" w:val="left" w:leader="none"/>
              <w:tab w:pos="5390" w:val="left" w:leader="none"/>
              <w:tab w:pos="10289" w:val="right" w:leader="none"/>
            </w:tabs>
            <w:spacing w:line="240" w:lineRule="auto" w:before="324" w:after="0"/>
            <w:ind w:left="5389" w:right="0" w:hanging="381"/>
            <w:jc w:val="left"/>
            <w:rPr>
              <w:b w:val="0"/>
            </w:rPr>
          </w:pPr>
          <w:hyperlink w:history="true" w:anchor="_bookmark17">
            <w:r>
              <w:rPr>
                <w:color w:val="0093C1"/>
              </w:rPr>
              <w:t>The</w:t>
            </w:r>
            <w:r>
              <w:rPr>
                <w:color w:val="0093C1"/>
                <w:spacing w:val="-1"/>
              </w:rPr>
              <w:t> </w:t>
            </w:r>
            <w:r>
              <w:rPr>
                <w:color w:val="0093C1"/>
              </w:rPr>
              <w:t>labour market</w:t>
            </w:r>
          </w:hyperlink>
          <w:r>
            <w:rPr>
              <w:color w:val="0093C1"/>
            </w:rPr>
            <w:tab/>
          </w:r>
          <w:r>
            <w:rPr>
              <w:b w:val="0"/>
              <w:color w:val="231F20"/>
            </w:rPr>
            <w:t>23</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7">
            <w:r>
              <w:rPr>
                <w:color w:val="231F20"/>
              </w:rPr>
              <w:t>Nominal</w:t>
            </w:r>
            <w:r>
              <w:rPr>
                <w:color w:val="231F20"/>
                <w:spacing w:val="-1"/>
              </w:rPr>
              <w:t> </w:t>
            </w:r>
            <w:r>
              <w:rPr>
                <w:color w:val="231F20"/>
              </w:rPr>
              <w:t>earnings</w:t>
            </w:r>
          </w:hyperlink>
          <w:r>
            <w:rPr>
              <w:color w:val="231F20"/>
            </w:rPr>
            <w:tab/>
          </w:r>
          <w:r>
            <w:rPr>
              <w:b w:val="0"/>
              <w:color w:val="231F20"/>
            </w:rPr>
            <w:t>23</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9">
            <w:r>
              <w:rPr>
                <w:color w:val="231F20"/>
              </w:rPr>
              <w:t>Real</w:t>
            </w:r>
            <w:r>
              <w:rPr>
                <w:color w:val="231F20"/>
                <w:spacing w:val="-1"/>
              </w:rPr>
              <w:t> </w:t>
            </w:r>
            <w:r>
              <w:rPr>
                <w:color w:val="231F20"/>
              </w:rPr>
              <w:t>earnings</w:t>
            </w:r>
          </w:hyperlink>
          <w:r>
            <w:rPr>
              <w:color w:val="231F20"/>
            </w:rPr>
            <w:tab/>
          </w:r>
          <w:r>
            <w:rPr>
              <w:b w:val="0"/>
              <w:color w:val="231F20"/>
            </w:rPr>
            <w:t>24</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20">
            <w:r>
              <w:rPr>
                <w:color w:val="231F20"/>
              </w:rPr>
              <w:t>Explaining real</w:t>
            </w:r>
            <w:r>
              <w:rPr>
                <w:color w:val="231F20"/>
                <w:spacing w:val="-3"/>
              </w:rPr>
              <w:t> </w:t>
            </w:r>
            <w:r>
              <w:rPr>
                <w:color w:val="231F20"/>
              </w:rPr>
              <w:t>earnings</w:t>
            </w:r>
            <w:r>
              <w:rPr>
                <w:color w:val="231F20"/>
                <w:spacing w:val="-1"/>
              </w:rPr>
              <w:t> </w:t>
            </w:r>
            <w:r>
              <w:rPr>
                <w:color w:val="231F20"/>
              </w:rPr>
              <w:t>behaviour</w:t>
            </w:r>
          </w:hyperlink>
          <w:r>
            <w:rPr>
              <w:color w:val="231F20"/>
            </w:rPr>
            <w:tab/>
          </w:r>
          <w:r>
            <w:rPr>
              <w:b w:val="0"/>
              <w:color w:val="231F20"/>
            </w:rPr>
            <w:t>25</w:t>
          </w:r>
        </w:p>
        <w:p>
          <w:pPr>
            <w:pStyle w:val="TOC5"/>
            <w:tabs>
              <w:tab w:pos="10289" w:val="right" w:leader="none"/>
            </w:tabs>
          </w:pPr>
          <w:hyperlink w:history="true" w:anchor="_bookmark20">
            <w:r>
              <w:rPr>
                <w:color w:val="231F20"/>
              </w:rPr>
              <w:t>Labour</w:t>
            </w:r>
            <w:r>
              <w:rPr>
                <w:color w:val="231F20"/>
                <w:spacing w:val="-1"/>
              </w:rPr>
              <w:t> </w:t>
            </w:r>
            <w:r>
              <w:rPr>
                <w:color w:val="231F20"/>
              </w:rPr>
              <w:t>market tightness</w:t>
            </w:r>
          </w:hyperlink>
          <w:r>
            <w:rPr>
              <w:color w:val="231F20"/>
            </w:rPr>
            <w:tab/>
            <w:t>25</w:t>
          </w:r>
        </w:p>
        <w:p>
          <w:pPr>
            <w:pStyle w:val="TOC5"/>
            <w:tabs>
              <w:tab w:pos="10290" w:val="right" w:leader="none"/>
            </w:tabs>
          </w:pPr>
          <w:hyperlink w:history="true" w:anchor="_bookmark21">
            <w:r>
              <w:rPr>
                <w:color w:val="231F20"/>
              </w:rPr>
              <w:t>Other factors affecting</w:t>
            </w:r>
            <w:r>
              <w:rPr>
                <w:color w:val="231F20"/>
                <w:spacing w:val="-3"/>
              </w:rPr>
              <w:t> </w:t>
            </w:r>
            <w:r>
              <w:rPr>
                <w:color w:val="231F20"/>
              </w:rPr>
              <w:t>real</w:t>
            </w:r>
            <w:r>
              <w:rPr>
                <w:color w:val="231F20"/>
                <w:spacing w:val="-1"/>
              </w:rPr>
              <w:t> </w:t>
            </w:r>
            <w:r>
              <w:rPr>
                <w:color w:val="231F20"/>
              </w:rPr>
              <w:t>earnings</w:t>
            </w:r>
          </w:hyperlink>
          <w:r>
            <w:rPr>
              <w:color w:val="231F20"/>
            </w:rPr>
            <w:tab/>
            <w:t>28</w:t>
          </w:r>
        </w:p>
        <w:p>
          <w:pPr>
            <w:pStyle w:val="TOC2"/>
            <w:numPr>
              <w:ilvl w:val="1"/>
              <w:numId w:val="1"/>
            </w:numPr>
            <w:tabs>
              <w:tab w:pos="5949" w:val="left" w:leader="none"/>
              <w:tab w:pos="5950" w:val="left" w:leader="none"/>
              <w:tab w:pos="10289" w:val="right" w:leader="none"/>
            </w:tabs>
            <w:spacing w:line="240" w:lineRule="auto" w:before="44" w:after="20"/>
            <w:ind w:left="5949" w:right="0" w:hanging="561"/>
            <w:jc w:val="left"/>
            <w:rPr>
              <w:b w:val="0"/>
            </w:rPr>
          </w:pPr>
          <w:hyperlink w:history="true" w:anchor="_bookmark22">
            <w:r>
              <w:rPr>
                <w:color w:val="231F20"/>
              </w:rPr>
              <w:t>Summary</w:t>
            </w:r>
          </w:hyperlink>
          <w:r>
            <w:rPr>
              <w:color w:val="231F20"/>
            </w:rPr>
            <w:tab/>
          </w:r>
          <w:r>
            <w:rPr>
              <w:b w:val="0"/>
              <w:color w:val="231F20"/>
            </w:rPr>
            <w:t>29</w:t>
          </w:r>
        </w:p>
        <w:p>
          <w:pPr>
            <w:pStyle w:val="TOC1"/>
            <w:numPr>
              <w:ilvl w:val="0"/>
              <w:numId w:val="1"/>
            </w:numPr>
            <w:tabs>
              <w:tab w:pos="5379" w:val="left" w:leader="none"/>
              <w:tab w:pos="5380" w:val="left" w:leader="none"/>
              <w:tab w:pos="10279" w:val="right" w:leader="none"/>
            </w:tabs>
            <w:spacing w:line="240" w:lineRule="auto" w:before="73" w:after="55"/>
            <w:ind w:left="5379" w:right="0" w:hanging="380"/>
            <w:jc w:val="left"/>
            <w:rPr>
              <w:b w:val="0"/>
            </w:rPr>
          </w:pPr>
          <w:hyperlink w:history="true" w:anchor="_bookmark23">
            <w:r>
              <w:rPr>
                <w:color w:val="0093C1"/>
              </w:rPr>
              <w:t>Costs and prices</w:t>
            </w:r>
          </w:hyperlink>
          <w:r>
            <w:rPr>
              <w:color w:val="0093C1"/>
            </w:rPr>
            <w:tab/>
          </w:r>
          <w:r>
            <w:rPr>
              <w:b w:val="0"/>
              <w:color w:val="231F20"/>
            </w:rPr>
            <w:t>30</w:t>
          </w:r>
        </w:p>
      </w:sdtContent>
    </w:sdt>
    <w:p>
      <w:pPr>
        <w:spacing w:after="0" w:line="240" w:lineRule="auto"/>
        <w:jc w:val="left"/>
        <w:sectPr>
          <w:type w:val="continuous"/>
          <w:pgSz w:w="11880" w:h="16840"/>
          <w:pgMar w:top="980" w:bottom="2770" w:left="620" w:right="620"/>
        </w:sectPr>
      </w:pPr>
    </w:p>
    <w:tbl>
      <w:tblPr>
        <w:tblW w:w="0" w:type="auto"/>
        <w:jc w:val="left"/>
        <w:tblInd w:w="5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981"/>
        <w:gridCol w:w="462"/>
      </w:tblGrid>
      <w:tr>
        <w:trPr>
          <w:trHeight w:val="292" w:hRule="atLeast"/>
        </w:trPr>
        <w:tc>
          <w:tcPr>
            <w:tcW w:w="556" w:type="dxa"/>
          </w:tcPr>
          <w:p>
            <w:pPr>
              <w:pStyle w:val="TableParagraph"/>
              <w:spacing w:line="266" w:lineRule="exact"/>
              <w:ind w:left="50"/>
              <w:rPr>
                <w:b/>
                <w:sz w:val="24"/>
              </w:rPr>
            </w:pPr>
            <w:r>
              <w:rPr>
                <w:b/>
                <w:color w:val="231F20"/>
                <w:sz w:val="24"/>
              </w:rPr>
              <w:t>4.1</w:t>
            </w:r>
          </w:p>
        </w:tc>
        <w:tc>
          <w:tcPr>
            <w:tcW w:w="3981" w:type="dxa"/>
          </w:tcPr>
          <w:p>
            <w:pPr>
              <w:pStyle w:val="TableParagraph"/>
              <w:spacing w:line="266" w:lineRule="exact"/>
              <w:ind w:left="53"/>
              <w:rPr>
                <w:b/>
                <w:sz w:val="24"/>
              </w:rPr>
            </w:pPr>
            <w:hyperlink w:history="true" w:anchor="_bookmark23">
              <w:r>
                <w:rPr>
                  <w:b/>
                  <w:color w:val="231F20"/>
                  <w:sz w:val="24"/>
                </w:rPr>
                <w:t>Import prices and the exchange rate</w:t>
              </w:r>
            </w:hyperlink>
          </w:p>
        </w:tc>
        <w:tc>
          <w:tcPr>
            <w:tcW w:w="462" w:type="dxa"/>
          </w:tcPr>
          <w:p>
            <w:pPr>
              <w:pStyle w:val="TableParagraph"/>
              <w:spacing w:line="266" w:lineRule="exact"/>
              <w:ind w:right="48"/>
              <w:jc w:val="right"/>
              <w:rPr>
                <w:sz w:val="24"/>
              </w:rPr>
            </w:pPr>
            <w:r>
              <w:rPr>
                <w:color w:val="231F20"/>
                <w:sz w:val="24"/>
              </w:rPr>
              <w:t>30</w:t>
            </w:r>
          </w:p>
        </w:tc>
      </w:tr>
      <w:tr>
        <w:trPr>
          <w:trHeight w:val="319" w:hRule="atLeast"/>
        </w:trPr>
        <w:tc>
          <w:tcPr>
            <w:tcW w:w="556" w:type="dxa"/>
          </w:tcPr>
          <w:p>
            <w:pPr>
              <w:pStyle w:val="TableParagraph"/>
              <w:spacing w:before="17"/>
              <w:ind w:left="50"/>
              <w:rPr>
                <w:b/>
                <w:sz w:val="24"/>
              </w:rPr>
            </w:pPr>
            <w:r>
              <w:rPr>
                <w:b/>
                <w:color w:val="231F20"/>
                <w:sz w:val="24"/>
              </w:rPr>
              <w:t>4.2</w:t>
            </w:r>
          </w:p>
        </w:tc>
        <w:tc>
          <w:tcPr>
            <w:tcW w:w="3981" w:type="dxa"/>
          </w:tcPr>
          <w:p>
            <w:pPr>
              <w:pStyle w:val="TableParagraph"/>
              <w:spacing w:before="17"/>
              <w:ind w:left="53"/>
              <w:rPr>
                <w:b/>
                <w:sz w:val="24"/>
              </w:rPr>
            </w:pPr>
            <w:hyperlink w:history="true" w:anchor="_bookmark25">
              <w:r>
                <w:rPr>
                  <w:b/>
                  <w:color w:val="231F20"/>
                  <w:sz w:val="24"/>
                </w:rPr>
                <w:t>Raw material and commodity prices</w:t>
              </w:r>
            </w:hyperlink>
          </w:p>
        </w:tc>
        <w:tc>
          <w:tcPr>
            <w:tcW w:w="462" w:type="dxa"/>
          </w:tcPr>
          <w:p>
            <w:pPr>
              <w:pStyle w:val="TableParagraph"/>
              <w:spacing w:before="17"/>
              <w:ind w:right="48"/>
              <w:jc w:val="right"/>
              <w:rPr>
                <w:sz w:val="24"/>
              </w:rPr>
            </w:pPr>
            <w:r>
              <w:rPr>
                <w:color w:val="231F20"/>
                <w:sz w:val="24"/>
              </w:rPr>
              <w:t>32</w:t>
            </w:r>
          </w:p>
        </w:tc>
      </w:tr>
      <w:tr>
        <w:trPr>
          <w:trHeight w:val="319" w:hRule="atLeast"/>
        </w:trPr>
        <w:tc>
          <w:tcPr>
            <w:tcW w:w="556" w:type="dxa"/>
          </w:tcPr>
          <w:p>
            <w:pPr>
              <w:pStyle w:val="TableParagraph"/>
              <w:spacing w:before="17"/>
              <w:ind w:left="50"/>
              <w:rPr>
                <w:b/>
                <w:sz w:val="24"/>
              </w:rPr>
            </w:pPr>
            <w:r>
              <w:rPr>
                <w:b/>
                <w:color w:val="231F20"/>
                <w:sz w:val="24"/>
              </w:rPr>
              <w:t>4.3</w:t>
            </w:r>
          </w:p>
        </w:tc>
        <w:tc>
          <w:tcPr>
            <w:tcW w:w="3981" w:type="dxa"/>
          </w:tcPr>
          <w:p>
            <w:pPr>
              <w:pStyle w:val="TableParagraph"/>
              <w:spacing w:before="17"/>
              <w:ind w:left="53"/>
              <w:rPr>
                <w:b/>
                <w:sz w:val="24"/>
              </w:rPr>
            </w:pPr>
            <w:hyperlink w:history="true" w:anchor="_bookmark26">
              <w:r>
                <w:rPr>
                  <w:b/>
                  <w:color w:val="231F20"/>
                  <w:sz w:val="24"/>
                </w:rPr>
                <w:t>Costs and prices in the service sector</w:t>
              </w:r>
            </w:hyperlink>
          </w:p>
        </w:tc>
        <w:tc>
          <w:tcPr>
            <w:tcW w:w="462" w:type="dxa"/>
          </w:tcPr>
          <w:p>
            <w:pPr>
              <w:pStyle w:val="TableParagraph"/>
              <w:spacing w:before="17"/>
              <w:ind w:right="48"/>
              <w:jc w:val="right"/>
              <w:rPr>
                <w:sz w:val="24"/>
              </w:rPr>
            </w:pPr>
            <w:r>
              <w:rPr>
                <w:color w:val="231F20"/>
                <w:sz w:val="24"/>
              </w:rPr>
              <w:t>33</w:t>
            </w:r>
          </w:p>
        </w:tc>
      </w:tr>
      <w:tr>
        <w:trPr>
          <w:trHeight w:val="319" w:hRule="atLeast"/>
        </w:trPr>
        <w:tc>
          <w:tcPr>
            <w:tcW w:w="556" w:type="dxa"/>
          </w:tcPr>
          <w:p>
            <w:pPr>
              <w:pStyle w:val="TableParagraph"/>
              <w:spacing w:before="17"/>
              <w:ind w:left="50"/>
              <w:rPr>
                <w:b/>
                <w:sz w:val="24"/>
              </w:rPr>
            </w:pPr>
            <w:r>
              <w:rPr>
                <w:b/>
                <w:color w:val="231F20"/>
                <w:sz w:val="24"/>
              </w:rPr>
              <w:t>4.4</w:t>
            </w:r>
          </w:p>
        </w:tc>
        <w:tc>
          <w:tcPr>
            <w:tcW w:w="3981" w:type="dxa"/>
          </w:tcPr>
          <w:p>
            <w:pPr>
              <w:pStyle w:val="TableParagraph"/>
              <w:spacing w:before="17"/>
              <w:ind w:left="53"/>
              <w:rPr>
                <w:b/>
                <w:sz w:val="24"/>
              </w:rPr>
            </w:pPr>
            <w:hyperlink w:history="true" w:anchor="_bookmark26">
              <w:r>
                <w:rPr>
                  <w:b/>
                  <w:color w:val="231F20"/>
                  <w:sz w:val="24"/>
                </w:rPr>
                <w:t>Costs and prices in manufacturing</w:t>
              </w:r>
            </w:hyperlink>
          </w:p>
        </w:tc>
        <w:tc>
          <w:tcPr>
            <w:tcW w:w="462" w:type="dxa"/>
          </w:tcPr>
          <w:p>
            <w:pPr>
              <w:pStyle w:val="TableParagraph"/>
              <w:spacing w:before="17"/>
              <w:ind w:right="48"/>
              <w:jc w:val="right"/>
              <w:rPr>
                <w:sz w:val="24"/>
              </w:rPr>
            </w:pPr>
            <w:r>
              <w:rPr>
                <w:color w:val="231F20"/>
                <w:sz w:val="24"/>
              </w:rPr>
              <w:t>33</w:t>
            </w:r>
          </w:p>
        </w:tc>
      </w:tr>
      <w:tr>
        <w:trPr>
          <w:trHeight w:val="319" w:hRule="atLeast"/>
        </w:trPr>
        <w:tc>
          <w:tcPr>
            <w:tcW w:w="556" w:type="dxa"/>
          </w:tcPr>
          <w:p>
            <w:pPr>
              <w:pStyle w:val="TableParagraph"/>
              <w:rPr>
                <w:sz w:val="24"/>
              </w:rPr>
            </w:pPr>
          </w:p>
        </w:tc>
        <w:tc>
          <w:tcPr>
            <w:tcW w:w="3981" w:type="dxa"/>
          </w:tcPr>
          <w:p>
            <w:pPr>
              <w:pStyle w:val="TableParagraph"/>
              <w:spacing w:before="17"/>
              <w:ind w:left="354"/>
              <w:rPr>
                <w:sz w:val="24"/>
              </w:rPr>
            </w:pPr>
            <w:hyperlink w:history="true" w:anchor="_bookmark27">
              <w:r>
                <w:rPr>
                  <w:color w:val="231F20"/>
                  <w:sz w:val="24"/>
                </w:rPr>
                <w:t>Pricing in the manufacturing sector</w:t>
              </w:r>
            </w:hyperlink>
          </w:p>
        </w:tc>
        <w:tc>
          <w:tcPr>
            <w:tcW w:w="462" w:type="dxa"/>
          </w:tcPr>
          <w:p>
            <w:pPr>
              <w:pStyle w:val="TableParagraph"/>
              <w:spacing w:before="17"/>
              <w:ind w:right="45"/>
              <w:jc w:val="right"/>
              <w:rPr>
                <w:sz w:val="24"/>
              </w:rPr>
            </w:pPr>
            <w:r>
              <w:rPr>
                <w:color w:val="231F20"/>
                <w:sz w:val="24"/>
              </w:rPr>
              <w:t>34</w:t>
            </w:r>
          </w:p>
        </w:tc>
      </w:tr>
      <w:tr>
        <w:trPr>
          <w:trHeight w:val="319" w:hRule="atLeast"/>
        </w:trPr>
        <w:tc>
          <w:tcPr>
            <w:tcW w:w="556" w:type="dxa"/>
          </w:tcPr>
          <w:p>
            <w:pPr>
              <w:pStyle w:val="TableParagraph"/>
              <w:spacing w:before="17"/>
              <w:ind w:left="50"/>
              <w:rPr>
                <w:b/>
                <w:sz w:val="24"/>
              </w:rPr>
            </w:pPr>
            <w:r>
              <w:rPr>
                <w:b/>
                <w:color w:val="231F20"/>
                <w:sz w:val="24"/>
              </w:rPr>
              <w:t>4.5</w:t>
            </w:r>
          </w:p>
        </w:tc>
        <w:tc>
          <w:tcPr>
            <w:tcW w:w="3981" w:type="dxa"/>
          </w:tcPr>
          <w:p>
            <w:pPr>
              <w:pStyle w:val="TableParagraph"/>
              <w:spacing w:before="17"/>
              <w:ind w:left="53"/>
              <w:rPr>
                <w:b/>
                <w:sz w:val="24"/>
              </w:rPr>
            </w:pPr>
            <w:hyperlink w:history="true" w:anchor="_bookmark27">
              <w:r>
                <w:rPr>
                  <w:b/>
                  <w:color w:val="231F20"/>
                  <w:sz w:val="24"/>
                </w:rPr>
                <w:t>Retail prices</w:t>
              </w:r>
            </w:hyperlink>
          </w:p>
        </w:tc>
        <w:tc>
          <w:tcPr>
            <w:tcW w:w="462" w:type="dxa"/>
          </w:tcPr>
          <w:p>
            <w:pPr>
              <w:pStyle w:val="TableParagraph"/>
              <w:spacing w:before="17"/>
              <w:ind w:right="46"/>
              <w:jc w:val="right"/>
              <w:rPr>
                <w:sz w:val="24"/>
              </w:rPr>
            </w:pPr>
            <w:r>
              <w:rPr>
                <w:color w:val="231F20"/>
                <w:sz w:val="24"/>
              </w:rPr>
              <w:t>34</w:t>
            </w:r>
          </w:p>
        </w:tc>
      </w:tr>
      <w:tr>
        <w:trPr>
          <w:trHeight w:val="319" w:hRule="atLeast"/>
        </w:trPr>
        <w:tc>
          <w:tcPr>
            <w:tcW w:w="556" w:type="dxa"/>
          </w:tcPr>
          <w:p>
            <w:pPr>
              <w:pStyle w:val="TableParagraph"/>
              <w:spacing w:before="17"/>
              <w:ind w:left="50"/>
              <w:rPr>
                <w:b/>
                <w:sz w:val="24"/>
              </w:rPr>
            </w:pPr>
            <w:r>
              <w:rPr>
                <w:b/>
                <w:color w:val="231F20"/>
                <w:sz w:val="24"/>
              </w:rPr>
              <w:t>4.6</w:t>
            </w:r>
          </w:p>
        </w:tc>
        <w:tc>
          <w:tcPr>
            <w:tcW w:w="3981" w:type="dxa"/>
          </w:tcPr>
          <w:p>
            <w:pPr>
              <w:pStyle w:val="TableParagraph"/>
              <w:spacing w:before="17"/>
              <w:ind w:left="53"/>
              <w:rPr>
                <w:b/>
                <w:sz w:val="24"/>
              </w:rPr>
            </w:pPr>
            <w:hyperlink w:history="true" w:anchor="_bookmark28">
              <w:r>
                <w:rPr>
                  <w:b/>
                  <w:color w:val="231F20"/>
                  <w:sz w:val="24"/>
                </w:rPr>
                <w:t>Other price indices</w:t>
              </w:r>
            </w:hyperlink>
          </w:p>
        </w:tc>
        <w:tc>
          <w:tcPr>
            <w:tcW w:w="462" w:type="dxa"/>
          </w:tcPr>
          <w:p>
            <w:pPr>
              <w:pStyle w:val="TableParagraph"/>
              <w:spacing w:before="17"/>
              <w:ind w:right="46"/>
              <w:jc w:val="right"/>
              <w:rPr>
                <w:sz w:val="24"/>
              </w:rPr>
            </w:pPr>
            <w:r>
              <w:rPr>
                <w:color w:val="231F20"/>
                <w:sz w:val="24"/>
              </w:rPr>
              <w:t>35</w:t>
            </w:r>
          </w:p>
        </w:tc>
      </w:tr>
      <w:tr>
        <w:trPr>
          <w:trHeight w:val="319" w:hRule="atLeast"/>
        </w:trPr>
        <w:tc>
          <w:tcPr>
            <w:tcW w:w="556" w:type="dxa"/>
          </w:tcPr>
          <w:p>
            <w:pPr>
              <w:pStyle w:val="TableParagraph"/>
              <w:spacing w:before="17"/>
              <w:ind w:left="50"/>
              <w:rPr>
                <w:b/>
                <w:sz w:val="24"/>
              </w:rPr>
            </w:pPr>
            <w:r>
              <w:rPr>
                <w:b/>
                <w:color w:val="231F20"/>
                <w:sz w:val="24"/>
              </w:rPr>
              <w:t>4.7</w:t>
            </w:r>
          </w:p>
        </w:tc>
        <w:tc>
          <w:tcPr>
            <w:tcW w:w="3981" w:type="dxa"/>
          </w:tcPr>
          <w:p>
            <w:pPr>
              <w:pStyle w:val="TableParagraph"/>
              <w:spacing w:before="17"/>
              <w:ind w:left="53"/>
              <w:rPr>
                <w:b/>
                <w:sz w:val="24"/>
              </w:rPr>
            </w:pPr>
            <w:hyperlink w:history="true" w:anchor="_bookmark29">
              <w:r>
                <w:rPr>
                  <w:b/>
                  <w:color w:val="231F20"/>
                  <w:sz w:val="24"/>
                </w:rPr>
                <w:t>Summary</w:t>
              </w:r>
            </w:hyperlink>
          </w:p>
        </w:tc>
        <w:tc>
          <w:tcPr>
            <w:tcW w:w="462" w:type="dxa"/>
          </w:tcPr>
          <w:p>
            <w:pPr>
              <w:pStyle w:val="TableParagraph"/>
              <w:spacing w:before="17"/>
              <w:ind w:right="46"/>
              <w:jc w:val="right"/>
              <w:rPr>
                <w:sz w:val="24"/>
              </w:rPr>
            </w:pPr>
            <w:r>
              <w:rPr>
                <w:color w:val="231F20"/>
                <w:sz w:val="24"/>
              </w:rPr>
              <w:t>36</w:t>
            </w:r>
          </w:p>
        </w:tc>
      </w:tr>
      <w:tr>
        <w:trPr>
          <w:trHeight w:val="292" w:hRule="atLeast"/>
        </w:trPr>
        <w:tc>
          <w:tcPr>
            <w:tcW w:w="556" w:type="dxa"/>
          </w:tcPr>
          <w:p>
            <w:pPr>
              <w:pStyle w:val="TableParagraph"/>
              <w:spacing w:line="256" w:lineRule="exact" w:before="17"/>
              <w:ind w:left="50"/>
              <w:rPr>
                <w:i/>
                <w:sz w:val="24"/>
              </w:rPr>
            </w:pPr>
            <w:r>
              <w:rPr>
                <w:i/>
                <w:color w:val="231F20"/>
                <w:sz w:val="24"/>
              </w:rPr>
              <w:t>Box:</w:t>
            </w:r>
          </w:p>
        </w:tc>
        <w:tc>
          <w:tcPr>
            <w:tcW w:w="3981" w:type="dxa"/>
          </w:tcPr>
          <w:p>
            <w:pPr>
              <w:pStyle w:val="TableParagraph"/>
              <w:spacing w:line="256" w:lineRule="exact" w:before="17"/>
              <w:ind w:left="354"/>
              <w:rPr>
                <w:i/>
                <w:sz w:val="24"/>
              </w:rPr>
            </w:pPr>
            <w:hyperlink w:history="true" w:anchor="_bookmark24">
              <w:r>
                <w:rPr>
                  <w:i/>
                  <w:color w:val="231F20"/>
                  <w:sz w:val="24"/>
                </w:rPr>
                <w:t>The interaction of costs and prices</w:t>
              </w:r>
            </w:hyperlink>
          </w:p>
        </w:tc>
        <w:tc>
          <w:tcPr>
            <w:tcW w:w="462" w:type="dxa"/>
          </w:tcPr>
          <w:p>
            <w:pPr>
              <w:pStyle w:val="TableParagraph"/>
              <w:spacing w:line="256" w:lineRule="exact" w:before="17"/>
              <w:ind w:right="46"/>
              <w:jc w:val="right"/>
              <w:rPr>
                <w:sz w:val="24"/>
              </w:rPr>
            </w:pPr>
            <w:r>
              <w:rPr>
                <w:color w:val="231F20"/>
                <w:sz w:val="24"/>
              </w:rPr>
              <w:t>31</w:t>
            </w:r>
          </w:p>
        </w:tc>
      </w:tr>
    </w:tbl>
    <w:p>
      <w:pPr>
        <w:pStyle w:val="BodyText"/>
        <w:spacing w:before="7"/>
        <w:rPr>
          <w:sz w:val="31"/>
        </w:rPr>
      </w:pPr>
    </w:p>
    <w:p>
      <w:pPr>
        <w:pStyle w:val="ListParagraph"/>
        <w:numPr>
          <w:ilvl w:val="0"/>
          <w:numId w:val="1"/>
        </w:numPr>
        <w:tabs>
          <w:tab w:pos="5379" w:val="left" w:leader="none"/>
          <w:tab w:pos="5380" w:val="left" w:leader="none"/>
          <w:tab w:pos="10039" w:val="left" w:leader="none"/>
        </w:tabs>
        <w:spacing w:line="240" w:lineRule="auto" w:before="0" w:after="0"/>
        <w:ind w:left="5379" w:right="0" w:hanging="380"/>
        <w:jc w:val="left"/>
        <w:rPr>
          <w:sz w:val="24"/>
        </w:rPr>
      </w:pPr>
      <w:hyperlink w:history="true" w:anchor="_bookmark30">
        <w:r>
          <w:rPr>
            <w:b/>
            <w:color w:val="0093C1"/>
            <w:sz w:val="24"/>
          </w:rPr>
          <w:t>Monetary policy since the</w:t>
        </w:r>
        <w:r>
          <w:rPr>
            <w:b/>
            <w:color w:val="0093C1"/>
            <w:spacing w:val="-4"/>
            <w:sz w:val="24"/>
          </w:rPr>
          <w:t> </w:t>
        </w:r>
        <w:r>
          <w:rPr>
            <w:b/>
            <w:color w:val="0093C1"/>
            <w:sz w:val="24"/>
          </w:rPr>
          <w:t>November</w:t>
        </w:r>
        <w:r>
          <w:rPr>
            <w:b/>
            <w:color w:val="0093C1"/>
            <w:spacing w:val="-2"/>
            <w:sz w:val="24"/>
          </w:rPr>
          <w:t> </w:t>
        </w:r>
        <w:r>
          <w:rPr>
            <w:b/>
            <w:i/>
            <w:color w:val="0093C1"/>
            <w:sz w:val="24"/>
          </w:rPr>
          <w:t>Report</w:t>
        </w:r>
      </w:hyperlink>
      <w:r>
        <w:rPr>
          <w:b/>
          <w:i/>
          <w:color w:val="0093C1"/>
          <w:sz w:val="24"/>
        </w:rPr>
        <w:tab/>
      </w:r>
      <w:r>
        <w:rPr>
          <w:color w:val="231F20"/>
          <w:sz w:val="24"/>
        </w:rPr>
        <w:t>37</w:t>
      </w:r>
    </w:p>
    <w:p>
      <w:pPr>
        <w:pStyle w:val="Heading4"/>
        <w:numPr>
          <w:ilvl w:val="0"/>
          <w:numId w:val="1"/>
        </w:numPr>
        <w:tabs>
          <w:tab w:pos="5379" w:val="left" w:leader="none"/>
          <w:tab w:pos="5380" w:val="left" w:leader="none"/>
          <w:tab w:pos="10279" w:val="right" w:leader="none"/>
        </w:tabs>
        <w:spacing w:line="240" w:lineRule="auto" w:before="364" w:after="55"/>
        <w:ind w:left="5379" w:right="0" w:hanging="380"/>
        <w:jc w:val="left"/>
        <w:rPr>
          <w:b w:val="0"/>
        </w:rPr>
      </w:pPr>
      <w:hyperlink w:history="true" w:anchor="_bookmark31">
        <w:r>
          <w:rPr>
            <w:color w:val="0093C1"/>
          </w:rPr>
          <w:t>Prospects</w:t>
        </w:r>
        <w:r>
          <w:rPr>
            <w:color w:val="0093C1"/>
            <w:spacing w:val="-2"/>
          </w:rPr>
          <w:t> </w:t>
        </w:r>
        <w:r>
          <w:rPr>
            <w:color w:val="0093C1"/>
          </w:rPr>
          <w:t>for inflation</w:t>
        </w:r>
      </w:hyperlink>
      <w:r>
        <w:rPr>
          <w:color w:val="0093C1"/>
        </w:rPr>
        <w:tab/>
      </w:r>
      <w:r>
        <w:rPr>
          <w:b w:val="0"/>
          <w:color w:val="231F20"/>
        </w:rPr>
        <w:t>42</w:t>
      </w:r>
    </w:p>
    <w:tbl>
      <w:tblPr>
        <w:tblW w:w="0" w:type="auto"/>
        <w:jc w:val="left"/>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4138"/>
        <w:gridCol w:w="386"/>
      </w:tblGrid>
      <w:tr>
        <w:trPr>
          <w:trHeight w:val="292" w:hRule="atLeast"/>
        </w:trPr>
        <w:tc>
          <w:tcPr>
            <w:tcW w:w="857" w:type="dxa"/>
          </w:tcPr>
          <w:p>
            <w:pPr>
              <w:pStyle w:val="TableParagraph"/>
              <w:spacing w:line="266" w:lineRule="exact"/>
              <w:ind w:right="125"/>
              <w:jc w:val="right"/>
              <w:rPr>
                <w:b/>
                <w:sz w:val="24"/>
              </w:rPr>
            </w:pPr>
            <w:r>
              <w:rPr>
                <w:b/>
                <w:color w:val="231F20"/>
                <w:sz w:val="24"/>
              </w:rPr>
              <w:t>6.1</w:t>
            </w:r>
          </w:p>
        </w:tc>
        <w:tc>
          <w:tcPr>
            <w:tcW w:w="4138" w:type="dxa"/>
          </w:tcPr>
          <w:p>
            <w:pPr>
              <w:pStyle w:val="TableParagraph"/>
              <w:spacing w:line="266" w:lineRule="exact"/>
              <w:ind w:left="132"/>
              <w:rPr>
                <w:b/>
                <w:sz w:val="24"/>
              </w:rPr>
            </w:pPr>
            <w:hyperlink w:history="true" w:anchor="_bookmark31">
              <w:r>
                <w:rPr>
                  <w:b/>
                  <w:color w:val="231F20"/>
                  <w:sz w:val="24"/>
                </w:rPr>
                <w:t>The inflation projection assumptions</w:t>
              </w:r>
            </w:hyperlink>
          </w:p>
        </w:tc>
        <w:tc>
          <w:tcPr>
            <w:tcW w:w="386" w:type="dxa"/>
          </w:tcPr>
          <w:p>
            <w:pPr>
              <w:pStyle w:val="TableParagraph"/>
              <w:spacing w:line="266" w:lineRule="exact"/>
              <w:ind w:left="75" w:right="31"/>
              <w:jc w:val="center"/>
              <w:rPr>
                <w:sz w:val="24"/>
              </w:rPr>
            </w:pPr>
            <w:r>
              <w:rPr>
                <w:color w:val="231F20"/>
                <w:sz w:val="24"/>
              </w:rPr>
              <w:t>42</w:t>
            </w:r>
          </w:p>
        </w:tc>
      </w:tr>
      <w:tr>
        <w:trPr>
          <w:trHeight w:val="319" w:hRule="atLeast"/>
        </w:trPr>
        <w:tc>
          <w:tcPr>
            <w:tcW w:w="857" w:type="dxa"/>
          </w:tcPr>
          <w:p>
            <w:pPr>
              <w:pStyle w:val="TableParagraph"/>
              <w:spacing w:before="17"/>
              <w:ind w:right="125"/>
              <w:jc w:val="right"/>
              <w:rPr>
                <w:b/>
                <w:sz w:val="24"/>
              </w:rPr>
            </w:pPr>
            <w:r>
              <w:rPr>
                <w:b/>
                <w:color w:val="231F20"/>
                <w:sz w:val="24"/>
              </w:rPr>
              <w:t>6.2</w:t>
            </w:r>
          </w:p>
        </w:tc>
        <w:tc>
          <w:tcPr>
            <w:tcW w:w="4138" w:type="dxa"/>
          </w:tcPr>
          <w:p>
            <w:pPr>
              <w:pStyle w:val="TableParagraph"/>
              <w:spacing w:before="17"/>
              <w:ind w:left="132"/>
              <w:rPr>
                <w:b/>
                <w:sz w:val="24"/>
              </w:rPr>
            </w:pPr>
            <w:hyperlink w:history="true" w:anchor="_bookmark32">
              <w:r>
                <w:rPr>
                  <w:b/>
                  <w:color w:val="231F20"/>
                  <w:sz w:val="24"/>
                </w:rPr>
                <w:t>The medium-term inflation projection</w:t>
              </w:r>
            </w:hyperlink>
          </w:p>
        </w:tc>
        <w:tc>
          <w:tcPr>
            <w:tcW w:w="386" w:type="dxa"/>
          </w:tcPr>
          <w:p>
            <w:pPr>
              <w:pStyle w:val="TableParagraph"/>
              <w:spacing w:before="17"/>
              <w:ind w:left="75" w:right="31"/>
              <w:jc w:val="center"/>
              <w:rPr>
                <w:sz w:val="24"/>
              </w:rPr>
            </w:pPr>
            <w:r>
              <w:rPr>
                <w:color w:val="231F20"/>
                <w:sz w:val="24"/>
              </w:rPr>
              <w:t>43</w:t>
            </w:r>
          </w:p>
        </w:tc>
      </w:tr>
      <w:tr>
        <w:trPr>
          <w:trHeight w:val="479" w:hRule="atLeast"/>
        </w:trPr>
        <w:tc>
          <w:tcPr>
            <w:tcW w:w="857" w:type="dxa"/>
          </w:tcPr>
          <w:p>
            <w:pPr>
              <w:pStyle w:val="TableParagraph"/>
              <w:spacing w:before="17"/>
              <w:ind w:right="125"/>
              <w:jc w:val="right"/>
              <w:rPr>
                <w:b/>
                <w:sz w:val="24"/>
              </w:rPr>
            </w:pPr>
            <w:r>
              <w:rPr>
                <w:b/>
                <w:color w:val="231F20"/>
                <w:sz w:val="24"/>
              </w:rPr>
              <w:t>6.3</w:t>
            </w:r>
          </w:p>
        </w:tc>
        <w:tc>
          <w:tcPr>
            <w:tcW w:w="4138" w:type="dxa"/>
          </w:tcPr>
          <w:p>
            <w:pPr>
              <w:pStyle w:val="TableParagraph"/>
              <w:spacing w:before="17"/>
              <w:ind w:left="132"/>
              <w:rPr>
                <w:b/>
                <w:sz w:val="24"/>
              </w:rPr>
            </w:pPr>
            <w:hyperlink w:history="true" w:anchor="_bookmark33">
              <w:r>
                <w:rPr>
                  <w:b/>
                  <w:color w:val="231F20"/>
                  <w:sz w:val="24"/>
                </w:rPr>
                <w:t>Other forecasts</w:t>
              </w:r>
            </w:hyperlink>
          </w:p>
        </w:tc>
        <w:tc>
          <w:tcPr>
            <w:tcW w:w="386" w:type="dxa"/>
          </w:tcPr>
          <w:p>
            <w:pPr>
              <w:pStyle w:val="TableParagraph"/>
              <w:spacing w:before="17"/>
              <w:ind w:left="75" w:right="31"/>
              <w:jc w:val="center"/>
              <w:rPr>
                <w:sz w:val="24"/>
              </w:rPr>
            </w:pPr>
            <w:r>
              <w:rPr>
                <w:color w:val="231F20"/>
                <w:sz w:val="24"/>
              </w:rPr>
              <w:t>49</w:t>
            </w:r>
          </w:p>
        </w:tc>
      </w:tr>
      <w:tr>
        <w:trPr>
          <w:trHeight w:val="799" w:hRule="atLeast"/>
        </w:trPr>
        <w:tc>
          <w:tcPr>
            <w:tcW w:w="857" w:type="dxa"/>
          </w:tcPr>
          <w:p>
            <w:pPr>
              <w:pStyle w:val="TableParagraph"/>
              <w:spacing w:before="177"/>
              <w:ind w:right="58"/>
              <w:jc w:val="right"/>
              <w:rPr>
                <w:b/>
                <w:sz w:val="24"/>
              </w:rPr>
            </w:pPr>
            <w:hyperlink w:history="true" w:anchor="_bookmark35">
              <w:r>
                <w:rPr>
                  <w:b/>
                  <w:color w:val="0093C1"/>
                  <w:sz w:val="24"/>
                </w:rPr>
                <w:t>Annex:</w:t>
              </w:r>
            </w:hyperlink>
          </w:p>
        </w:tc>
        <w:tc>
          <w:tcPr>
            <w:tcW w:w="4138" w:type="dxa"/>
          </w:tcPr>
          <w:p>
            <w:pPr>
              <w:pStyle w:val="TableParagraph"/>
              <w:spacing w:line="320" w:lineRule="atLeast" w:before="133"/>
              <w:ind w:left="172" w:hanging="114"/>
              <w:rPr>
                <w:b/>
                <w:sz w:val="24"/>
              </w:rPr>
            </w:pPr>
            <w:hyperlink w:history="true" w:anchor="_bookmark35">
              <w:r>
                <w:rPr>
                  <w:b/>
                  <w:color w:val="0093C1"/>
                  <w:sz w:val="24"/>
                </w:rPr>
                <w:t>Minutes of the Monetary Policy Committee</w:t>
              </w:r>
            </w:hyperlink>
          </w:p>
        </w:tc>
        <w:tc>
          <w:tcPr>
            <w:tcW w:w="386" w:type="dxa"/>
          </w:tcPr>
          <w:p>
            <w:pPr>
              <w:pStyle w:val="TableParagraph"/>
              <w:rPr>
                <w:sz w:val="26"/>
              </w:rPr>
            </w:pPr>
          </w:p>
          <w:p>
            <w:pPr>
              <w:pStyle w:val="TableParagraph"/>
              <w:spacing w:before="198"/>
              <w:ind w:left="75" w:right="31"/>
              <w:jc w:val="center"/>
              <w:rPr>
                <w:sz w:val="24"/>
              </w:rPr>
            </w:pPr>
            <w:r>
              <w:rPr>
                <w:color w:val="231F20"/>
                <w:sz w:val="24"/>
              </w:rPr>
              <w:t>51</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6">
              <w:r>
                <w:rPr>
                  <w:b/>
                  <w:color w:val="231F20"/>
                  <w:sz w:val="24"/>
                </w:rPr>
                <w:t>November meeting</w:t>
              </w:r>
            </w:hyperlink>
          </w:p>
        </w:tc>
        <w:tc>
          <w:tcPr>
            <w:tcW w:w="386" w:type="dxa"/>
          </w:tcPr>
          <w:p>
            <w:pPr>
              <w:pStyle w:val="TableParagraph"/>
              <w:spacing w:before="17"/>
              <w:ind w:left="75" w:right="31"/>
              <w:jc w:val="center"/>
              <w:rPr>
                <w:sz w:val="24"/>
              </w:rPr>
            </w:pPr>
            <w:r>
              <w:rPr>
                <w:color w:val="231F20"/>
                <w:sz w:val="24"/>
              </w:rPr>
              <w:t>53</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7">
              <w:r>
                <w:rPr>
                  <w:b/>
                  <w:color w:val="231F20"/>
                  <w:sz w:val="24"/>
                </w:rPr>
                <w:t>December meeting</w:t>
              </w:r>
            </w:hyperlink>
          </w:p>
        </w:tc>
        <w:tc>
          <w:tcPr>
            <w:tcW w:w="386" w:type="dxa"/>
          </w:tcPr>
          <w:p>
            <w:pPr>
              <w:pStyle w:val="TableParagraph"/>
              <w:spacing w:before="17"/>
              <w:ind w:left="75" w:right="31"/>
              <w:jc w:val="center"/>
              <w:rPr>
                <w:sz w:val="24"/>
              </w:rPr>
            </w:pPr>
            <w:r>
              <w:rPr>
                <w:color w:val="231F20"/>
                <w:sz w:val="24"/>
              </w:rPr>
              <w:t>60</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9">
              <w:r>
                <w:rPr>
                  <w:b/>
                  <w:color w:val="231F20"/>
                  <w:sz w:val="24"/>
                </w:rPr>
                <w:t>December Press Notice</w:t>
              </w:r>
            </w:hyperlink>
          </w:p>
        </w:tc>
        <w:tc>
          <w:tcPr>
            <w:tcW w:w="386" w:type="dxa"/>
          </w:tcPr>
          <w:p>
            <w:pPr>
              <w:pStyle w:val="TableParagraph"/>
              <w:spacing w:before="17"/>
              <w:ind w:left="75" w:right="31"/>
              <w:jc w:val="center"/>
              <w:rPr>
                <w:sz w:val="24"/>
              </w:rPr>
            </w:pPr>
            <w:r>
              <w:rPr>
                <w:color w:val="231F20"/>
                <w:sz w:val="24"/>
              </w:rPr>
              <w:t>66</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40">
              <w:r>
                <w:rPr>
                  <w:b/>
                  <w:color w:val="231F20"/>
                  <w:sz w:val="24"/>
                </w:rPr>
                <w:t>January meeting</w:t>
              </w:r>
            </w:hyperlink>
          </w:p>
        </w:tc>
        <w:tc>
          <w:tcPr>
            <w:tcW w:w="386" w:type="dxa"/>
          </w:tcPr>
          <w:p>
            <w:pPr>
              <w:pStyle w:val="TableParagraph"/>
              <w:spacing w:before="17"/>
              <w:ind w:left="75" w:right="31"/>
              <w:jc w:val="center"/>
              <w:rPr>
                <w:sz w:val="24"/>
              </w:rPr>
            </w:pPr>
            <w:r>
              <w:rPr>
                <w:color w:val="231F20"/>
                <w:sz w:val="24"/>
              </w:rPr>
              <w:t>67</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42">
              <w:r>
                <w:rPr>
                  <w:b/>
                  <w:color w:val="231F20"/>
                  <w:sz w:val="24"/>
                </w:rPr>
                <w:t>January Press Notice</w:t>
              </w:r>
            </w:hyperlink>
          </w:p>
        </w:tc>
        <w:tc>
          <w:tcPr>
            <w:tcW w:w="386" w:type="dxa"/>
          </w:tcPr>
          <w:p>
            <w:pPr>
              <w:pStyle w:val="TableParagraph"/>
              <w:spacing w:before="17"/>
              <w:ind w:left="75" w:right="31"/>
              <w:jc w:val="center"/>
              <w:rPr>
                <w:sz w:val="24"/>
              </w:rPr>
            </w:pPr>
            <w:r>
              <w:rPr>
                <w:color w:val="231F20"/>
                <w:sz w:val="24"/>
              </w:rPr>
              <w:t>74</w:t>
            </w:r>
          </w:p>
        </w:tc>
      </w:tr>
      <w:tr>
        <w:trPr>
          <w:trHeight w:val="292" w:hRule="atLeast"/>
        </w:trPr>
        <w:tc>
          <w:tcPr>
            <w:tcW w:w="857" w:type="dxa"/>
          </w:tcPr>
          <w:p>
            <w:pPr>
              <w:pStyle w:val="TableParagraph"/>
              <w:rPr>
                <w:sz w:val="22"/>
              </w:rPr>
            </w:pPr>
          </w:p>
        </w:tc>
        <w:tc>
          <w:tcPr>
            <w:tcW w:w="4138" w:type="dxa"/>
          </w:tcPr>
          <w:p>
            <w:pPr>
              <w:pStyle w:val="TableParagraph"/>
              <w:spacing w:line="256" w:lineRule="exact" w:before="17"/>
              <w:ind w:left="133"/>
              <w:rPr>
                <w:b/>
                <w:sz w:val="24"/>
              </w:rPr>
            </w:pPr>
            <w:hyperlink w:history="true" w:anchor="_bookmark43">
              <w:r>
                <w:rPr>
                  <w:b/>
                  <w:color w:val="231F20"/>
                  <w:sz w:val="24"/>
                </w:rPr>
                <w:t>February Press Notice</w:t>
              </w:r>
            </w:hyperlink>
          </w:p>
        </w:tc>
        <w:tc>
          <w:tcPr>
            <w:tcW w:w="386" w:type="dxa"/>
          </w:tcPr>
          <w:p>
            <w:pPr>
              <w:pStyle w:val="TableParagraph"/>
              <w:spacing w:line="256" w:lineRule="exact" w:before="17"/>
              <w:ind w:left="75" w:right="31"/>
              <w:jc w:val="center"/>
              <w:rPr>
                <w:sz w:val="24"/>
              </w:rPr>
            </w:pPr>
            <w:r>
              <w:rPr>
                <w:color w:val="231F20"/>
                <w:sz w:val="24"/>
              </w:rPr>
              <w:t>75</w:t>
            </w:r>
          </w:p>
        </w:tc>
      </w:tr>
    </w:tbl>
    <w:p>
      <w:pPr>
        <w:pStyle w:val="BodyText"/>
        <w:spacing w:before="8"/>
        <w:rPr>
          <w:sz w:val="24"/>
        </w:rPr>
      </w:pPr>
    </w:p>
    <w:p>
      <w:pPr>
        <w:tabs>
          <w:tab w:pos="10039" w:val="left" w:leader="none"/>
        </w:tabs>
        <w:spacing w:before="0"/>
        <w:ind w:left="5000" w:right="0" w:firstLine="0"/>
        <w:jc w:val="left"/>
        <w:rPr>
          <w:sz w:val="24"/>
        </w:rPr>
      </w:pPr>
      <w:hyperlink w:history="true" w:anchor="_bookmark44">
        <w:r>
          <w:rPr>
            <w:b/>
            <w:color w:val="0093C1"/>
            <w:sz w:val="24"/>
          </w:rPr>
          <w:t>Glossary and</w:t>
        </w:r>
        <w:r>
          <w:rPr>
            <w:b/>
            <w:color w:val="0093C1"/>
            <w:spacing w:val="-3"/>
            <w:sz w:val="24"/>
          </w:rPr>
          <w:t> </w:t>
        </w:r>
        <w:r>
          <w:rPr>
            <w:b/>
            <w:color w:val="0093C1"/>
            <w:sz w:val="24"/>
          </w:rPr>
          <w:t>other</w:t>
        </w:r>
        <w:r>
          <w:rPr>
            <w:b/>
            <w:color w:val="0093C1"/>
            <w:spacing w:val="-1"/>
            <w:sz w:val="24"/>
          </w:rPr>
          <w:t> </w:t>
        </w:r>
        <w:r>
          <w:rPr>
            <w:b/>
            <w:color w:val="0093C1"/>
            <w:sz w:val="24"/>
          </w:rPr>
          <w:t>information</w:t>
        </w:r>
      </w:hyperlink>
      <w:r>
        <w:rPr>
          <w:b/>
          <w:color w:val="0093C1"/>
          <w:sz w:val="24"/>
        </w:rPr>
        <w:tab/>
      </w:r>
      <w:r>
        <w:rPr>
          <w:color w:val="231F20"/>
          <w:sz w:val="24"/>
        </w:rPr>
        <w:t>76</w:t>
      </w:r>
    </w:p>
    <w:p>
      <w:pPr>
        <w:spacing w:after="0"/>
        <w:jc w:val="left"/>
        <w:rPr>
          <w:sz w:val="24"/>
        </w:rPr>
        <w:sectPr>
          <w:type w:val="continuous"/>
          <w:pgSz w:w="11880" w:h="16840"/>
          <w:pgMar w:top="980" w:bottom="280" w:left="620" w:right="6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71891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interest rates and exchange rates" w:id="4"/>
                  <w:bookmarkEnd w:id="4"/>
                  <w:r>
                    <w:rPr/>
                  </w:r>
                  <w:bookmarkStart w:name="Money" w:id="5"/>
                  <w:bookmarkEnd w:id="5"/>
                  <w:r>
                    <w:rPr/>
                  </w:r>
                  <w:bookmarkStart w:name="_bookmark0" w:id="6"/>
                  <w:bookmarkEnd w:id="6"/>
                  <w:r>
                    <w:rPr/>
                  </w:r>
                  <w:r>
                    <w:rPr>
                      <w:b/>
                      <w:color w:val="009483"/>
                      <w:spacing w:val="-5"/>
                      <w:sz w:val="48"/>
                    </w:rPr>
                    <w:t>Money, </w:t>
                  </w:r>
                  <w:r>
                    <w:rPr>
                      <w:b/>
                      <w:color w:val="009483"/>
                      <w:sz w:val="48"/>
                    </w:rPr>
                    <w:t>interest rates and</w:t>
                  </w:r>
                  <w:r>
                    <w:rPr>
                      <w:b/>
                      <w:color w:val="009483"/>
                      <w:spacing w:val="3"/>
                      <w:sz w:val="48"/>
                    </w:rPr>
                    <w:t> </w:t>
                  </w:r>
                  <w:r>
                    <w:rPr>
                      <w:b/>
                      <w:color w:val="009483"/>
                      <w:sz w:val="48"/>
                    </w:rPr>
                    <w:t>exchange</w:t>
                  </w:r>
                  <w:r>
                    <w:rPr>
                      <w:b/>
                      <w:color w:val="009483"/>
                      <w:spacing w:val="-1"/>
                      <w:sz w:val="48"/>
                    </w:rPr>
                    <w:t> </w:t>
                  </w:r>
                  <w:r>
                    <w:rPr>
                      <w:b/>
                      <w:color w:val="009483"/>
                      <w:sz w:val="48"/>
                    </w:rPr>
                    <w:t>rates</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after="0"/>
        <w:rPr>
          <w:sz w:val="20"/>
        </w:rPr>
        <w:sectPr>
          <w:footerReference w:type="default" r:id="rId9"/>
          <w:footerReference w:type="even" r:id="rId10"/>
          <w:pgSz w:w="11880" w:h="16840"/>
          <w:pgMar w:footer="607" w:header="0" w:top="780" w:bottom="800" w:left="620" w:right="620"/>
          <w:pgNumType w:start="3"/>
        </w:sectPr>
      </w:pPr>
    </w:p>
    <w:p>
      <w:pPr>
        <w:pStyle w:val="BodyText"/>
        <w:spacing w:before="9"/>
        <w:rPr>
          <w:sz w:val="19"/>
        </w:rPr>
      </w:pPr>
    </w:p>
    <w:p>
      <w:pPr>
        <w:pStyle w:val="Heading9"/>
        <w:spacing w:before="0"/>
        <w:ind w:left="220"/>
      </w:pPr>
      <w:r>
        <w:rPr>
          <w:color w:val="0093C1"/>
        </w:rPr>
        <w:t>Chart 1.1</w:t>
      </w:r>
    </w:p>
    <w:p>
      <w:pPr>
        <w:spacing w:before="10"/>
        <w:ind w:left="220" w:right="0" w:firstLine="0"/>
        <w:jc w:val="left"/>
        <w:rPr>
          <w:b/>
          <w:sz w:val="20"/>
        </w:rPr>
      </w:pPr>
      <w:r>
        <w:rPr>
          <w:b/>
          <w:color w:val="0093C1"/>
          <w:sz w:val="20"/>
        </w:rPr>
        <w:t>Growth of M4 and M4 lending</w:t>
      </w:r>
    </w:p>
    <w:p>
      <w:pPr>
        <w:spacing w:before="172"/>
        <w:ind w:left="0" w:right="38" w:firstLine="0"/>
        <w:jc w:val="right"/>
        <w:rPr>
          <w:sz w:val="12"/>
        </w:rPr>
      </w:pPr>
      <w:r>
        <w:rPr/>
        <w:pict>
          <v:group style="position:absolute;margin-left:42.5pt;margin-top:16.117945pt;width:165pt;height:112.75pt;mso-position-horizontal-relative:page;mso-position-vertical-relative:paragraph;z-index:-20349440" coordorigin="850,322" coordsize="3300,2255">
            <v:shape style="position:absolute;left:990;top:807;width:3020;height:1740" coordorigin="990,807" coordsize="3020,1740" path="m990,1807l1050,1927,1090,2027,1130,1987,1170,2027,1210,1967,1250,1967,1290,2027,1330,2127,1370,1987,1430,2227,1470,2307,1510,2267,1550,2307,1590,2327,1630,2407,1670,2427,1710,2487,1770,2547,1810,2527,1850,2467,1890,2547,1930,2487,1970,2447,2010,2527,2050,2547,2090,2467,2150,2487,2190,2547,2230,2447,2310,2407,2350,2327,2390,2347,2430,2127,2490,2047,2530,1887,2570,1827,2610,1627,2650,1447,2690,1307,2730,1427,2770,1227,2830,1267,2870,1247,2910,1087,2950,1247,2990,1087,3030,1067,3070,967,3110,1087,3150,1147,3210,1147,3250,987,3290,1087,3330,987,3370,1027,3410,927,3410,907,3450,807,3490,1187,3550,1067,3590,1027,3630,1067,3670,1087,3710,967,3750,987,3790,1087,3830,1167,3870,1187,3930,1447,3970,1387,4010,1167e" filled="false" stroked="true" strokeweight="1pt" strokecolor="#faab54">
              <v:path arrowok="t"/>
              <v:stroke dashstyle="solid"/>
            </v:shape>
            <v:shape style="position:absolute;left:990;top:347;width:3020;height:2220" coordorigin="990,347" coordsize="3020,2220" path="m990,1867l1050,1887,1130,1967,1170,2067,1210,2047,1250,1967,1330,2087,1370,1967,1430,2227,1470,2407,1510,2467,1550,2487,1590,2487,1630,2527,1670,2467,1710,2567,1770,2547,1810,2527,1850,2487,1890,2427,1930,2247,1970,2167,2010,2027,2050,1967,2090,1887,2150,1887,2190,1987,2230,1967,2270,2087,2310,2127,2350,2047,2390,2247,2430,2167,2490,2147,2530,2167,2570,2127,2610,1947,2650,1867,2690,1687,2730,1587,2770,1267,2830,1187,2870,1227,2910,1047,2950,987,2990,807,3030,667,3070,807,3110,867,3150,807,3210,867,3250,847,3290,1047,3330,907,3410,667,3450,587,3490,867,3550,807,3590,527,3630,547,3670,687,3710,467,3790,347,3830,407,3870,407,3930,607,3970,687,4010,407e" filled="false" stroked="true" strokeweight="1pt" strokecolor="#ed1b2d">
              <v:path arrowok="t"/>
              <v:stroke dashstyle="solid"/>
            </v:shape>
            <v:shape style="position:absolute;left:850;top:327;width:3300;height:2000" coordorigin="850,327" coordsize="3300,2000" path="m950,2327l850,2327m950,1827l850,1827m950,1327l850,1327m950,827l850,827m950,327l850,327m4150,2327l4050,2327m4150,1827l4050,1827m4150,1327l4050,1327m4150,827l4050,827e" filled="false" stroked="true" strokeweight=".5pt" strokecolor="#000000">
              <v:path arrowok="t"/>
              <v:stroke dashstyle="solid"/>
            </v:shape>
            <v:shape style="position:absolute;left:2973;top:543;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sz w:val="12"/>
        </w:rPr>
        <w:t>Percentage changes on a year earl</w:t>
      </w:r>
      <w:r>
        <w:rPr>
          <w:sz w:val="12"/>
          <w:u w:val="single"/>
        </w:rPr>
        <w:t>ier</w:t>
      </w:r>
      <w:r>
        <w:rPr>
          <w:spacing w:val="21"/>
          <w:sz w:val="12"/>
        </w:rPr>
        <w:t> </w:t>
      </w:r>
      <w:r>
        <w:rPr>
          <w:position w:val="-8"/>
          <w:sz w:val="12"/>
        </w:rPr>
        <w:t>12</w:t>
      </w:r>
    </w:p>
    <w:p>
      <w:pPr>
        <w:pStyle w:val="BodyText"/>
        <w:spacing w:before="2"/>
        <w:rPr>
          <w:sz w:val="31"/>
        </w:rPr>
      </w:pPr>
    </w:p>
    <w:p>
      <w:pPr>
        <w:spacing w:before="0"/>
        <w:ind w:left="3573" w:right="0" w:firstLine="0"/>
        <w:jc w:val="left"/>
        <w:rPr>
          <w:sz w:val="12"/>
        </w:rPr>
      </w:pPr>
      <w:r>
        <w:rPr>
          <w:sz w:val="12"/>
        </w:rPr>
        <w:t>10</w:t>
      </w:r>
    </w:p>
    <w:p>
      <w:pPr>
        <w:pStyle w:val="BodyText"/>
        <w:rPr>
          <w:sz w:val="12"/>
        </w:rPr>
      </w:pPr>
    </w:p>
    <w:p>
      <w:pPr>
        <w:pStyle w:val="BodyText"/>
        <w:rPr>
          <w:sz w:val="12"/>
        </w:rPr>
      </w:pPr>
    </w:p>
    <w:p>
      <w:pPr>
        <w:spacing w:before="86"/>
        <w:ind w:left="3633" w:right="0" w:firstLine="0"/>
        <w:jc w:val="left"/>
        <w:rPr>
          <w:sz w:val="12"/>
        </w:rPr>
      </w:pPr>
      <w:r>
        <w:rPr>
          <w:sz w:val="12"/>
        </w:rPr>
        <w:t>8</w:t>
      </w:r>
    </w:p>
    <w:p>
      <w:pPr>
        <w:pStyle w:val="BodyText"/>
        <w:rPr>
          <w:sz w:val="12"/>
        </w:rPr>
      </w:pPr>
    </w:p>
    <w:p>
      <w:pPr>
        <w:pStyle w:val="BodyText"/>
        <w:rPr>
          <w:sz w:val="12"/>
        </w:rPr>
      </w:pPr>
    </w:p>
    <w:p>
      <w:pPr>
        <w:spacing w:before="86"/>
        <w:ind w:left="3633" w:right="0" w:firstLine="0"/>
        <w:jc w:val="left"/>
        <w:rPr>
          <w:sz w:val="12"/>
        </w:rPr>
      </w:pPr>
      <w:r>
        <w:rPr>
          <w:sz w:val="12"/>
        </w:rPr>
        <w:t>6</w:t>
      </w:r>
    </w:p>
    <w:p>
      <w:pPr>
        <w:pStyle w:val="BodyText"/>
        <w:rPr>
          <w:sz w:val="12"/>
        </w:rPr>
      </w:pPr>
    </w:p>
    <w:p>
      <w:pPr>
        <w:pStyle w:val="BodyText"/>
        <w:rPr>
          <w:sz w:val="12"/>
        </w:rPr>
      </w:pPr>
    </w:p>
    <w:p>
      <w:pPr>
        <w:spacing w:before="86"/>
        <w:ind w:left="3633" w:right="0" w:firstLine="0"/>
        <w:jc w:val="left"/>
        <w:rPr>
          <w:sz w:val="12"/>
        </w:rPr>
      </w:pPr>
      <w:r>
        <w:rPr>
          <w:sz w:val="12"/>
        </w:rPr>
        <w:t>4</w:t>
      </w:r>
    </w:p>
    <w:p>
      <w:pPr>
        <w:pStyle w:val="BodyText"/>
        <w:spacing w:before="1"/>
        <w:rPr>
          <w:sz w:val="14"/>
        </w:rPr>
      </w:pPr>
    </w:p>
    <w:p>
      <w:pPr>
        <w:spacing w:before="0"/>
        <w:ind w:left="1448" w:right="1689" w:firstLine="0"/>
        <w:jc w:val="center"/>
        <w:rPr>
          <w:sz w:val="12"/>
        </w:rPr>
      </w:pPr>
      <w:r>
        <w:rPr>
          <w:sz w:val="12"/>
        </w:rPr>
        <w:t>M4 lending</w:t>
      </w:r>
    </w:p>
    <w:p>
      <w:pPr>
        <w:spacing w:before="62"/>
        <w:ind w:left="3633" w:right="0" w:firstLine="0"/>
        <w:jc w:val="left"/>
        <w:rPr>
          <w:sz w:val="12"/>
        </w:rPr>
      </w:pPr>
      <w:r>
        <w:rPr/>
        <w:pict>
          <v:line style="position:absolute;mso-position-horizontal-relative:page;mso-position-vertical-relative:paragraph;z-index:15740928" from="47.5pt,6.53457pt" to="42.5pt,6.53457pt" stroked="true" strokeweight=".5pt" strokecolor="#000000">
            <v:stroke dashstyle="solid"/>
            <w10:wrap type="none"/>
          </v:line>
        </w:pict>
      </w:r>
      <w:r>
        <w:rPr/>
        <w:pict>
          <v:line style="position:absolute;mso-position-horizontal-relative:page;mso-position-vertical-relative:paragraph;z-index:15741440" from="207.5pt,6.53457pt" to="202.5pt,6.53457pt" stroked="true" strokeweight=".5pt" strokecolor="#000000">
            <v:stroke dashstyle="solid"/>
            <w10:wrap type="none"/>
          </v:line>
        </w:pict>
      </w:r>
      <w:r>
        <w:rPr>
          <w:sz w:val="12"/>
        </w:rPr>
        <w:t>2</w:t>
      </w:r>
    </w:p>
    <w:p>
      <w:pPr>
        <w:pStyle w:val="BodyText"/>
        <w:rPr>
          <w:sz w:val="12"/>
        </w:rPr>
      </w:pPr>
    </w:p>
    <w:p>
      <w:pPr>
        <w:pStyle w:val="BodyText"/>
        <w:rPr>
          <w:sz w:val="12"/>
        </w:rPr>
      </w:pPr>
    </w:p>
    <w:p>
      <w:pPr>
        <w:tabs>
          <w:tab w:pos="559" w:val="left" w:leader="none"/>
          <w:tab w:pos="1079" w:val="left" w:leader="none"/>
          <w:tab w:pos="1599" w:val="left" w:leader="none"/>
          <w:tab w:pos="2119" w:val="left" w:leader="none"/>
          <w:tab w:pos="2599" w:val="left" w:leader="none"/>
          <w:tab w:pos="3113" w:val="left" w:leader="none"/>
        </w:tabs>
        <w:spacing w:before="83"/>
        <w:ind w:left="0" w:right="38" w:firstLine="0"/>
        <w:jc w:val="right"/>
        <w:rPr>
          <w:sz w:val="12"/>
        </w:rPr>
      </w:pPr>
      <w:r>
        <w:rPr/>
        <w:pict>
          <v:shape style="position:absolute;margin-left:42.5pt;margin-top:2.751349pt;width:165pt;height:5pt;mso-position-horizontal-relative:page;mso-position-vertical-relative:paragraph;z-index:-20350464" coordorigin="850,55" coordsize="3300,100" path="m3530,155l3530,55m3030,155l3030,55m2530,155l2530,55m2010,155l2010,55m1510,155l1510,55m990,155l990,55m990,155l4010,155m1120,155l1120,115m1250,155l1250,115m1380,155l1380,115m1635,155l1635,115m1760,155l1760,115m1885,155l1885,115m2140,155l2140,115m2270,155l2270,115m2400,155l2400,115m2655,155l2655,115m2780,155l2780,115m2905,155l2905,115m3155,155l3155,115m3280,155l3280,115m3405,155l3405,115m3663,155l3663,115m3797,155l3797,115m3930,155l3930,115m950,155l850,155m4150,155l4050,155e" filled="false" stroked="true" strokeweight=".5pt" strokecolor="#000000">
            <v:path arrowok="t"/>
            <v:stroke dashstyle="solid"/>
            <w10:wrap type="none"/>
          </v:shape>
        </w:pict>
      </w:r>
      <w:r>
        <w:rPr>
          <w:sz w:val="12"/>
        </w:rPr>
        <w:t>1992</w:t>
        <w:tab/>
        <w:t>93</w:t>
        <w:tab/>
        <w:t>94</w:t>
        <w:tab/>
        <w:t>95</w:t>
        <w:tab/>
        <w:t>96</w:t>
        <w:tab/>
        <w:t>97</w:t>
        <w:tab/>
      </w:r>
      <w:r>
        <w:rPr>
          <w:position w:val="9"/>
          <w:sz w:val="12"/>
        </w:rPr>
        <w:t>0</w:t>
      </w:r>
    </w:p>
    <w:p>
      <w:pPr>
        <w:spacing w:before="106"/>
        <w:ind w:left="220" w:right="0" w:firstLine="0"/>
        <w:jc w:val="left"/>
        <w:rPr>
          <w:sz w:val="12"/>
        </w:rPr>
      </w:pPr>
      <w:r>
        <w:rPr>
          <w:color w:val="231F20"/>
          <w:sz w:val="12"/>
        </w:rPr>
        <w:t>Source: Bank of England.</w:t>
      </w:r>
    </w:p>
    <w:p>
      <w:pPr>
        <w:spacing w:line="242" w:lineRule="auto" w:before="218"/>
        <w:ind w:left="220" w:right="144" w:firstLine="0"/>
        <w:jc w:val="left"/>
        <w:rPr>
          <w:sz w:val="24"/>
        </w:rPr>
      </w:pPr>
      <w:r>
        <w:rPr/>
        <w:br w:type="column"/>
      </w:r>
      <w:r>
        <w:rPr>
          <w:color w:val="231F20"/>
          <w:sz w:val="24"/>
        </w:rPr>
        <w:t>Broad money continues to grow at double-digit rates (see Chart 1.1). But there are signs that the pace of growth has moderated since the first half of 1997. The slowdown in money growth was preceded by a slowdown in lending, particularly to the corporate </w:t>
      </w:r>
      <w:r>
        <w:rPr>
          <w:color w:val="231F20"/>
          <w:spacing w:val="-5"/>
          <w:sz w:val="24"/>
        </w:rPr>
        <w:t>sector. </w:t>
      </w:r>
      <w:r>
        <w:rPr>
          <w:color w:val="231F20"/>
          <w:sz w:val="24"/>
        </w:rPr>
        <w:t>Official interest rates </w:t>
      </w:r>
      <w:r>
        <w:rPr>
          <w:color w:val="231F20"/>
          <w:spacing w:val="-3"/>
          <w:sz w:val="24"/>
        </w:rPr>
        <w:t>have </w:t>
      </w:r>
      <w:r>
        <w:rPr>
          <w:color w:val="231F20"/>
          <w:sz w:val="24"/>
        </w:rPr>
        <w:t>been unchanged since the rise in the </w:t>
      </w:r>
      <w:r>
        <w:rPr>
          <w:color w:val="231F20"/>
          <w:spacing w:val="-3"/>
          <w:sz w:val="24"/>
        </w:rPr>
        <w:t>Bank’s </w:t>
      </w:r>
      <w:r>
        <w:rPr>
          <w:color w:val="231F20"/>
          <w:sz w:val="24"/>
        </w:rPr>
        <w:t>repo rate on 6 November to</w:t>
      </w:r>
      <w:r>
        <w:rPr>
          <w:color w:val="231F20"/>
          <w:spacing w:val="1"/>
          <w:sz w:val="24"/>
        </w:rPr>
        <w:t> </w:t>
      </w:r>
      <w:r>
        <w:rPr>
          <w:color w:val="231F20"/>
          <w:sz w:val="24"/>
        </w:rPr>
        <w:t>7.25%.</w:t>
      </w:r>
    </w:p>
    <w:p>
      <w:pPr>
        <w:spacing w:line="242" w:lineRule="auto" w:before="9"/>
        <w:ind w:left="220" w:right="193" w:firstLine="0"/>
        <w:jc w:val="left"/>
        <w:rPr>
          <w:sz w:val="24"/>
        </w:rPr>
      </w:pPr>
      <w:r>
        <w:rPr>
          <w:color w:val="231F20"/>
          <w:sz w:val="24"/>
        </w:rPr>
        <w:t>Long-term nominal interest rates </w:t>
      </w:r>
      <w:r>
        <w:rPr>
          <w:color w:val="231F20"/>
          <w:spacing w:val="-3"/>
          <w:sz w:val="24"/>
        </w:rPr>
        <w:t>have </w:t>
      </w:r>
      <w:r>
        <w:rPr>
          <w:color w:val="231F20"/>
          <w:sz w:val="24"/>
        </w:rPr>
        <w:t>fallen by around 50 basis points in the United Kingdom and by around 40 basis points overseas during the same period. The starting-point for the nominal effective exchange rate in the inflation projection, based on its average value in </w:t>
      </w:r>
      <w:r>
        <w:rPr>
          <w:color w:val="231F20"/>
          <w:spacing w:val="-6"/>
          <w:sz w:val="24"/>
        </w:rPr>
        <w:t>the </w:t>
      </w:r>
      <w:r>
        <w:rPr>
          <w:color w:val="231F20"/>
          <w:sz w:val="24"/>
        </w:rPr>
        <w:t>15 working days to 4 February, was 104.9—around 2.8% higher than the starting-point used in the November</w:t>
      </w:r>
      <w:r>
        <w:rPr>
          <w:color w:val="231F20"/>
          <w:spacing w:val="-2"/>
          <w:sz w:val="24"/>
        </w:rPr>
        <w:t> </w:t>
      </w:r>
      <w:r>
        <w:rPr>
          <w:i/>
          <w:color w:val="231F20"/>
          <w:sz w:val="24"/>
        </w:rPr>
        <w:t>Report</w:t>
      </w:r>
      <w:r>
        <w:rPr>
          <w:color w:val="231F20"/>
          <w:sz w:val="24"/>
        </w:rPr>
        <w:t>.</w:t>
      </w:r>
    </w:p>
    <w:p>
      <w:pPr>
        <w:spacing w:after="0" w:line="242" w:lineRule="auto"/>
        <w:jc w:val="left"/>
        <w:rPr>
          <w:sz w:val="24"/>
        </w:rPr>
        <w:sectPr>
          <w:type w:val="continuous"/>
          <w:pgSz w:w="11880" w:h="16840"/>
          <w:pgMar w:top="1200" w:bottom="280" w:left="620" w:right="620"/>
          <w:cols w:num="2" w:equalWidth="0">
            <w:col w:w="3734" w:space="1066"/>
            <w:col w:w="5840"/>
          </w:cols>
        </w:sectPr>
      </w:pPr>
    </w:p>
    <w:p>
      <w:pPr>
        <w:pStyle w:val="BodyText"/>
        <w:spacing w:before="7"/>
        <w:rPr>
          <w:sz w:val="21"/>
        </w:rPr>
      </w:pPr>
    </w:p>
    <w:p>
      <w:pPr>
        <w:pStyle w:val="Heading3"/>
        <w:numPr>
          <w:ilvl w:val="1"/>
          <w:numId w:val="2"/>
        </w:numPr>
        <w:tabs>
          <w:tab w:pos="9475" w:val="left" w:leader="none"/>
          <w:tab w:pos="9476" w:val="left" w:leader="none"/>
        </w:tabs>
        <w:spacing w:line="240" w:lineRule="auto" w:before="88" w:after="0"/>
        <w:ind w:left="9475" w:right="0" w:hanging="4456"/>
        <w:jc w:val="left"/>
      </w:pPr>
      <w:r>
        <w:rPr>
          <w:color w:val="009483"/>
          <w:u w:val="thick" w:color="0093C1"/>
        </w:rPr>
        <w:t>Money</w:t>
      </w:r>
      <w:r>
        <w:rPr>
          <w:color w:val="009483"/>
          <w:spacing w:val="-11"/>
          <w:u w:val="thick" w:color="0093C1"/>
        </w:rPr>
        <w:t> </w:t>
      </w:r>
    </w:p>
    <w:p>
      <w:pPr>
        <w:pStyle w:val="BodyText"/>
        <w:spacing w:before="1"/>
        <w:rPr>
          <w:b/>
          <w:sz w:val="15"/>
        </w:rPr>
      </w:pPr>
    </w:p>
    <w:p>
      <w:pPr>
        <w:spacing w:after="0"/>
        <w:rPr>
          <w:sz w:val="15"/>
        </w:rPr>
        <w:sectPr>
          <w:type w:val="continuous"/>
          <w:pgSz w:w="11880" w:h="16840"/>
          <w:pgMar w:top="1200" w:bottom="280" w:left="620" w:right="6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29"/>
        </w:rPr>
      </w:pPr>
    </w:p>
    <w:p>
      <w:pPr>
        <w:pStyle w:val="Heading9"/>
        <w:spacing w:before="0"/>
      </w:pPr>
      <w:r>
        <w:rPr>
          <w:color w:val="0093C1"/>
        </w:rPr>
        <w:t>Table 1.A</w:t>
      </w:r>
    </w:p>
    <w:p>
      <w:pPr>
        <w:spacing w:before="10"/>
        <w:ind w:left="200" w:right="0" w:firstLine="0"/>
        <w:jc w:val="left"/>
        <w:rPr>
          <w:sz w:val="12"/>
        </w:rPr>
      </w:pPr>
      <w:r>
        <w:rPr>
          <w:b/>
          <w:color w:val="0093C1"/>
          <w:sz w:val="20"/>
        </w:rPr>
        <w:t>Growth rates of M4 and M4 lending</w:t>
      </w:r>
      <w:r>
        <w:rPr>
          <w:color w:val="231F20"/>
          <w:position w:val="4"/>
          <w:sz w:val="12"/>
        </w:rPr>
        <w:t>(a)</w:t>
      </w:r>
    </w:p>
    <w:p>
      <w:pPr>
        <w:spacing w:before="106"/>
        <w:ind w:left="200" w:right="0" w:firstLine="0"/>
        <w:jc w:val="left"/>
        <w:rPr>
          <w:sz w:val="14"/>
        </w:rPr>
      </w:pPr>
      <w:r>
        <w:rPr/>
        <w:pict>
          <v:shape style="position:absolute;margin-left:38.500301pt;margin-top:19.597374pt;width:216pt;height:77.8pt;mso-position-horizontal-relative:page;mso-position-vertical-relative:paragraph;z-index:157419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689"/>
                    <w:gridCol w:w="838"/>
                    <w:gridCol w:w="830"/>
                    <w:gridCol w:w="793"/>
                  </w:tblGrid>
                  <w:tr>
                    <w:trPr>
                      <w:trHeight w:val="217" w:hRule="atLeast"/>
                    </w:trPr>
                    <w:tc>
                      <w:tcPr>
                        <w:tcW w:w="1167" w:type="dxa"/>
                      </w:tcPr>
                      <w:p>
                        <w:pPr>
                          <w:pStyle w:val="TableParagraph"/>
                          <w:rPr>
                            <w:sz w:val="14"/>
                          </w:rPr>
                        </w:pPr>
                      </w:p>
                    </w:tc>
                    <w:tc>
                      <w:tcPr>
                        <w:tcW w:w="689" w:type="dxa"/>
                      </w:tcPr>
                      <w:p>
                        <w:pPr>
                          <w:pStyle w:val="TableParagraph"/>
                          <w:spacing w:line="155" w:lineRule="exact"/>
                          <w:ind w:right="91"/>
                          <w:jc w:val="right"/>
                          <w:rPr>
                            <w:sz w:val="14"/>
                          </w:rPr>
                        </w:pPr>
                        <w:r>
                          <w:rPr>
                            <w:color w:val="231F20"/>
                            <w:sz w:val="14"/>
                            <w:u w:val="single" w:color="231F20"/>
                          </w:rPr>
                          <w:t>1 month</w:t>
                        </w:r>
                      </w:p>
                    </w:tc>
                    <w:tc>
                      <w:tcPr>
                        <w:tcW w:w="838" w:type="dxa"/>
                      </w:tcPr>
                      <w:p>
                        <w:pPr>
                          <w:pStyle w:val="TableParagraph"/>
                          <w:spacing w:line="155" w:lineRule="exact"/>
                          <w:ind w:left="93"/>
                          <w:rPr>
                            <w:sz w:val="12"/>
                          </w:rPr>
                        </w:pPr>
                        <w:r>
                          <w:rPr>
                            <w:color w:val="231F20"/>
                            <w:sz w:val="14"/>
                            <w:u w:val="single" w:color="231F20"/>
                          </w:rPr>
                          <w:t>3 month </w:t>
                        </w:r>
                        <w:r>
                          <w:rPr>
                            <w:color w:val="231F20"/>
                            <w:sz w:val="12"/>
                            <w:u w:val="single" w:color="231F20"/>
                          </w:rPr>
                          <w:t>(b) </w:t>
                        </w:r>
                      </w:p>
                    </w:tc>
                    <w:tc>
                      <w:tcPr>
                        <w:tcW w:w="830" w:type="dxa"/>
                      </w:tcPr>
                      <w:p>
                        <w:pPr>
                          <w:pStyle w:val="TableParagraph"/>
                          <w:spacing w:line="155" w:lineRule="exact"/>
                          <w:ind w:left="46" w:right="50"/>
                          <w:jc w:val="center"/>
                          <w:rPr>
                            <w:sz w:val="12"/>
                          </w:rPr>
                        </w:pPr>
                        <w:r>
                          <w:rPr>
                            <w:color w:val="231F20"/>
                            <w:sz w:val="14"/>
                            <w:u w:val="single" w:color="231F20"/>
                          </w:rPr>
                          <w:t>6 months </w:t>
                        </w:r>
                        <w:r>
                          <w:rPr>
                            <w:color w:val="231F20"/>
                            <w:sz w:val="12"/>
                            <w:u w:val="single" w:color="231F20"/>
                          </w:rPr>
                          <w:t>(b</w:t>
                        </w:r>
                        <w:r>
                          <w:rPr>
                            <w:color w:val="231F20"/>
                            <w:sz w:val="12"/>
                          </w:rPr>
                          <w:t>)</w:t>
                        </w:r>
                      </w:p>
                    </w:tc>
                    <w:tc>
                      <w:tcPr>
                        <w:tcW w:w="793" w:type="dxa"/>
                      </w:tcPr>
                      <w:p>
                        <w:pPr>
                          <w:pStyle w:val="TableParagraph"/>
                          <w:spacing w:line="155" w:lineRule="exact"/>
                          <w:ind w:left="75"/>
                          <w:rPr>
                            <w:sz w:val="14"/>
                          </w:rPr>
                        </w:pPr>
                        <w:r>
                          <w:rPr>
                            <w:color w:val="231F20"/>
                            <w:sz w:val="14"/>
                            <w:u w:val="single" w:color="231F20"/>
                          </w:rPr>
                          <w:t>12 months </w:t>
                        </w:r>
                      </w:p>
                    </w:tc>
                  </w:tr>
                  <w:tr>
                    <w:trPr>
                      <w:trHeight w:val="210" w:hRule="atLeast"/>
                    </w:trPr>
                    <w:tc>
                      <w:tcPr>
                        <w:tcW w:w="1167" w:type="dxa"/>
                      </w:tcPr>
                      <w:p>
                        <w:pPr>
                          <w:pStyle w:val="TableParagraph"/>
                          <w:tabs>
                            <w:tab w:pos="699" w:val="left" w:leader="none"/>
                          </w:tabs>
                          <w:spacing w:line="133" w:lineRule="exact" w:before="56"/>
                          <w:ind w:right="131"/>
                          <w:jc w:val="right"/>
                          <w:rPr>
                            <w:sz w:val="14"/>
                          </w:rPr>
                        </w:pPr>
                        <w:r>
                          <w:rPr>
                            <w:color w:val="231F20"/>
                            <w:sz w:val="14"/>
                          </w:rPr>
                          <w:t>M4</w:t>
                          <w:tab/>
                          <w:t>Sept.</w:t>
                        </w:r>
                      </w:p>
                    </w:tc>
                    <w:tc>
                      <w:tcPr>
                        <w:tcW w:w="689" w:type="dxa"/>
                      </w:tcPr>
                      <w:p>
                        <w:pPr>
                          <w:pStyle w:val="TableParagraph"/>
                          <w:spacing w:line="133" w:lineRule="exact" w:before="56"/>
                          <w:ind w:right="133"/>
                          <w:jc w:val="right"/>
                          <w:rPr>
                            <w:sz w:val="14"/>
                          </w:rPr>
                        </w:pPr>
                        <w:r>
                          <w:rPr>
                            <w:color w:val="231F20"/>
                            <w:sz w:val="14"/>
                          </w:rPr>
                          <w:t>0.9</w:t>
                        </w:r>
                      </w:p>
                    </w:tc>
                    <w:tc>
                      <w:tcPr>
                        <w:tcW w:w="838" w:type="dxa"/>
                      </w:tcPr>
                      <w:p>
                        <w:pPr>
                          <w:pStyle w:val="TableParagraph"/>
                          <w:spacing w:line="133" w:lineRule="exact" w:before="56"/>
                          <w:ind w:left="219"/>
                          <w:rPr>
                            <w:sz w:val="14"/>
                          </w:rPr>
                        </w:pPr>
                        <w:r>
                          <w:rPr>
                            <w:color w:val="231F20"/>
                            <w:sz w:val="14"/>
                          </w:rPr>
                          <w:t>10.5</w:t>
                        </w:r>
                      </w:p>
                    </w:tc>
                    <w:tc>
                      <w:tcPr>
                        <w:tcW w:w="830" w:type="dxa"/>
                      </w:tcPr>
                      <w:p>
                        <w:pPr>
                          <w:pStyle w:val="TableParagraph"/>
                          <w:spacing w:line="133" w:lineRule="exact" w:before="56"/>
                          <w:ind w:left="46" w:right="166"/>
                          <w:jc w:val="center"/>
                          <w:rPr>
                            <w:sz w:val="14"/>
                          </w:rPr>
                        </w:pPr>
                        <w:r>
                          <w:rPr>
                            <w:color w:val="231F20"/>
                            <w:sz w:val="14"/>
                          </w:rPr>
                          <w:t>10.7</w:t>
                        </w:r>
                      </w:p>
                    </w:tc>
                    <w:tc>
                      <w:tcPr>
                        <w:tcW w:w="793" w:type="dxa"/>
                      </w:tcPr>
                      <w:p>
                        <w:pPr>
                          <w:pStyle w:val="TableParagraph"/>
                          <w:spacing w:line="133" w:lineRule="exact" w:before="56"/>
                          <w:ind w:left="180"/>
                          <w:rPr>
                            <w:sz w:val="14"/>
                          </w:rPr>
                        </w:pPr>
                        <w:r>
                          <w:rPr>
                            <w:color w:val="231F20"/>
                            <w:sz w:val="14"/>
                          </w:rPr>
                          <w:t>11.6</w:t>
                        </w:r>
                      </w:p>
                    </w:tc>
                  </w:tr>
                  <w:tr>
                    <w:trPr>
                      <w:trHeight w:val="140" w:hRule="atLeast"/>
                    </w:trPr>
                    <w:tc>
                      <w:tcPr>
                        <w:tcW w:w="1167" w:type="dxa"/>
                      </w:tcPr>
                      <w:p>
                        <w:pPr>
                          <w:pStyle w:val="TableParagraph"/>
                          <w:spacing w:line="120" w:lineRule="exact"/>
                          <w:ind w:right="177"/>
                          <w:jc w:val="right"/>
                          <w:rPr>
                            <w:sz w:val="14"/>
                          </w:rPr>
                        </w:pPr>
                        <w:r>
                          <w:rPr>
                            <w:color w:val="231F20"/>
                            <w:sz w:val="14"/>
                          </w:rPr>
                          <w:t>Oct.</w:t>
                        </w:r>
                      </w:p>
                    </w:tc>
                    <w:tc>
                      <w:tcPr>
                        <w:tcW w:w="689" w:type="dxa"/>
                      </w:tcPr>
                      <w:p>
                        <w:pPr>
                          <w:pStyle w:val="TableParagraph"/>
                          <w:spacing w:line="120" w:lineRule="exact"/>
                          <w:ind w:right="134"/>
                          <w:jc w:val="right"/>
                          <w:rPr>
                            <w:sz w:val="14"/>
                          </w:rPr>
                        </w:pPr>
                        <w:r>
                          <w:rPr>
                            <w:color w:val="231F20"/>
                            <w:sz w:val="14"/>
                          </w:rPr>
                          <w:t>0.5</w:t>
                        </w:r>
                      </w:p>
                    </w:tc>
                    <w:tc>
                      <w:tcPr>
                        <w:tcW w:w="838" w:type="dxa"/>
                      </w:tcPr>
                      <w:p>
                        <w:pPr>
                          <w:pStyle w:val="TableParagraph"/>
                          <w:spacing w:line="120" w:lineRule="exact"/>
                          <w:ind w:left="269" w:right="352"/>
                          <w:jc w:val="center"/>
                          <w:rPr>
                            <w:sz w:val="14"/>
                          </w:rPr>
                        </w:pPr>
                        <w:r>
                          <w:rPr>
                            <w:color w:val="231F20"/>
                            <w:sz w:val="14"/>
                          </w:rPr>
                          <w:t>9.1</w:t>
                        </w:r>
                      </w:p>
                    </w:tc>
                    <w:tc>
                      <w:tcPr>
                        <w:tcW w:w="830" w:type="dxa"/>
                      </w:tcPr>
                      <w:p>
                        <w:pPr>
                          <w:pStyle w:val="TableParagraph"/>
                          <w:spacing w:line="120" w:lineRule="exact"/>
                          <w:ind w:left="46" w:right="167"/>
                          <w:jc w:val="center"/>
                          <w:rPr>
                            <w:sz w:val="14"/>
                          </w:rPr>
                        </w:pPr>
                        <w:r>
                          <w:rPr>
                            <w:color w:val="231F20"/>
                            <w:sz w:val="14"/>
                          </w:rPr>
                          <w:t>11.0</w:t>
                        </w:r>
                      </w:p>
                    </w:tc>
                    <w:tc>
                      <w:tcPr>
                        <w:tcW w:w="793" w:type="dxa"/>
                      </w:tcPr>
                      <w:p>
                        <w:pPr>
                          <w:pStyle w:val="TableParagraph"/>
                          <w:spacing w:line="120" w:lineRule="exact"/>
                          <w:ind w:left="180"/>
                          <w:rPr>
                            <w:sz w:val="14"/>
                          </w:rPr>
                        </w:pPr>
                        <w:r>
                          <w:rPr>
                            <w:color w:val="231F20"/>
                            <w:sz w:val="14"/>
                          </w:rPr>
                          <w:t>10.8</w:t>
                        </w:r>
                      </w:p>
                    </w:tc>
                  </w:tr>
                  <w:tr>
                    <w:trPr>
                      <w:trHeight w:val="140" w:hRule="atLeast"/>
                    </w:trPr>
                    <w:tc>
                      <w:tcPr>
                        <w:tcW w:w="1167" w:type="dxa"/>
                      </w:tcPr>
                      <w:p>
                        <w:pPr>
                          <w:pStyle w:val="TableParagraph"/>
                          <w:spacing w:line="120" w:lineRule="exact"/>
                          <w:ind w:right="138"/>
                          <w:jc w:val="right"/>
                          <w:rPr>
                            <w:sz w:val="14"/>
                          </w:rPr>
                        </w:pPr>
                        <w:r>
                          <w:rPr>
                            <w:color w:val="231F20"/>
                            <w:sz w:val="14"/>
                          </w:rPr>
                          <w:t>Nov.</w:t>
                        </w:r>
                      </w:p>
                    </w:tc>
                    <w:tc>
                      <w:tcPr>
                        <w:tcW w:w="689" w:type="dxa"/>
                      </w:tcPr>
                      <w:p>
                        <w:pPr>
                          <w:pStyle w:val="TableParagraph"/>
                          <w:spacing w:line="120" w:lineRule="exact"/>
                          <w:ind w:right="133"/>
                          <w:jc w:val="right"/>
                          <w:rPr>
                            <w:sz w:val="14"/>
                          </w:rPr>
                        </w:pPr>
                        <w:r>
                          <w:rPr>
                            <w:color w:val="231F20"/>
                            <w:sz w:val="14"/>
                          </w:rPr>
                          <w:t>0.8</w:t>
                        </w:r>
                      </w:p>
                    </w:tc>
                    <w:tc>
                      <w:tcPr>
                        <w:tcW w:w="838" w:type="dxa"/>
                      </w:tcPr>
                      <w:p>
                        <w:pPr>
                          <w:pStyle w:val="TableParagraph"/>
                          <w:spacing w:line="120" w:lineRule="exact"/>
                          <w:ind w:left="270" w:right="352"/>
                          <w:jc w:val="center"/>
                          <w:rPr>
                            <w:sz w:val="14"/>
                          </w:rPr>
                        </w:pPr>
                        <w:r>
                          <w:rPr>
                            <w:color w:val="231F20"/>
                            <w:sz w:val="14"/>
                          </w:rPr>
                          <w:t>9.3</w:t>
                        </w:r>
                      </w:p>
                    </w:tc>
                    <w:tc>
                      <w:tcPr>
                        <w:tcW w:w="830" w:type="dxa"/>
                      </w:tcPr>
                      <w:p>
                        <w:pPr>
                          <w:pStyle w:val="TableParagraph"/>
                          <w:spacing w:line="120" w:lineRule="exact"/>
                          <w:ind w:right="50"/>
                          <w:jc w:val="center"/>
                          <w:rPr>
                            <w:sz w:val="14"/>
                          </w:rPr>
                        </w:pPr>
                        <w:r>
                          <w:rPr>
                            <w:color w:val="231F20"/>
                            <w:sz w:val="14"/>
                          </w:rPr>
                          <w:t>9.9</w:t>
                        </w:r>
                      </w:p>
                    </w:tc>
                    <w:tc>
                      <w:tcPr>
                        <w:tcW w:w="793" w:type="dxa"/>
                      </w:tcPr>
                      <w:p>
                        <w:pPr>
                          <w:pStyle w:val="TableParagraph"/>
                          <w:spacing w:line="120" w:lineRule="exact"/>
                          <w:ind w:left="181"/>
                          <w:rPr>
                            <w:sz w:val="14"/>
                          </w:rPr>
                        </w:pPr>
                        <w:r>
                          <w:rPr>
                            <w:color w:val="231F20"/>
                            <w:sz w:val="14"/>
                          </w:rPr>
                          <w:t>10.5</w:t>
                        </w:r>
                      </w:p>
                    </w:tc>
                  </w:tr>
                  <w:tr>
                    <w:trPr>
                      <w:trHeight w:val="210" w:hRule="atLeast"/>
                    </w:trPr>
                    <w:tc>
                      <w:tcPr>
                        <w:tcW w:w="1167" w:type="dxa"/>
                      </w:tcPr>
                      <w:p>
                        <w:pPr>
                          <w:pStyle w:val="TableParagraph"/>
                          <w:spacing w:line="148" w:lineRule="exact"/>
                          <w:ind w:right="154"/>
                          <w:jc w:val="right"/>
                          <w:rPr>
                            <w:sz w:val="14"/>
                          </w:rPr>
                        </w:pPr>
                        <w:r>
                          <w:rPr>
                            <w:color w:val="231F20"/>
                            <w:sz w:val="14"/>
                          </w:rPr>
                          <w:t>Dec.</w:t>
                        </w:r>
                      </w:p>
                    </w:tc>
                    <w:tc>
                      <w:tcPr>
                        <w:tcW w:w="689" w:type="dxa"/>
                      </w:tcPr>
                      <w:p>
                        <w:pPr>
                          <w:pStyle w:val="TableParagraph"/>
                          <w:spacing w:line="148" w:lineRule="exact"/>
                          <w:ind w:right="133"/>
                          <w:jc w:val="right"/>
                          <w:rPr>
                            <w:sz w:val="14"/>
                          </w:rPr>
                        </w:pPr>
                        <w:r>
                          <w:rPr>
                            <w:color w:val="231F20"/>
                            <w:sz w:val="14"/>
                          </w:rPr>
                          <w:t>1.0</w:t>
                        </w:r>
                      </w:p>
                    </w:tc>
                    <w:tc>
                      <w:tcPr>
                        <w:tcW w:w="838" w:type="dxa"/>
                      </w:tcPr>
                      <w:p>
                        <w:pPr>
                          <w:pStyle w:val="TableParagraph"/>
                          <w:spacing w:line="148" w:lineRule="exact"/>
                          <w:ind w:left="270" w:right="352"/>
                          <w:jc w:val="center"/>
                          <w:rPr>
                            <w:sz w:val="14"/>
                          </w:rPr>
                        </w:pPr>
                        <w:r>
                          <w:rPr>
                            <w:color w:val="231F20"/>
                            <w:sz w:val="14"/>
                          </w:rPr>
                          <w:t>9.8</w:t>
                        </w:r>
                      </w:p>
                    </w:tc>
                    <w:tc>
                      <w:tcPr>
                        <w:tcW w:w="830" w:type="dxa"/>
                      </w:tcPr>
                      <w:p>
                        <w:pPr>
                          <w:pStyle w:val="TableParagraph"/>
                          <w:spacing w:line="148" w:lineRule="exact"/>
                          <w:ind w:left="46" w:right="166"/>
                          <w:jc w:val="center"/>
                          <w:rPr>
                            <w:sz w:val="14"/>
                          </w:rPr>
                        </w:pPr>
                        <w:r>
                          <w:rPr>
                            <w:color w:val="231F20"/>
                            <w:sz w:val="14"/>
                          </w:rPr>
                          <w:t>10.2</w:t>
                        </w:r>
                      </w:p>
                    </w:tc>
                    <w:tc>
                      <w:tcPr>
                        <w:tcW w:w="793" w:type="dxa"/>
                      </w:tcPr>
                      <w:p>
                        <w:pPr>
                          <w:pStyle w:val="TableParagraph"/>
                          <w:spacing w:line="148" w:lineRule="exact"/>
                          <w:ind w:left="180"/>
                          <w:rPr>
                            <w:sz w:val="14"/>
                          </w:rPr>
                        </w:pPr>
                        <w:r>
                          <w:rPr>
                            <w:color w:val="231F20"/>
                            <w:sz w:val="14"/>
                          </w:rPr>
                          <w:t>11.6</w:t>
                        </w:r>
                      </w:p>
                    </w:tc>
                  </w:tr>
                  <w:tr>
                    <w:trPr>
                      <w:trHeight w:val="210" w:hRule="atLeast"/>
                    </w:trPr>
                    <w:tc>
                      <w:tcPr>
                        <w:tcW w:w="1167" w:type="dxa"/>
                      </w:tcPr>
                      <w:p>
                        <w:pPr>
                          <w:pStyle w:val="TableParagraph"/>
                          <w:spacing w:line="133" w:lineRule="exact" w:before="56"/>
                          <w:ind w:right="131"/>
                          <w:jc w:val="right"/>
                          <w:rPr>
                            <w:sz w:val="14"/>
                          </w:rPr>
                        </w:pPr>
                        <w:r>
                          <w:rPr>
                            <w:color w:val="231F20"/>
                            <w:sz w:val="14"/>
                          </w:rPr>
                          <w:t>M4 lending Sept.</w:t>
                        </w:r>
                      </w:p>
                    </w:tc>
                    <w:tc>
                      <w:tcPr>
                        <w:tcW w:w="689" w:type="dxa"/>
                      </w:tcPr>
                      <w:p>
                        <w:pPr>
                          <w:pStyle w:val="TableParagraph"/>
                          <w:spacing w:line="133" w:lineRule="exact" w:before="56"/>
                          <w:ind w:right="134"/>
                          <w:jc w:val="right"/>
                          <w:rPr>
                            <w:sz w:val="14"/>
                          </w:rPr>
                        </w:pPr>
                        <w:r>
                          <w:rPr>
                            <w:color w:val="231F20"/>
                            <w:sz w:val="14"/>
                          </w:rPr>
                          <w:t>0.6</w:t>
                        </w:r>
                      </w:p>
                    </w:tc>
                    <w:tc>
                      <w:tcPr>
                        <w:tcW w:w="838" w:type="dxa"/>
                      </w:tcPr>
                      <w:p>
                        <w:pPr>
                          <w:pStyle w:val="TableParagraph"/>
                          <w:spacing w:line="133" w:lineRule="exact" w:before="56"/>
                          <w:ind w:left="270" w:right="352"/>
                          <w:jc w:val="center"/>
                          <w:rPr>
                            <w:sz w:val="14"/>
                          </w:rPr>
                        </w:pPr>
                        <w:r>
                          <w:rPr>
                            <w:color w:val="231F20"/>
                            <w:sz w:val="14"/>
                          </w:rPr>
                          <w:t>5.9</w:t>
                        </w:r>
                      </w:p>
                    </w:tc>
                    <w:tc>
                      <w:tcPr>
                        <w:tcW w:w="830" w:type="dxa"/>
                      </w:tcPr>
                      <w:p>
                        <w:pPr>
                          <w:pStyle w:val="TableParagraph"/>
                          <w:spacing w:line="133" w:lineRule="exact" w:before="56"/>
                          <w:ind w:left="46" w:right="97"/>
                          <w:jc w:val="center"/>
                          <w:rPr>
                            <w:sz w:val="14"/>
                          </w:rPr>
                        </w:pPr>
                        <w:r>
                          <w:rPr>
                            <w:color w:val="231F20"/>
                            <w:sz w:val="14"/>
                          </w:rPr>
                          <w:t>7.7</w:t>
                        </w:r>
                      </w:p>
                    </w:tc>
                    <w:tc>
                      <w:tcPr>
                        <w:tcW w:w="793" w:type="dxa"/>
                      </w:tcPr>
                      <w:p>
                        <w:pPr>
                          <w:pStyle w:val="TableParagraph"/>
                          <w:spacing w:line="133" w:lineRule="exact" w:before="56"/>
                          <w:ind w:left="250"/>
                          <w:rPr>
                            <w:sz w:val="14"/>
                          </w:rPr>
                        </w:pPr>
                        <w:r>
                          <w:rPr>
                            <w:color w:val="231F20"/>
                            <w:sz w:val="14"/>
                          </w:rPr>
                          <w:t>8.5</w:t>
                        </w:r>
                      </w:p>
                    </w:tc>
                  </w:tr>
                  <w:tr>
                    <w:trPr>
                      <w:trHeight w:val="140" w:hRule="atLeast"/>
                    </w:trPr>
                    <w:tc>
                      <w:tcPr>
                        <w:tcW w:w="1167" w:type="dxa"/>
                      </w:tcPr>
                      <w:p>
                        <w:pPr>
                          <w:pStyle w:val="TableParagraph"/>
                          <w:spacing w:line="120" w:lineRule="exact"/>
                          <w:ind w:right="177"/>
                          <w:jc w:val="right"/>
                          <w:rPr>
                            <w:sz w:val="14"/>
                          </w:rPr>
                        </w:pPr>
                        <w:r>
                          <w:rPr>
                            <w:color w:val="231F20"/>
                            <w:sz w:val="14"/>
                          </w:rPr>
                          <w:t>Oct.</w:t>
                        </w:r>
                      </w:p>
                    </w:tc>
                    <w:tc>
                      <w:tcPr>
                        <w:tcW w:w="689" w:type="dxa"/>
                      </w:tcPr>
                      <w:p>
                        <w:pPr>
                          <w:pStyle w:val="TableParagraph"/>
                          <w:spacing w:line="120" w:lineRule="exact"/>
                          <w:ind w:right="134"/>
                          <w:jc w:val="right"/>
                          <w:rPr>
                            <w:sz w:val="14"/>
                          </w:rPr>
                        </w:pPr>
                        <w:r>
                          <w:rPr>
                            <w:color w:val="231F20"/>
                            <w:sz w:val="14"/>
                          </w:rPr>
                          <w:t>0.2</w:t>
                        </w:r>
                      </w:p>
                    </w:tc>
                    <w:tc>
                      <w:tcPr>
                        <w:tcW w:w="838" w:type="dxa"/>
                      </w:tcPr>
                      <w:p>
                        <w:pPr>
                          <w:pStyle w:val="TableParagraph"/>
                          <w:spacing w:line="120" w:lineRule="exact"/>
                          <w:ind w:left="269" w:right="352"/>
                          <w:jc w:val="center"/>
                          <w:rPr>
                            <w:sz w:val="14"/>
                          </w:rPr>
                        </w:pPr>
                        <w:r>
                          <w:rPr>
                            <w:color w:val="231F20"/>
                            <w:sz w:val="14"/>
                          </w:rPr>
                          <w:t>4.8</w:t>
                        </w:r>
                      </w:p>
                    </w:tc>
                    <w:tc>
                      <w:tcPr>
                        <w:tcW w:w="830" w:type="dxa"/>
                      </w:tcPr>
                      <w:p>
                        <w:pPr>
                          <w:pStyle w:val="TableParagraph"/>
                          <w:spacing w:line="120" w:lineRule="exact"/>
                          <w:ind w:left="46" w:right="97"/>
                          <w:jc w:val="center"/>
                          <w:rPr>
                            <w:sz w:val="14"/>
                          </w:rPr>
                        </w:pPr>
                        <w:r>
                          <w:rPr>
                            <w:color w:val="231F20"/>
                            <w:sz w:val="14"/>
                          </w:rPr>
                          <w:t>6.8</w:t>
                        </w:r>
                      </w:p>
                    </w:tc>
                    <w:tc>
                      <w:tcPr>
                        <w:tcW w:w="793" w:type="dxa"/>
                      </w:tcPr>
                      <w:p>
                        <w:pPr>
                          <w:pStyle w:val="TableParagraph"/>
                          <w:spacing w:line="120" w:lineRule="exact"/>
                          <w:ind w:left="250"/>
                          <w:rPr>
                            <w:sz w:val="14"/>
                          </w:rPr>
                        </w:pPr>
                        <w:r>
                          <w:rPr>
                            <w:color w:val="231F20"/>
                            <w:sz w:val="14"/>
                          </w:rPr>
                          <w:t>7.5</w:t>
                        </w:r>
                      </w:p>
                    </w:tc>
                  </w:tr>
                  <w:tr>
                    <w:trPr>
                      <w:trHeight w:val="140" w:hRule="atLeast"/>
                    </w:trPr>
                    <w:tc>
                      <w:tcPr>
                        <w:tcW w:w="1167" w:type="dxa"/>
                      </w:tcPr>
                      <w:p>
                        <w:pPr>
                          <w:pStyle w:val="TableParagraph"/>
                          <w:spacing w:line="120" w:lineRule="exact"/>
                          <w:ind w:right="138"/>
                          <w:jc w:val="right"/>
                          <w:rPr>
                            <w:sz w:val="14"/>
                          </w:rPr>
                        </w:pPr>
                        <w:r>
                          <w:rPr>
                            <w:color w:val="231F20"/>
                            <w:sz w:val="14"/>
                          </w:rPr>
                          <w:t>Nov.</w:t>
                        </w:r>
                      </w:p>
                    </w:tc>
                    <w:tc>
                      <w:tcPr>
                        <w:tcW w:w="689" w:type="dxa"/>
                      </w:tcPr>
                      <w:p>
                        <w:pPr>
                          <w:pStyle w:val="TableParagraph"/>
                          <w:spacing w:line="120" w:lineRule="exact"/>
                          <w:ind w:right="133"/>
                          <w:jc w:val="right"/>
                          <w:rPr>
                            <w:sz w:val="14"/>
                          </w:rPr>
                        </w:pPr>
                        <w:r>
                          <w:rPr>
                            <w:color w:val="231F20"/>
                            <w:sz w:val="14"/>
                          </w:rPr>
                          <w:t>0.9</w:t>
                        </w:r>
                      </w:p>
                    </w:tc>
                    <w:tc>
                      <w:tcPr>
                        <w:tcW w:w="838" w:type="dxa"/>
                      </w:tcPr>
                      <w:p>
                        <w:pPr>
                          <w:pStyle w:val="TableParagraph"/>
                          <w:spacing w:line="120" w:lineRule="exact"/>
                          <w:ind w:left="270" w:right="352"/>
                          <w:jc w:val="center"/>
                          <w:rPr>
                            <w:sz w:val="14"/>
                          </w:rPr>
                        </w:pPr>
                        <w:r>
                          <w:rPr>
                            <w:color w:val="231F20"/>
                            <w:sz w:val="14"/>
                          </w:rPr>
                          <w:t>6.7</w:t>
                        </w:r>
                      </w:p>
                    </w:tc>
                    <w:tc>
                      <w:tcPr>
                        <w:tcW w:w="830" w:type="dxa"/>
                      </w:tcPr>
                      <w:p>
                        <w:pPr>
                          <w:pStyle w:val="TableParagraph"/>
                          <w:spacing w:line="120" w:lineRule="exact"/>
                          <w:ind w:right="50"/>
                          <w:jc w:val="center"/>
                          <w:rPr>
                            <w:sz w:val="14"/>
                          </w:rPr>
                        </w:pPr>
                        <w:r>
                          <w:rPr>
                            <w:color w:val="231F20"/>
                            <w:sz w:val="14"/>
                          </w:rPr>
                          <w:t>6.5</w:t>
                        </w:r>
                      </w:p>
                    </w:tc>
                    <w:tc>
                      <w:tcPr>
                        <w:tcW w:w="793" w:type="dxa"/>
                      </w:tcPr>
                      <w:p>
                        <w:pPr>
                          <w:pStyle w:val="TableParagraph"/>
                          <w:spacing w:line="120" w:lineRule="exact"/>
                          <w:ind w:left="251"/>
                          <w:rPr>
                            <w:sz w:val="14"/>
                          </w:rPr>
                        </w:pPr>
                        <w:r>
                          <w:rPr>
                            <w:color w:val="231F20"/>
                            <w:sz w:val="14"/>
                          </w:rPr>
                          <w:t>7.7</w:t>
                        </w:r>
                      </w:p>
                    </w:tc>
                  </w:tr>
                  <w:tr>
                    <w:trPr>
                      <w:trHeight w:val="147" w:hRule="atLeast"/>
                    </w:trPr>
                    <w:tc>
                      <w:tcPr>
                        <w:tcW w:w="1167" w:type="dxa"/>
                      </w:tcPr>
                      <w:p>
                        <w:pPr>
                          <w:pStyle w:val="TableParagraph"/>
                          <w:spacing w:line="128" w:lineRule="exact"/>
                          <w:ind w:right="154"/>
                          <w:jc w:val="right"/>
                          <w:rPr>
                            <w:sz w:val="14"/>
                          </w:rPr>
                        </w:pPr>
                        <w:r>
                          <w:rPr>
                            <w:color w:val="231F20"/>
                            <w:sz w:val="14"/>
                          </w:rPr>
                          <w:t>Dec.</w:t>
                        </w:r>
                      </w:p>
                    </w:tc>
                    <w:tc>
                      <w:tcPr>
                        <w:tcW w:w="689" w:type="dxa"/>
                      </w:tcPr>
                      <w:p>
                        <w:pPr>
                          <w:pStyle w:val="TableParagraph"/>
                          <w:spacing w:line="128" w:lineRule="exact"/>
                          <w:ind w:right="133"/>
                          <w:jc w:val="right"/>
                          <w:rPr>
                            <w:sz w:val="14"/>
                          </w:rPr>
                        </w:pPr>
                        <w:r>
                          <w:rPr>
                            <w:color w:val="231F20"/>
                            <w:sz w:val="14"/>
                          </w:rPr>
                          <w:t>0.7</w:t>
                        </w:r>
                      </w:p>
                    </w:tc>
                    <w:tc>
                      <w:tcPr>
                        <w:tcW w:w="838" w:type="dxa"/>
                      </w:tcPr>
                      <w:p>
                        <w:pPr>
                          <w:pStyle w:val="TableParagraph"/>
                          <w:spacing w:line="128" w:lineRule="exact"/>
                          <w:ind w:left="270" w:right="352"/>
                          <w:jc w:val="center"/>
                          <w:rPr>
                            <w:sz w:val="14"/>
                          </w:rPr>
                        </w:pPr>
                        <w:r>
                          <w:rPr>
                            <w:color w:val="231F20"/>
                            <w:sz w:val="14"/>
                          </w:rPr>
                          <w:t>7.1</w:t>
                        </w:r>
                      </w:p>
                    </w:tc>
                    <w:tc>
                      <w:tcPr>
                        <w:tcW w:w="830" w:type="dxa"/>
                      </w:tcPr>
                      <w:p>
                        <w:pPr>
                          <w:pStyle w:val="TableParagraph"/>
                          <w:spacing w:line="128" w:lineRule="exact"/>
                          <w:ind w:right="50"/>
                          <w:jc w:val="center"/>
                          <w:rPr>
                            <w:sz w:val="14"/>
                          </w:rPr>
                        </w:pPr>
                        <w:r>
                          <w:rPr>
                            <w:color w:val="231F20"/>
                            <w:sz w:val="14"/>
                          </w:rPr>
                          <w:t>6.5</w:t>
                        </w:r>
                      </w:p>
                    </w:tc>
                    <w:tc>
                      <w:tcPr>
                        <w:tcW w:w="793" w:type="dxa"/>
                      </w:tcPr>
                      <w:p>
                        <w:pPr>
                          <w:pStyle w:val="TableParagraph"/>
                          <w:spacing w:line="128" w:lineRule="exact"/>
                          <w:ind w:left="250"/>
                          <w:rPr>
                            <w:sz w:val="14"/>
                          </w:rPr>
                        </w:pPr>
                        <w:r>
                          <w:rPr>
                            <w:color w:val="231F20"/>
                            <w:sz w:val="14"/>
                          </w:rPr>
                          <w:t>8.6</w:t>
                        </w:r>
                      </w:p>
                    </w:tc>
                  </w:tr>
                </w:tbl>
                <w:p>
                  <w:pPr>
                    <w:pStyle w:val="BodyText"/>
                  </w:pPr>
                </w:p>
              </w:txbxContent>
            </v:textbox>
            <w10:wrap type="none"/>
          </v:shape>
        </w:pict>
      </w:r>
      <w:r>
        <w:rPr>
          <w:color w:val="231F20"/>
          <w:sz w:val="14"/>
        </w:rPr>
        <w:t>Per cent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before="122"/>
        <w:ind w:left="200" w:right="0" w:firstLine="0"/>
        <w:jc w:val="left"/>
        <w:rPr>
          <w:sz w:val="12"/>
        </w:rPr>
      </w:pPr>
      <w:r>
        <w:rPr>
          <w:color w:val="231F20"/>
          <w:sz w:val="12"/>
        </w:rPr>
        <w:t>Source: Bank of England.</w:t>
      </w:r>
    </w:p>
    <w:p>
      <w:pPr>
        <w:pStyle w:val="ListParagraph"/>
        <w:numPr>
          <w:ilvl w:val="0"/>
          <w:numId w:val="3"/>
        </w:numPr>
        <w:tabs>
          <w:tab w:pos="440" w:val="left" w:leader="none"/>
        </w:tabs>
        <w:spacing w:line="129" w:lineRule="exact" w:before="102" w:after="0"/>
        <w:ind w:left="439" w:right="0" w:hanging="240"/>
        <w:jc w:val="left"/>
        <w:rPr>
          <w:sz w:val="12"/>
        </w:rPr>
      </w:pPr>
      <w:r>
        <w:rPr>
          <w:color w:val="231F20"/>
          <w:sz w:val="12"/>
        </w:rPr>
        <w:t>Seasonally adjusted.</w:t>
      </w:r>
    </w:p>
    <w:p>
      <w:pPr>
        <w:pStyle w:val="ListParagraph"/>
        <w:numPr>
          <w:ilvl w:val="0"/>
          <w:numId w:val="3"/>
        </w:numPr>
        <w:tabs>
          <w:tab w:pos="441" w:val="left" w:leader="none"/>
        </w:tabs>
        <w:spacing w:line="129" w:lineRule="exact" w:before="0" w:after="0"/>
        <w:ind w:left="440" w:right="0" w:hanging="241"/>
        <w:jc w:val="left"/>
        <w:rPr>
          <w:sz w:val="12"/>
        </w:rPr>
      </w:pPr>
      <w:r>
        <w:rPr>
          <w:color w:val="231F20"/>
          <w:sz w:val="12"/>
        </w:rPr>
        <w:t>Annualised.</w:t>
      </w:r>
    </w:p>
    <w:p>
      <w:pPr>
        <w:pStyle w:val="Heading5"/>
        <w:spacing w:line="242" w:lineRule="auto" w:before="90"/>
        <w:ind w:left="220" w:right="151"/>
      </w:pPr>
      <w:r>
        <w:rPr/>
        <w:br w:type="column"/>
      </w:r>
      <w:r>
        <w:rPr>
          <w:color w:val="231F20"/>
        </w:rPr>
        <w:t>The twelve-month growth rate of broad money was 11.6% in December, compared with 10.5% in November and 10.8% in October. The December figure may have been distorted by end-year balance sheet adjustments in wholesale money markets—the fall in gilt repo activity at the end of 1997 was less marked than in 1996.</w:t>
      </w:r>
      <w:r>
        <w:rPr>
          <w:color w:val="231F20"/>
          <w:position w:val="5"/>
          <w:sz w:val="16"/>
        </w:rPr>
        <w:t>(1) </w:t>
      </w:r>
      <w:r>
        <w:rPr>
          <w:color w:val="231F20"/>
        </w:rPr>
        <w:t>Annualised shorter-term growth rates remain below the twelve-month rate, suggesting that broad money growth has slowed slightly relative to the first half of 1997</w:t>
      </w:r>
    </w:p>
    <w:p>
      <w:pPr>
        <w:spacing w:line="242" w:lineRule="auto" w:before="12"/>
        <w:ind w:left="220" w:right="221" w:firstLine="0"/>
        <w:jc w:val="left"/>
        <w:rPr>
          <w:sz w:val="24"/>
        </w:rPr>
      </w:pPr>
      <w:r>
        <w:rPr>
          <w:color w:val="231F20"/>
          <w:sz w:val="24"/>
        </w:rPr>
        <w:t>(see Table 1.A). Real broad money grew by around 8.7% in the year to 1997 Q4, well above its long-run average of 4.4%, which continues to point to strong real domestic demand growth.</w:t>
      </w:r>
    </w:p>
    <w:p>
      <w:pPr>
        <w:pStyle w:val="BodyText"/>
        <w:rPr>
          <w:sz w:val="23"/>
        </w:rPr>
      </w:pPr>
    </w:p>
    <w:p>
      <w:pPr>
        <w:spacing w:line="242" w:lineRule="auto" w:before="0"/>
        <w:ind w:left="220" w:right="144" w:firstLine="0"/>
        <w:jc w:val="left"/>
        <w:rPr>
          <w:sz w:val="24"/>
        </w:rPr>
      </w:pPr>
      <w:r>
        <w:rPr>
          <w:color w:val="231F20"/>
          <w:sz w:val="24"/>
        </w:rPr>
        <w:t>Broad money velocity has been below its long-run average since 1987 and has fallen further since 1995. This may be because of reduced opportunity costs of holding broad money, for example because of lower inflation, as well as continuing financial innovation. Judgments need to be made about trends in velocity to interpret the relationship between broad money and nominal demand for use in the inflation projection. The MPC’s projection for inflation assumes that aggregate M4 velocity will decline gradually during the next two</w:t>
      </w:r>
    </w:p>
    <w:p>
      <w:pPr>
        <w:pStyle w:val="BodyText"/>
        <w:spacing w:before="5"/>
        <w:rPr>
          <w:sz w:val="10"/>
        </w:rPr>
      </w:pPr>
      <w:r>
        <w:rPr/>
        <w:pict>
          <v:shape style="position:absolute;margin-left:280pt;margin-top:8.049463pt;width:277pt;height:.1pt;mso-position-horizontal-relative:page;mso-position-vertical-relative:paragraph;z-index:-15718400;mso-wrap-distance-left:0;mso-wrap-distance-right:0" coordorigin="5600,161" coordsize="5540,0" path="m5600,161l11140,161e" filled="false" stroked="true" strokeweight=".125pt" strokecolor="#231f20">
            <v:path arrowok="t"/>
            <v:stroke dashstyle="solid"/>
            <w10:wrap type="topAndBottom"/>
          </v:shape>
        </w:pict>
      </w:r>
    </w:p>
    <w:p>
      <w:pPr>
        <w:pStyle w:val="ListParagraph"/>
        <w:numPr>
          <w:ilvl w:val="0"/>
          <w:numId w:val="4"/>
        </w:numPr>
        <w:tabs>
          <w:tab w:pos="441" w:val="left" w:leader="none"/>
        </w:tabs>
        <w:spacing w:line="208" w:lineRule="auto" w:before="0" w:after="0"/>
        <w:ind w:left="440" w:right="657" w:hanging="240"/>
        <w:jc w:val="left"/>
        <w:rPr>
          <w:sz w:val="16"/>
        </w:rPr>
      </w:pPr>
      <w:r>
        <w:rPr>
          <w:color w:val="231F20"/>
          <w:sz w:val="16"/>
        </w:rPr>
        <w:t>A gilt repo is a sale and repurchase agreement between two parties, </w:t>
      </w:r>
      <w:r>
        <w:rPr>
          <w:color w:val="231F20"/>
          <w:spacing w:val="-4"/>
          <w:sz w:val="16"/>
        </w:rPr>
        <w:t>where </w:t>
      </w:r>
      <w:r>
        <w:rPr>
          <w:color w:val="231F20"/>
          <w:sz w:val="16"/>
        </w:rPr>
        <w:t>one party makes a legally binding agreement to repurchase equivalent gilts at an agreed price at a specified future date. The gilt repo market is described in detail in the </w:t>
      </w:r>
      <w:r>
        <w:rPr>
          <w:i/>
          <w:color w:val="231F20"/>
          <w:sz w:val="16"/>
        </w:rPr>
        <w:t>Quarterly Bulletin</w:t>
      </w:r>
      <w:r>
        <w:rPr>
          <w:color w:val="231F20"/>
          <w:sz w:val="16"/>
        </w:rPr>
        <w:t>, May 1997, pages</w:t>
      </w:r>
      <w:r>
        <w:rPr>
          <w:color w:val="231F20"/>
          <w:spacing w:val="-2"/>
          <w:sz w:val="16"/>
        </w:rPr>
        <w:t> </w:t>
      </w:r>
      <w:r>
        <w:rPr>
          <w:color w:val="231F20"/>
          <w:sz w:val="16"/>
        </w:rPr>
        <w:t>187–97.</w:t>
      </w:r>
    </w:p>
    <w:p>
      <w:pPr>
        <w:spacing w:after="0" w:line="208" w:lineRule="auto"/>
        <w:jc w:val="left"/>
        <w:rPr>
          <w:sz w:val="16"/>
        </w:rPr>
        <w:sectPr>
          <w:type w:val="continuous"/>
          <w:pgSz w:w="11880" w:h="16840"/>
          <w:pgMar w:top="1200" w:bottom="280" w:left="620" w:right="620"/>
          <w:cols w:num="2" w:equalWidth="0">
            <w:col w:w="3462" w:space="1338"/>
            <w:col w:w="5840"/>
          </w:cols>
        </w:sectPr>
      </w:pPr>
    </w:p>
    <w:p>
      <w:pPr>
        <w:pStyle w:val="BodyText"/>
        <w:rPr>
          <w:sz w:val="20"/>
        </w:rPr>
      </w:pPr>
    </w:p>
    <w:p>
      <w:pPr>
        <w:spacing w:after="0"/>
        <w:rPr>
          <w:sz w:val="20"/>
        </w:rPr>
        <w:sectPr>
          <w:headerReference w:type="even" r:id="rId11"/>
          <w:headerReference w:type="default" r:id="rId12"/>
          <w:pgSz w:w="11880" w:h="16840"/>
          <w:pgMar w:header="586" w:footer="597" w:top="780" w:bottom="780" w:left="620" w:right="620"/>
        </w:sectPr>
      </w:pPr>
    </w:p>
    <w:p>
      <w:pPr>
        <w:pStyle w:val="BodyText"/>
        <w:rPr>
          <w:sz w:val="22"/>
        </w:rPr>
      </w:pPr>
    </w:p>
    <w:p>
      <w:pPr>
        <w:pStyle w:val="BodyText"/>
        <w:rPr>
          <w:sz w:val="22"/>
        </w:rPr>
      </w:pPr>
    </w:p>
    <w:p>
      <w:pPr>
        <w:pStyle w:val="BodyText"/>
        <w:rPr>
          <w:sz w:val="22"/>
        </w:rPr>
      </w:pPr>
    </w:p>
    <w:p>
      <w:pPr>
        <w:pStyle w:val="Heading9"/>
        <w:spacing w:before="157"/>
        <w:ind w:left="175"/>
      </w:pPr>
      <w:bookmarkStart w:name="Other financial institutions" w:id="7"/>
      <w:bookmarkEnd w:id="7"/>
      <w:r>
        <w:rPr>
          <w:b w:val="0"/>
        </w:rPr>
      </w:r>
      <w:bookmarkStart w:name="Personal sector" w:id="8"/>
      <w:bookmarkEnd w:id="8"/>
      <w:r>
        <w:rPr>
          <w:b w:val="0"/>
        </w:rPr>
      </w:r>
      <w:bookmarkStart w:name="_bookmark1" w:id="9"/>
      <w:bookmarkEnd w:id="9"/>
      <w:r>
        <w:rPr>
          <w:b w:val="0"/>
        </w:rPr>
      </w:r>
      <w:r>
        <w:rPr>
          <w:color w:val="0093C1"/>
        </w:rPr>
        <w:t>Chart 1.2</w:t>
      </w:r>
    </w:p>
    <w:p>
      <w:pPr>
        <w:spacing w:line="249" w:lineRule="auto" w:before="10"/>
        <w:ind w:left="175" w:right="20" w:firstLine="0"/>
        <w:jc w:val="left"/>
        <w:rPr>
          <w:b/>
          <w:sz w:val="20"/>
        </w:rPr>
      </w:pPr>
      <w:r>
        <w:rPr>
          <w:b/>
          <w:color w:val="0093C1"/>
          <w:sz w:val="20"/>
        </w:rPr>
        <w:t>Ratio of OFIs’, ICCs’ and persons’ M4 to total financial assets</w:t>
      </w:r>
    </w:p>
    <w:p>
      <w:pPr>
        <w:tabs>
          <w:tab w:pos="3538" w:val="left" w:leader="none"/>
        </w:tabs>
        <w:spacing w:line="58" w:lineRule="exact" w:before="154"/>
        <w:ind w:left="445" w:right="0" w:firstLine="0"/>
        <w:jc w:val="left"/>
        <w:rPr>
          <w:sz w:val="12"/>
        </w:rPr>
      </w:pPr>
      <w:r>
        <w:rPr>
          <w:sz w:val="12"/>
          <w:u w:val="single"/>
        </w:rPr>
        <w:t>R</w:t>
      </w:r>
      <w:r>
        <w:rPr>
          <w:sz w:val="12"/>
        </w:rPr>
        <w:t>atio</w:t>
        <w:tab/>
        <w:t>Ra</w:t>
      </w:r>
      <w:r>
        <w:rPr>
          <w:sz w:val="12"/>
          <w:u w:val="single"/>
        </w:rPr>
        <w:t>tio</w:t>
      </w:r>
    </w:p>
    <w:p>
      <w:pPr>
        <w:pStyle w:val="Heading5"/>
        <w:spacing w:line="242" w:lineRule="auto" w:before="227"/>
        <w:ind w:left="175" w:right="103"/>
      </w:pPr>
      <w:r>
        <w:rPr/>
        <w:br w:type="column"/>
      </w:r>
      <w:r>
        <w:rPr>
          <w:color w:val="231F20"/>
        </w:rPr>
        <w:t>years, consistent with the forecast sho</w:t>
      </w:r>
      <w:hyperlink w:history="true" w:anchor="_bookmark31">
        <w:r>
          <w:rPr>
            <w:color w:val="231F20"/>
          </w:rPr>
          <w:t>wn in Section 6,</w:t>
        </w:r>
      </w:hyperlink>
      <w:r>
        <w:rPr>
          <w:color w:val="231F20"/>
        </w:rPr>
        <w:t> so long as broad money growth continues to slow. But there remains a risk that the rapid and persistent monetary growth during the past two years will feed through to higher nominal demand and, in turn, into higher wages and prices. This is reflected in an upward skew to the</w:t>
      </w:r>
    </w:p>
    <w:p>
      <w:pPr>
        <w:spacing w:after="0" w:line="242" w:lineRule="auto"/>
        <w:sectPr>
          <w:type w:val="continuous"/>
          <w:pgSz w:w="11880" w:h="16840"/>
          <w:pgMar w:top="1200" w:bottom="280" w:left="620" w:right="620"/>
          <w:cols w:num="2" w:equalWidth="0">
            <w:col w:w="4199" w:space="586"/>
            <w:col w:w="5855"/>
          </w:cols>
        </w:sectPr>
      </w:pPr>
    </w:p>
    <w:p>
      <w:pPr>
        <w:spacing w:line="80" w:lineRule="exact" w:before="0"/>
        <w:ind w:left="203" w:right="0" w:firstLine="0"/>
        <w:jc w:val="left"/>
        <w:rPr>
          <w:sz w:val="12"/>
        </w:rPr>
      </w:pPr>
      <w:r>
        <w:rPr>
          <w:sz w:val="12"/>
        </w:rPr>
        <w:t>0.10</w:t>
      </w:r>
    </w:p>
    <w:p>
      <w:pPr>
        <w:pStyle w:val="BodyText"/>
        <w:rPr>
          <w:sz w:val="12"/>
        </w:rPr>
      </w:pPr>
    </w:p>
    <w:p>
      <w:pPr>
        <w:pStyle w:val="BodyText"/>
        <w:rPr>
          <w:sz w:val="12"/>
        </w:rPr>
      </w:pPr>
    </w:p>
    <w:p>
      <w:pPr>
        <w:spacing w:before="86"/>
        <w:ind w:left="203" w:right="0" w:firstLine="0"/>
        <w:jc w:val="left"/>
        <w:rPr>
          <w:sz w:val="12"/>
        </w:rPr>
      </w:pPr>
      <w:r>
        <w:rPr>
          <w:sz w:val="12"/>
        </w:rPr>
        <w:t>0.09</w:t>
      </w:r>
    </w:p>
    <w:p>
      <w:pPr>
        <w:pStyle w:val="BodyText"/>
        <w:rPr>
          <w:sz w:val="12"/>
        </w:rPr>
      </w:pPr>
    </w:p>
    <w:p>
      <w:pPr>
        <w:pStyle w:val="BodyText"/>
        <w:rPr>
          <w:sz w:val="12"/>
        </w:rPr>
      </w:pPr>
    </w:p>
    <w:p>
      <w:pPr>
        <w:spacing w:before="86"/>
        <w:ind w:left="203" w:right="0" w:firstLine="0"/>
        <w:jc w:val="left"/>
        <w:rPr>
          <w:sz w:val="12"/>
        </w:rPr>
      </w:pPr>
      <w:r>
        <w:rPr>
          <w:sz w:val="12"/>
        </w:rPr>
        <w:t>0.08</w:t>
      </w:r>
    </w:p>
    <w:p>
      <w:pPr>
        <w:pStyle w:val="BodyText"/>
        <w:rPr>
          <w:sz w:val="12"/>
        </w:rPr>
      </w:pPr>
    </w:p>
    <w:p>
      <w:pPr>
        <w:pStyle w:val="BodyText"/>
        <w:rPr>
          <w:sz w:val="12"/>
        </w:rPr>
      </w:pPr>
    </w:p>
    <w:p>
      <w:pPr>
        <w:spacing w:before="86"/>
        <w:ind w:left="203" w:right="0" w:firstLine="0"/>
        <w:jc w:val="left"/>
        <w:rPr>
          <w:sz w:val="12"/>
        </w:rPr>
      </w:pPr>
      <w:r>
        <w:rPr>
          <w:sz w:val="12"/>
        </w:rPr>
        <w:t>0.07</w:t>
      </w:r>
    </w:p>
    <w:p>
      <w:pPr>
        <w:pStyle w:val="BodyText"/>
        <w:rPr>
          <w:sz w:val="12"/>
        </w:rPr>
      </w:pPr>
    </w:p>
    <w:p>
      <w:pPr>
        <w:pStyle w:val="BodyText"/>
        <w:rPr>
          <w:sz w:val="12"/>
        </w:rPr>
      </w:pPr>
    </w:p>
    <w:p>
      <w:pPr>
        <w:spacing w:before="106"/>
        <w:ind w:left="203" w:right="0" w:firstLine="0"/>
        <w:jc w:val="left"/>
        <w:rPr>
          <w:sz w:val="12"/>
        </w:rPr>
      </w:pPr>
      <w:r>
        <w:rPr>
          <w:sz w:val="12"/>
        </w:rPr>
        <w:t>0.06</w:t>
      </w:r>
    </w:p>
    <w:p>
      <w:pPr>
        <w:pStyle w:val="BodyText"/>
        <w:rPr>
          <w:sz w:val="12"/>
        </w:rPr>
      </w:pPr>
    </w:p>
    <w:p>
      <w:pPr>
        <w:pStyle w:val="BodyText"/>
        <w:rPr>
          <w:sz w:val="12"/>
        </w:rPr>
      </w:pPr>
    </w:p>
    <w:p>
      <w:pPr>
        <w:spacing w:before="86"/>
        <w:ind w:left="203" w:right="0" w:firstLine="0"/>
        <w:jc w:val="left"/>
        <w:rPr>
          <w:sz w:val="12"/>
        </w:rPr>
      </w:pPr>
      <w:r>
        <w:rPr>
          <w:sz w:val="12"/>
        </w:rPr>
        <w:t>0.05</w:t>
      </w:r>
    </w:p>
    <w:p>
      <w:pPr>
        <w:pStyle w:val="BodyText"/>
        <w:rPr>
          <w:sz w:val="12"/>
        </w:rPr>
      </w:pPr>
    </w:p>
    <w:p>
      <w:pPr>
        <w:pStyle w:val="BodyText"/>
        <w:rPr>
          <w:sz w:val="12"/>
        </w:rPr>
      </w:pPr>
    </w:p>
    <w:p>
      <w:pPr>
        <w:spacing w:before="86"/>
        <w:ind w:left="203" w:right="0" w:firstLine="0"/>
        <w:jc w:val="left"/>
        <w:rPr>
          <w:sz w:val="12"/>
        </w:rPr>
      </w:pPr>
      <w:r>
        <w:rPr>
          <w:sz w:val="12"/>
        </w:rPr>
        <w:t>0.04</w:t>
      </w:r>
    </w:p>
    <w:p>
      <w:pPr>
        <w:spacing w:before="2"/>
        <w:ind w:left="203" w:right="0" w:firstLine="0"/>
        <w:jc w:val="left"/>
        <w:rPr>
          <w:sz w:val="12"/>
        </w:rPr>
      </w:pPr>
      <w:r>
        <w:rPr>
          <w:sz w:val="12"/>
        </w:rPr>
        <w:t>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94" w:right="0" w:firstLine="0"/>
        <w:jc w:val="left"/>
        <w:rPr>
          <w:sz w:val="12"/>
        </w:rPr>
      </w:pPr>
      <w:r>
        <w:rPr>
          <w:sz w:val="12"/>
        </w:rPr>
        <w:t>1987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39" w:right="0" w:firstLine="0"/>
        <w:jc w:val="left"/>
        <w:rPr>
          <w:sz w:val="12"/>
        </w:rPr>
      </w:pPr>
      <w:r>
        <w:rPr>
          <w:sz w:val="12"/>
        </w:rPr>
        <w:t>88 89 90 91 92 93 94 95 96 97</w:t>
      </w:r>
    </w:p>
    <w:p>
      <w:pPr>
        <w:spacing w:line="93" w:lineRule="exact" w:before="0"/>
        <w:ind w:left="161" w:right="0" w:firstLine="0"/>
        <w:jc w:val="left"/>
        <w:rPr>
          <w:sz w:val="12"/>
        </w:rPr>
      </w:pPr>
      <w:r>
        <w:rPr/>
        <w:br w:type="column"/>
      </w:r>
      <w:r>
        <w:rPr>
          <w:sz w:val="12"/>
        </w:rPr>
        <w:t>0.26</w:t>
      </w:r>
    </w:p>
    <w:p>
      <w:pPr>
        <w:pStyle w:val="BodyText"/>
        <w:spacing w:before="1"/>
        <w:rPr>
          <w:sz w:val="14"/>
        </w:rPr>
      </w:pPr>
    </w:p>
    <w:p>
      <w:pPr>
        <w:spacing w:before="0"/>
        <w:ind w:left="161" w:right="0" w:firstLine="0"/>
        <w:jc w:val="left"/>
        <w:rPr>
          <w:sz w:val="12"/>
        </w:rPr>
      </w:pPr>
      <w:r>
        <w:rPr/>
        <w:pict>
          <v:group style="position:absolute;margin-left:54.279999pt;margin-top:-7.06543pt;width:166pt;height:141pt;mso-position-horizontal-relative:page;mso-position-vertical-relative:paragraph;z-index:15746560" coordorigin="1086,-141" coordsize="3320,2820">
            <v:shape style="position:absolute;left:1085;top:288;width:100;height:2000" coordorigin="1086,289" coordsize="100,2000" path="m1186,2289l1086,2289m1186,1789l1086,1789m1186,1289l1086,1289m1186,789l1086,789m1186,289l1086,289e" filled="false" stroked="true" strokeweight=".5pt" strokecolor="#000000">
              <v:path arrowok="t"/>
              <v:stroke dashstyle="solid"/>
            </v:shape>
            <v:shape style="position:absolute;left:1245;top:-132;width:2720;height:1860" coordorigin="1246,-131" coordsize="2720,1860" path="m1246,1069l1306,1449,1386,1569,1446,529,1526,789,1606,909,1666,569,1746,269,1806,989,1886,929,1966,809,2026,569,2106,429,2166,549,2246,-131,2306,-91,2386,429,2446,349,2526,489,2606,249m2606,249l2666,149,2746,149,2806,329,2886,649,2966,849,3026,989,3106,1229,3166,1609,3246,1349,3326,1189,3386,1249,3466,1249,3526,1309,3606,1369,3686,1509,3746,1609,3826,1629,3886,1689,3966,1729e" filled="false" stroked="true" strokeweight="1pt" strokecolor="#faab54">
              <v:path arrowok="t"/>
              <v:stroke dashstyle="solid"/>
            </v:shape>
            <v:shape style="position:absolute;left:4305;top:1888;width:100;height:300" coordorigin="4306,1889" coordsize="100,300" path="m4306,1889l4406,1889m4306,2189l4406,2189e" filled="false" stroked="true" strokeweight=".5pt" strokecolor="#000000">
              <v:path arrowok="t"/>
              <v:stroke dashstyle="solid"/>
            </v:shape>
            <v:shape style="position:absolute;left:3965;top:1708;width:280;height:660" coordorigin="3966,1709" coordsize="280,660" path="m3966,1729l4026,1709,4106,1789,4186,2049,4246,2369e" filled="false" stroked="true" strokeweight="1pt" strokecolor="#faab54">
              <v:path arrowok="t"/>
              <v:stroke dashstyle="solid"/>
            </v:shape>
            <v:shape style="position:absolute;left:1245;top:888;width:2720;height:1780" coordorigin="1246,889" coordsize="2720,1780" path="m1246,2609l1306,2669,1386,2649,1446,2089,1526,2069,1606,2369,1666,2329,1746,2289,1806,2169,1886,2209,1966,2069,2026,1989,2106,1329,2166,1329,2246,1229,2306,1409,2386,1629,2526,1489,2606,1089m2606,1089l2666,1149,2746,889,2806,889,2886,1349,2966,1349,3026,1309,3106,1229,3166,1309,3246,1049,3326,989,3386,889,3466,1029,3526,1029,3606,1249,3686,1269,3746,1249,3826,1189,3886,1149,3966,1089e" filled="false" stroked="true" strokeweight="1pt" strokecolor="#0066a5">
              <v:path arrowok="t"/>
              <v:stroke dashstyle="solid"/>
            </v:shape>
            <v:line style="position:absolute" from="4306,989" to="4406,989" stroked="true" strokeweight=".5pt" strokecolor="#000000">
              <v:stroke dashstyle="solid"/>
            </v:line>
            <v:shape style="position:absolute;left:3965;top:928;width:280;height:160" coordorigin="3966,929" coordsize="280,160" path="m3966,1089l4026,969,4106,1009,4186,929,4246,1009e" filled="false" stroked="true" strokeweight="1pt" strokecolor="#0066a5">
              <v:path arrowok="t"/>
              <v:stroke dashstyle="solid"/>
            </v:shape>
            <v:shape style="position:absolute;left:1245;top:128;width:2720;height:2280" coordorigin="1246,129" coordsize="2720,2280" path="m3966,1609l3886,1689,3826,1689,3746,1709,3686,1669,3606,1629,3526,1729,3386,1869,3326,1889,3166,2209,3106,2089,3026,2009,2966,1829,2886,1569,2806,1149,2746,1069,2666,1009,2606,989,2606,1009,2526,1169,2446,989,2386,789,2306,269,2246,129,2166,649,2106,729,2026,1129,1966,1189,1886,1289,1806,1349,1746,1149,1666,1289,1606,1489,1526,1489,1446,1469,1386,2249,1306,2409,1246,2369e" filled="false" stroked="true" strokeweight="1pt" strokecolor="#ed1b2d">
              <v:path arrowok="t"/>
              <v:stroke dashstyle="solid"/>
            </v:shape>
            <v:line style="position:absolute" from="4306,1589" to="4406,1589" stroked="true" strokeweight=".5pt" strokecolor="#000000">
              <v:stroke dashstyle="solid"/>
            </v:line>
            <v:shape style="position:absolute;left:3965;top:1408;width:280;height:200" coordorigin="3966,1409" coordsize="280,200" path="m3966,1609l4026,1549,4106,1409,4186,1429,4246,1449e" filled="false" stroked="true" strokeweight="1pt" strokecolor="#ed1b2d">
              <v:path arrowok="t"/>
              <v:stroke dashstyle="solid"/>
            </v:shape>
            <v:shape style="position:absolute;left:1340;top:-75;width:617;height:373" type="#_x0000_t202" filled="false" stroked="false">
              <v:textbox inset="0,0,0,0">
                <w:txbxContent>
                  <w:p>
                    <w:pPr>
                      <w:spacing w:line="208" w:lineRule="auto" w:before="9"/>
                      <w:ind w:left="56" w:right="18" w:hanging="57"/>
                      <w:jc w:val="left"/>
                      <w:rPr>
                        <w:sz w:val="12"/>
                      </w:rPr>
                    </w:pPr>
                    <w:r>
                      <w:rPr>
                        <w:sz w:val="12"/>
                      </w:rPr>
                      <w:t>Persons (right-hand scale)</w:t>
                    </w:r>
                  </w:p>
                </w:txbxContent>
              </v:textbox>
              <w10:wrap type="none"/>
            </v:shape>
            <v:shape style="position:absolute;left:3433;top:595;width:614;height:370" type="#_x0000_t202" filled="false" stroked="false">
              <v:textbox inset="0,0,0,0">
                <w:txbxContent>
                  <w:p>
                    <w:pPr>
                      <w:spacing w:line="124" w:lineRule="exact" w:before="0"/>
                      <w:ind w:left="0" w:right="0" w:firstLine="0"/>
                      <w:jc w:val="left"/>
                      <w:rPr>
                        <w:sz w:val="12"/>
                      </w:rPr>
                    </w:pPr>
                    <w:r>
                      <w:rPr>
                        <w:sz w:val="12"/>
                      </w:rPr>
                      <w:t>ICCs</w:t>
                    </w:r>
                  </w:p>
                  <w:p>
                    <w:pPr>
                      <w:spacing w:line="204" w:lineRule="auto" w:before="8"/>
                      <w:ind w:left="75" w:right="1" w:hanging="22"/>
                      <w:jc w:val="left"/>
                      <w:rPr>
                        <w:sz w:val="12"/>
                      </w:rPr>
                    </w:pPr>
                    <w:r>
                      <w:rPr>
                        <w:sz w:val="12"/>
                      </w:rPr>
                      <w:t>(right-hand scale)</w:t>
                    </w:r>
                  </w:p>
                </w:txbxContent>
              </v:textbox>
              <w10:wrap type="none"/>
            </v:shape>
            <v:shape style="position:absolute;left:2867;top:2118;width:537;height:373" type="#_x0000_t202" filled="false" stroked="false">
              <v:textbox inset="0,0,0,0">
                <w:txbxContent>
                  <w:p>
                    <w:pPr>
                      <w:spacing w:line="124" w:lineRule="exact" w:before="0"/>
                      <w:ind w:left="0" w:right="0" w:firstLine="0"/>
                      <w:jc w:val="left"/>
                      <w:rPr>
                        <w:sz w:val="12"/>
                      </w:rPr>
                    </w:pPr>
                    <w:r>
                      <w:rPr>
                        <w:sz w:val="12"/>
                      </w:rPr>
                      <w:t>OFIs</w:t>
                    </w:r>
                  </w:p>
                  <w:p>
                    <w:pPr>
                      <w:spacing w:line="208" w:lineRule="auto" w:before="5"/>
                      <w:ind w:left="61" w:right="1" w:hanging="19"/>
                      <w:jc w:val="left"/>
                      <w:rPr>
                        <w:sz w:val="12"/>
                      </w:rPr>
                    </w:pPr>
                    <w:r>
                      <w:rPr>
                        <w:sz w:val="12"/>
                      </w:rPr>
                      <w:t>(left-hand scale)</w:t>
                    </w:r>
                  </w:p>
                </w:txbxContent>
              </v:textbox>
              <w10:wrap type="none"/>
            </v:shape>
            <w10:wrap type="none"/>
          </v:group>
        </w:pict>
      </w:r>
      <w:r>
        <w:rPr/>
        <w:pict>
          <v:line style="position:absolute;mso-position-horizontal-relative:page;mso-position-vertical-relative:paragraph;z-index:15749120" from="215.279999pt,4.43457pt" to="220.279999pt,4.43457pt" stroked="true" strokeweight=".5pt" strokecolor="#000000">
            <v:stroke dashstyle="solid"/>
            <w10:wrap type="none"/>
          </v:line>
        </w:pict>
      </w:r>
      <w:r>
        <w:rPr>
          <w:sz w:val="12"/>
        </w:rPr>
        <w:t>0.25</w:t>
      </w:r>
    </w:p>
    <w:p>
      <w:pPr>
        <w:pStyle w:val="BodyText"/>
        <w:spacing w:before="1"/>
        <w:rPr>
          <w:sz w:val="14"/>
        </w:rPr>
      </w:pPr>
    </w:p>
    <w:p>
      <w:pPr>
        <w:spacing w:before="0"/>
        <w:ind w:left="161" w:right="0" w:firstLine="0"/>
        <w:jc w:val="left"/>
        <w:rPr>
          <w:sz w:val="12"/>
        </w:rPr>
      </w:pPr>
      <w:r>
        <w:rPr/>
        <w:pict>
          <v:line style="position:absolute;mso-position-horizontal-relative:page;mso-position-vertical-relative:paragraph;z-index:15748608" from="215.279999pt,4.43457pt" to="220.279999pt,4.43457pt" stroked="true" strokeweight=".5pt" strokecolor="#000000">
            <v:stroke dashstyle="solid"/>
            <w10:wrap type="none"/>
          </v:line>
        </w:pict>
      </w:r>
      <w:r>
        <w:rPr>
          <w:sz w:val="12"/>
        </w:rPr>
        <w:t>0.24</w:t>
      </w:r>
    </w:p>
    <w:p>
      <w:pPr>
        <w:pStyle w:val="BodyText"/>
        <w:spacing w:before="1"/>
        <w:rPr>
          <w:sz w:val="14"/>
        </w:rPr>
      </w:pPr>
    </w:p>
    <w:p>
      <w:pPr>
        <w:spacing w:before="0"/>
        <w:ind w:left="161" w:right="0" w:firstLine="0"/>
        <w:jc w:val="left"/>
        <w:rPr>
          <w:sz w:val="12"/>
        </w:rPr>
      </w:pPr>
      <w:r>
        <w:rPr/>
        <w:pict>
          <v:line style="position:absolute;mso-position-horizontal-relative:page;mso-position-vertical-relative:paragraph;z-index:15748096" from="215.279999pt,4.43457pt" to="220.279999pt,4.43457pt" stroked="true" strokeweight=".5pt" strokecolor="#000000">
            <v:stroke dashstyle="solid"/>
            <w10:wrap type="none"/>
          </v:line>
        </w:pict>
      </w:r>
      <w:r>
        <w:rPr>
          <w:sz w:val="12"/>
        </w:rPr>
        <w:t>0.23</w:t>
      </w:r>
    </w:p>
    <w:p>
      <w:pPr>
        <w:pStyle w:val="BodyText"/>
        <w:spacing w:before="9"/>
        <w:rPr>
          <w:sz w:val="15"/>
        </w:rPr>
      </w:pPr>
    </w:p>
    <w:p>
      <w:pPr>
        <w:spacing w:before="0"/>
        <w:ind w:left="161" w:right="0" w:firstLine="0"/>
        <w:jc w:val="left"/>
        <w:rPr>
          <w:sz w:val="12"/>
        </w:rPr>
      </w:pPr>
      <w:r>
        <w:rPr>
          <w:sz w:val="12"/>
        </w:rPr>
        <w:t>0.22</w:t>
      </w:r>
    </w:p>
    <w:p>
      <w:pPr>
        <w:pStyle w:val="BodyText"/>
        <w:spacing w:before="4"/>
        <w:rPr>
          <w:sz w:val="12"/>
        </w:rPr>
      </w:pPr>
    </w:p>
    <w:p>
      <w:pPr>
        <w:spacing w:before="0"/>
        <w:ind w:left="161" w:right="0" w:firstLine="0"/>
        <w:jc w:val="left"/>
        <w:rPr>
          <w:sz w:val="12"/>
        </w:rPr>
      </w:pPr>
      <w:r>
        <w:rPr/>
        <w:pict>
          <v:line style="position:absolute;mso-position-horizontal-relative:page;mso-position-vertical-relative:paragraph;z-index:15747584" from="215.279999pt,4.43457pt" to="220.279999pt,4.43457pt" stroked="true" strokeweight=".5pt" strokecolor="#000000">
            <v:stroke dashstyle="solid"/>
            <w10:wrap type="none"/>
          </v:line>
        </w:pict>
      </w:r>
      <w:r>
        <w:rPr>
          <w:sz w:val="12"/>
        </w:rPr>
        <w:t>0.21</w:t>
      </w:r>
    </w:p>
    <w:p>
      <w:pPr>
        <w:pStyle w:val="BodyText"/>
        <w:spacing w:before="10"/>
        <w:rPr>
          <w:sz w:val="15"/>
        </w:rPr>
      </w:pPr>
    </w:p>
    <w:p>
      <w:pPr>
        <w:spacing w:before="0"/>
        <w:ind w:left="161" w:right="0" w:firstLine="0"/>
        <w:jc w:val="left"/>
        <w:rPr>
          <w:sz w:val="12"/>
        </w:rPr>
      </w:pPr>
      <w:r>
        <w:rPr>
          <w:sz w:val="12"/>
        </w:rPr>
        <w:t>0.20</w:t>
      </w:r>
    </w:p>
    <w:p>
      <w:pPr>
        <w:pStyle w:val="BodyText"/>
        <w:spacing w:before="1"/>
        <w:rPr>
          <w:sz w:val="14"/>
        </w:rPr>
      </w:pPr>
    </w:p>
    <w:p>
      <w:pPr>
        <w:spacing w:before="0"/>
        <w:ind w:left="161" w:right="0" w:firstLine="0"/>
        <w:jc w:val="left"/>
        <w:rPr>
          <w:sz w:val="12"/>
        </w:rPr>
      </w:pPr>
      <w:r>
        <w:rPr>
          <w:sz w:val="12"/>
        </w:rPr>
        <w:t>0.19</w:t>
      </w:r>
    </w:p>
    <w:p>
      <w:pPr>
        <w:pStyle w:val="BodyText"/>
        <w:spacing w:before="1"/>
        <w:rPr>
          <w:sz w:val="14"/>
        </w:rPr>
      </w:pPr>
    </w:p>
    <w:p>
      <w:pPr>
        <w:spacing w:before="0"/>
        <w:ind w:left="161" w:right="0" w:firstLine="0"/>
        <w:jc w:val="left"/>
        <w:rPr>
          <w:sz w:val="12"/>
        </w:rPr>
      </w:pPr>
      <w:r>
        <w:rPr>
          <w:sz w:val="12"/>
        </w:rPr>
        <w:t>0.18</w:t>
      </w:r>
    </w:p>
    <w:p>
      <w:pPr>
        <w:pStyle w:val="BodyText"/>
        <w:spacing w:before="1"/>
        <w:rPr>
          <w:sz w:val="14"/>
        </w:rPr>
      </w:pPr>
    </w:p>
    <w:p>
      <w:pPr>
        <w:spacing w:before="0"/>
        <w:ind w:left="161" w:right="0" w:firstLine="0"/>
        <w:jc w:val="left"/>
        <w:rPr>
          <w:sz w:val="12"/>
        </w:rPr>
      </w:pPr>
      <w:r>
        <w:rPr/>
        <w:pict>
          <v:line style="position:absolute;mso-position-horizontal-relative:page;mso-position-vertical-relative:paragraph;z-index:15747072" from="215.279999pt,3.43457pt" to="220.279999pt,3.43457pt" stroked="true" strokeweight=".5pt" strokecolor="#000000">
            <v:stroke dashstyle="solid"/>
            <w10:wrap type="none"/>
          </v:line>
        </w:pict>
      </w:r>
      <w:r>
        <w:rPr>
          <w:sz w:val="12"/>
        </w:rPr>
        <w:t>0.17</w:t>
      </w:r>
    </w:p>
    <w:p>
      <w:pPr>
        <w:pStyle w:val="BodyText"/>
        <w:spacing w:before="1"/>
        <w:rPr>
          <w:sz w:val="14"/>
        </w:rPr>
      </w:pPr>
    </w:p>
    <w:p>
      <w:pPr>
        <w:spacing w:before="0"/>
        <w:ind w:left="161" w:right="0" w:firstLine="0"/>
        <w:jc w:val="left"/>
        <w:rPr>
          <w:sz w:val="12"/>
        </w:rPr>
      </w:pPr>
      <w:r>
        <w:rPr/>
        <w:pict>
          <v:group style="position:absolute;margin-left:54.154999pt;margin-top:3.07557pt;width:167.65pt;height:8.7pt;mso-position-horizontal-relative:page;mso-position-vertical-relative:paragraph;z-index:15744512" coordorigin="1083,62" coordsize="3353,174">
            <v:shape style="position:absolute;left:1083;top:68;width:3323;height:160" coordorigin="1083,69" coordsize="3323,160" path="m1186,69l1086,69m4306,69l4406,69m1226,229l4246,229m1226,227l1226,187m1526,229l1526,189m1806,229l1806,189m2106,229l2106,189m2386,229l2386,189m2666,229l2666,189m2946,229l2946,189m3246,229l3246,189m3526,229l3526,189m3826,229l3826,189m4106,229l4106,189m2106,229l2106,129m3526,229l3526,129m1083,229l4406,229m1526,229l1526,189m1806,229l1806,189m2106,229l2106,189m2386,229l2386,189m2666,229l2666,189m2946,229l2946,189m3246,229l3246,189m3526,229l3526,189m3826,229l3826,189m4106,229l4106,189m2106,229l2106,129m3526,229l3526,129e" filled="false" stroked="true" strokeweight=".5pt" strokecolor="#000000">
              <v:path arrowok="t"/>
              <v:stroke dashstyle="solid"/>
            </v:shape>
            <v:shape style="position:absolute;left:1164;top:66;width:3267;height:164" coordorigin="1165,67" coordsize="3267,164" path="m4409,67l4409,107,4387,125,4431,140,4387,162,4431,180,4405,191,4405,230m1187,68l1187,107,1165,125,1209,140,1165,162,1209,180,1183,191,1183,227e" filled="false" stroked="true" strokeweight=".5pt" strokecolor="#000000">
              <v:path arrowok="t"/>
              <v:stroke dashstyle="solid"/>
            </v:shape>
            <w10:wrap type="none"/>
          </v:group>
        </w:pict>
      </w:r>
      <w:r>
        <w:rPr>
          <w:sz w:val="12"/>
        </w:rPr>
        <w:t>0.16</w:t>
      </w:r>
    </w:p>
    <w:p>
      <w:pPr>
        <w:spacing w:before="22"/>
        <w:ind w:left="161" w:right="0" w:firstLine="0"/>
        <w:jc w:val="left"/>
        <w:rPr>
          <w:sz w:val="12"/>
        </w:rPr>
      </w:pPr>
      <w:r>
        <w:rPr>
          <w:sz w:val="12"/>
        </w:rPr>
        <w:t>0.00</w:t>
      </w:r>
    </w:p>
    <w:p>
      <w:pPr>
        <w:pStyle w:val="Heading5"/>
        <w:spacing w:before="8"/>
        <w:ind w:left="203"/>
      </w:pPr>
      <w:r>
        <w:rPr/>
        <w:br w:type="column"/>
      </w:r>
      <w:r>
        <w:rPr>
          <w:color w:val="231F20"/>
        </w:rPr>
        <w:t>inflation projection.</w:t>
      </w:r>
    </w:p>
    <w:p>
      <w:pPr>
        <w:pStyle w:val="BodyText"/>
        <w:spacing w:before="2"/>
        <w:rPr>
          <w:sz w:val="21"/>
        </w:rPr>
      </w:pPr>
    </w:p>
    <w:p>
      <w:pPr>
        <w:pStyle w:val="Heading6"/>
        <w:ind w:left="203"/>
        <w:rPr>
          <w:i/>
        </w:rPr>
      </w:pPr>
      <w:r>
        <w:rPr>
          <w:i/>
          <w:color w:val="009483"/>
        </w:rPr>
        <w:t>Other financial institutions (OFIs)</w:t>
      </w:r>
    </w:p>
    <w:p>
      <w:pPr>
        <w:spacing w:line="242" w:lineRule="auto" w:before="124"/>
        <w:ind w:left="203" w:right="155" w:firstLine="0"/>
        <w:jc w:val="left"/>
        <w:rPr>
          <w:sz w:val="24"/>
        </w:rPr>
      </w:pPr>
      <w:r>
        <w:rPr>
          <w:color w:val="231F20"/>
          <w:sz w:val="24"/>
        </w:rPr>
        <w:t>Within aggregate M4, financial institutions other than banks (OFIs) </w:t>
      </w:r>
      <w:r>
        <w:rPr>
          <w:color w:val="231F20"/>
          <w:spacing w:val="-3"/>
          <w:sz w:val="24"/>
        </w:rPr>
        <w:t>have </w:t>
      </w:r>
      <w:r>
        <w:rPr>
          <w:color w:val="231F20"/>
          <w:sz w:val="24"/>
        </w:rPr>
        <w:t>built up deposits quickly since 1995. Some 40% of OFIs’ money holdings are accounted for by life assurance and pension funds (L</w:t>
      </w:r>
      <w:r>
        <w:rPr>
          <w:color w:val="231F20"/>
          <w:sz w:val="20"/>
        </w:rPr>
        <w:t>APF</w:t>
      </w:r>
      <w:r>
        <w:rPr>
          <w:color w:val="231F20"/>
          <w:sz w:val="24"/>
        </w:rPr>
        <w:t>s). In the year to 1997 Q4, OFIs’ deposits grew by 26.5%, compared with an average yearly rate of 12.6% since the start of </w:t>
      </w:r>
      <w:r>
        <w:rPr>
          <w:color w:val="231F20"/>
          <w:spacing w:val="-6"/>
          <w:sz w:val="24"/>
        </w:rPr>
        <w:t>the </w:t>
      </w:r>
      <w:r>
        <w:rPr>
          <w:color w:val="231F20"/>
          <w:sz w:val="24"/>
        </w:rPr>
        <w:t>current expansion in 1992. This may partly reflect attempts by OFIs to maintain the share of money balances within their total asset portfolios. But as</w:t>
      </w:r>
    </w:p>
    <w:p>
      <w:pPr>
        <w:spacing w:after="0" w:line="242" w:lineRule="auto"/>
        <w:jc w:val="left"/>
        <w:rPr>
          <w:sz w:val="24"/>
        </w:rPr>
        <w:sectPr>
          <w:type w:val="continuous"/>
          <w:pgSz w:w="11880" w:h="16840"/>
          <w:pgMar w:top="1200" w:bottom="280" w:left="620" w:right="620"/>
          <w:cols w:num="5" w:equalWidth="0">
            <w:col w:w="414" w:space="40"/>
            <w:col w:w="335" w:space="39"/>
            <w:col w:w="2800" w:space="40"/>
            <w:col w:w="412" w:space="676"/>
            <w:col w:w="5884"/>
          </w:cols>
        </w:sectPr>
      </w:pPr>
    </w:p>
    <w:p>
      <w:pPr>
        <w:spacing w:before="0"/>
        <w:ind w:left="200" w:right="0" w:firstLine="0"/>
        <w:jc w:val="left"/>
        <w:rPr>
          <w:sz w:val="12"/>
        </w:rPr>
      </w:pPr>
      <w:r>
        <w:rPr>
          <w:color w:val="231F20"/>
          <w:sz w:val="12"/>
        </w:rPr>
        <w:t>Sources: Bank of England and 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9"/>
        <w:spacing w:before="77"/>
        <w:ind w:left="190"/>
      </w:pPr>
      <w:r>
        <w:rPr>
          <w:color w:val="0093C1"/>
        </w:rPr>
        <w:t>Chart 1.3</w:t>
      </w:r>
    </w:p>
    <w:p>
      <w:pPr>
        <w:spacing w:line="249" w:lineRule="auto" w:before="10"/>
        <w:ind w:left="190" w:right="270" w:firstLine="0"/>
        <w:jc w:val="left"/>
        <w:rPr>
          <w:sz w:val="12"/>
        </w:rPr>
      </w:pPr>
      <w:r>
        <w:rPr>
          <w:b/>
          <w:color w:val="0093C1"/>
          <w:sz w:val="20"/>
        </w:rPr>
        <w:t>Skew in the probability distribution of equity prices</w:t>
      </w:r>
      <w:r>
        <w:rPr>
          <w:color w:val="231F20"/>
          <w:position w:val="4"/>
          <w:sz w:val="12"/>
        </w:rPr>
        <w:t>(a)</w:t>
      </w:r>
    </w:p>
    <w:p>
      <w:pPr>
        <w:spacing w:before="62"/>
        <w:ind w:left="3110" w:right="0" w:firstLine="0"/>
        <w:jc w:val="left"/>
        <w:rPr>
          <w:sz w:val="12"/>
        </w:rPr>
      </w:pPr>
      <w:r>
        <w:rPr>
          <w:sz w:val="12"/>
        </w:rPr>
        <w:t>Per cent</w:t>
      </w:r>
    </w:p>
    <w:p>
      <w:pPr>
        <w:spacing w:before="2"/>
        <w:ind w:left="3590" w:right="0" w:firstLine="0"/>
        <w:jc w:val="left"/>
        <w:rPr>
          <w:sz w:val="12"/>
        </w:rPr>
      </w:pPr>
      <w:r>
        <w:rPr/>
        <w:pict>
          <v:line style="position:absolute;mso-position-horizontal-relative:page;mso-position-vertical-relative:paragraph;z-index:15743488" from="46.5pt,2.701562pt" to="42.5pt,2.701562pt" stroked="true" strokeweight=".5pt" strokecolor="#000000">
            <v:stroke dashstyle="solid"/>
            <w10:wrap type="none"/>
          </v:line>
        </w:pict>
      </w:r>
      <w:r>
        <w:rPr/>
        <w:pict>
          <v:line style="position:absolute;mso-position-horizontal-relative:page;mso-position-vertical-relative:paragraph;z-index:15744000" from="206.5pt,2.701562pt" to="202.5pt,2.701562pt" stroked="true" strokeweight=".5pt" strokecolor="#000000">
            <v:stroke dashstyle="solid"/>
            <w10:wrap type="none"/>
          </v:line>
        </w:pict>
      </w:r>
      <w:r>
        <w:rPr>
          <w:sz w:val="12"/>
        </w:rPr>
        <w:t>0</w:t>
      </w:r>
    </w:p>
    <w:p>
      <w:pPr>
        <w:pStyle w:val="BodyText"/>
        <w:rPr>
          <w:sz w:val="12"/>
        </w:rPr>
      </w:pPr>
    </w:p>
    <w:p>
      <w:pPr>
        <w:pStyle w:val="BodyText"/>
        <w:spacing w:before="3"/>
        <w:rPr>
          <w:sz w:val="14"/>
        </w:rPr>
      </w:pPr>
    </w:p>
    <w:p>
      <w:pPr>
        <w:spacing w:before="0"/>
        <w:ind w:left="3560" w:right="0" w:firstLine="0"/>
        <w:jc w:val="left"/>
        <w:rPr>
          <w:sz w:val="12"/>
        </w:rPr>
      </w:pPr>
      <w:r>
        <w:rPr/>
        <w:pict>
          <v:group style="position:absolute;margin-left:42.5pt;margin-top:.101563pt;width:164pt;height:131.75pt;mso-position-horizontal-relative:page;mso-position-vertical-relative:paragraph;z-index:-20346880" coordorigin="850,2" coordsize="3280,2635">
            <v:shape style="position:absolute;left:850;top:52;width:3140;height:2140" coordorigin="850,52" coordsize="3140,2140" path="m990,332l3990,332m930,52l850,52m930,472l850,472m930,912l850,912m930,1332l850,1332m930,1772l850,1772m930,2192l850,2192e" filled="false" stroked="true" strokeweight=".5pt" strokecolor="#000000">
              <v:path arrowok="t"/>
              <v:stroke dashstyle="solid"/>
            </v:shape>
            <v:shape style="position:absolute;left:990;top:12;width:3020;height:2480" coordorigin="990,12" coordsize="3020,2480" path="m990,352l1050,292,1090,392,1150,332,1210,392,1270,432,1310,332,1370,392,1430,432,1490,412,1530,472,1590,572,1650,552,1690,512,1750,392,1810,312,1870,192,1910,12,1970,172,2030,172,2090,272,2130,92,2190,192,2250,512,2290,692,2350,812,2410,412,2470,452,2530,772,2570,1352,2630,652,2690,752,2730,752,2790,832,2850,1172,2910,1072,2950,1092,3010,1032,3070,1152,3130,912,3170,812,3230,1752,3290,2492,3350,2032,3390,1832,3450,1372,3510,1472,3570,992,3610,1212,3670,1132,3730,1092,3770,1152,3830,1232,3890,1112,3950,1332,4010,492e" filled="false" stroked="true" strokeweight="1pt" strokecolor="#008256">
              <v:path arrowok="t"/>
              <v:stroke dashstyle="solid"/>
            </v:shape>
            <v:shape style="position:absolute;left:850;top:52;width:3280;height:2580" coordorigin="850,52" coordsize="3280,2580" path="m4130,52l4050,52m4130,472l4050,472m4130,912l4050,912m4130,1332l4050,1332m4130,1772l4050,1772m4130,2192l4050,2192m930,2632l850,2632m4130,2632l4050,2632m990,2632l3990,2632m1210,2632l1210,2592m1430,2632l1430,2592m1650,2632l1650,2592m1890,2632l1890,2592m2130,2632l2130,2592m2350,2632l2350,2592m2610,2632l2610,2592m2850,2632l2850,2592m3070,2632l3070,2592m3330,2632l3330,2592m3550,2632l3550,2592m3770,2632l3770,2552m990,2632l990,2552e" filled="false" stroked="true" strokeweight=".5pt" strokecolor="#000000">
              <v:path arrowok="t"/>
              <v:stroke dashstyle="solid"/>
            </v:shape>
            <v:shape style="position:absolute;left:3020;top:175;width:883;height:133" type="#_x0000_t202" filled="false" stroked="false">
              <v:textbox inset="0,0,0,0">
                <w:txbxContent>
                  <w:p>
                    <w:pPr>
                      <w:spacing w:line="133" w:lineRule="exact" w:before="0"/>
                      <w:ind w:left="0" w:right="0" w:firstLine="0"/>
                      <w:jc w:val="left"/>
                      <w:rPr>
                        <w:sz w:val="12"/>
                      </w:rPr>
                    </w:pPr>
                    <w:r>
                      <w:rPr>
                        <w:sz w:val="12"/>
                      </w:rPr>
                      <w:t>Five-year average</w:t>
                    </w:r>
                  </w:p>
                </w:txbxContent>
              </v:textbox>
              <w10:wrap type="none"/>
            </v:shape>
            <w10:wrap type="none"/>
          </v:group>
        </w:pict>
      </w:r>
      <w:r>
        <w:rPr>
          <w:sz w:val="12"/>
        </w:rPr>
        <w:t>-1</w:t>
      </w:r>
    </w:p>
    <w:p>
      <w:pPr>
        <w:pStyle w:val="BodyText"/>
        <w:rPr>
          <w:sz w:val="12"/>
        </w:rPr>
      </w:pPr>
    </w:p>
    <w:p>
      <w:pPr>
        <w:pStyle w:val="BodyText"/>
        <w:spacing w:before="6"/>
        <w:rPr>
          <w:sz w:val="12"/>
        </w:rPr>
      </w:pPr>
    </w:p>
    <w:p>
      <w:pPr>
        <w:spacing w:before="0"/>
        <w:ind w:left="3560" w:right="0" w:firstLine="0"/>
        <w:jc w:val="left"/>
        <w:rPr>
          <w:sz w:val="12"/>
        </w:rPr>
      </w:pPr>
      <w:r>
        <w:rPr>
          <w:sz w:val="12"/>
        </w:rPr>
        <w:t>-2</w:t>
      </w:r>
    </w:p>
    <w:p>
      <w:pPr>
        <w:pStyle w:val="BodyText"/>
        <w:rPr>
          <w:sz w:val="12"/>
        </w:rPr>
      </w:pPr>
    </w:p>
    <w:p>
      <w:pPr>
        <w:pStyle w:val="BodyText"/>
        <w:spacing w:before="3"/>
        <w:rPr>
          <w:sz w:val="14"/>
        </w:rPr>
      </w:pPr>
    </w:p>
    <w:p>
      <w:pPr>
        <w:spacing w:before="0"/>
        <w:ind w:left="3560" w:right="0" w:firstLine="0"/>
        <w:jc w:val="left"/>
        <w:rPr>
          <w:sz w:val="12"/>
        </w:rPr>
      </w:pPr>
      <w:r>
        <w:rPr>
          <w:sz w:val="12"/>
        </w:rPr>
        <w:t>-3</w:t>
      </w:r>
    </w:p>
    <w:p>
      <w:pPr>
        <w:pStyle w:val="BodyText"/>
        <w:rPr>
          <w:sz w:val="12"/>
        </w:rPr>
      </w:pPr>
    </w:p>
    <w:p>
      <w:pPr>
        <w:pStyle w:val="BodyText"/>
        <w:spacing w:before="6"/>
        <w:rPr>
          <w:sz w:val="12"/>
        </w:rPr>
      </w:pPr>
    </w:p>
    <w:p>
      <w:pPr>
        <w:spacing w:before="0"/>
        <w:ind w:left="3560" w:right="0" w:firstLine="0"/>
        <w:jc w:val="left"/>
        <w:rPr>
          <w:sz w:val="12"/>
        </w:rPr>
      </w:pPr>
      <w:r>
        <w:rPr>
          <w:sz w:val="12"/>
        </w:rPr>
        <w:t>-4</w:t>
      </w:r>
    </w:p>
    <w:p>
      <w:pPr>
        <w:pStyle w:val="BodyText"/>
        <w:rPr>
          <w:sz w:val="12"/>
        </w:rPr>
      </w:pPr>
    </w:p>
    <w:p>
      <w:pPr>
        <w:pStyle w:val="BodyText"/>
        <w:spacing w:before="3"/>
        <w:rPr>
          <w:sz w:val="14"/>
        </w:rPr>
      </w:pPr>
    </w:p>
    <w:p>
      <w:pPr>
        <w:spacing w:before="0"/>
        <w:ind w:left="3560" w:right="0" w:firstLine="0"/>
        <w:jc w:val="left"/>
        <w:rPr>
          <w:sz w:val="12"/>
        </w:rPr>
      </w:pPr>
      <w:r>
        <w:rPr>
          <w:sz w:val="12"/>
        </w:rPr>
        <w:t>-5</w:t>
      </w:r>
    </w:p>
    <w:p>
      <w:pPr>
        <w:pStyle w:val="BodyText"/>
        <w:rPr>
          <w:sz w:val="12"/>
        </w:rPr>
      </w:pPr>
    </w:p>
    <w:p>
      <w:pPr>
        <w:pStyle w:val="BodyText"/>
        <w:spacing w:before="6"/>
        <w:rPr>
          <w:sz w:val="12"/>
        </w:rPr>
      </w:pPr>
    </w:p>
    <w:p>
      <w:pPr>
        <w:spacing w:before="0"/>
        <w:ind w:left="3560" w:right="0" w:firstLine="0"/>
        <w:jc w:val="left"/>
        <w:rPr>
          <w:sz w:val="12"/>
        </w:rPr>
      </w:pPr>
      <w:r>
        <w:rPr>
          <w:sz w:val="12"/>
        </w:rPr>
        <w:t>-6</w:t>
      </w:r>
    </w:p>
    <w:p>
      <w:pPr>
        <w:pStyle w:val="BodyText"/>
        <w:rPr>
          <w:sz w:val="12"/>
        </w:rPr>
      </w:pPr>
    </w:p>
    <w:p>
      <w:pPr>
        <w:pStyle w:val="BodyText"/>
        <w:spacing w:before="3"/>
        <w:rPr>
          <w:sz w:val="14"/>
        </w:rPr>
      </w:pPr>
    </w:p>
    <w:p>
      <w:pPr>
        <w:tabs>
          <w:tab w:pos="3219" w:val="left" w:leader="none"/>
          <w:tab w:pos="3559" w:val="left" w:leader="none"/>
        </w:tabs>
        <w:spacing w:before="0"/>
        <w:ind w:left="1619" w:right="0" w:firstLine="0"/>
        <w:jc w:val="left"/>
        <w:rPr>
          <w:sz w:val="12"/>
        </w:rPr>
      </w:pPr>
      <w:r>
        <w:rPr>
          <w:sz w:val="12"/>
        </w:rPr>
        <w:t>1997</w:t>
        <w:tab/>
        <w:t>98</w:t>
        <w:tab/>
      </w:r>
      <w:r>
        <w:rPr>
          <w:position w:val="7"/>
          <w:sz w:val="12"/>
        </w:rPr>
        <w:t>-7</w:t>
      </w:r>
    </w:p>
    <w:p>
      <w:pPr>
        <w:spacing w:line="417" w:lineRule="auto" w:before="141"/>
        <w:ind w:left="179" w:right="1671" w:firstLine="0"/>
        <w:jc w:val="left"/>
        <w:rPr>
          <w:sz w:val="12"/>
        </w:rPr>
      </w:pPr>
      <w:r>
        <w:rPr>
          <w:color w:val="231F20"/>
          <w:sz w:val="12"/>
        </w:rPr>
        <w:t>Note: Data are weekly averages. Source: Bank of England.</w:t>
      </w:r>
    </w:p>
    <w:p>
      <w:pPr>
        <w:pStyle w:val="ListParagraph"/>
        <w:numPr>
          <w:ilvl w:val="1"/>
          <w:numId w:val="4"/>
        </w:numPr>
        <w:tabs>
          <w:tab w:pos="420" w:val="left" w:leader="none"/>
        </w:tabs>
        <w:spacing w:line="208" w:lineRule="auto" w:before="14" w:after="0"/>
        <w:ind w:left="419" w:right="38" w:hanging="240"/>
        <w:jc w:val="left"/>
        <w:rPr>
          <w:sz w:val="12"/>
        </w:rPr>
      </w:pPr>
      <w:r>
        <w:rPr>
          <w:color w:val="231F20"/>
          <w:sz w:val="12"/>
        </w:rPr>
        <w:t>Measured by mean minus mode as a percentage of the mode from FT-SE 100 probability density functions. It is based on a ‘synthetic’ distribution with a fixed horizon of six months, and is calculated by interpolating between two LIFFE FT-SE 100 options.</w:t>
      </w:r>
    </w:p>
    <w:p>
      <w:pPr>
        <w:pStyle w:val="Heading5"/>
        <w:spacing w:line="242" w:lineRule="auto" w:before="12"/>
        <w:ind w:left="180" w:right="268"/>
      </w:pPr>
      <w:r>
        <w:rPr/>
        <w:br w:type="column"/>
      </w:r>
      <w:r>
        <w:rPr>
          <w:color w:val="231F20"/>
        </w:rPr>
        <w:t>Chart 1.2 shows, since 1994, OFIs’ deposits have increased significantly as a proportion of their financial wealth. This could represent a build-up of additional money-holdings in an attempt to minimise the risk from potential future falls in asset prices. Increased mergers and acquisitions activity, along with share buybacks, could also have played a part.</w:t>
      </w:r>
    </w:p>
    <w:p>
      <w:pPr>
        <w:pStyle w:val="BodyText"/>
        <w:spacing w:before="7"/>
        <w:rPr>
          <w:sz w:val="21"/>
        </w:rPr>
      </w:pPr>
    </w:p>
    <w:p>
      <w:pPr>
        <w:spacing w:line="242" w:lineRule="auto" w:before="0"/>
        <w:ind w:left="180" w:right="193" w:firstLine="0"/>
        <w:jc w:val="left"/>
        <w:rPr>
          <w:sz w:val="24"/>
        </w:rPr>
      </w:pPr>
      <w:r>
        <w:rPr>
          <w:color w:val="231F20"/>
          <w:sz w:val="24"/>
        </w:rPr>
        <w:t>Concern over the possibility of a correction in the equity market may continue to stimulate growth of OFIs’ deposits. As Chart 1.3 illustrates, the weight attached by financial markets to the likelihood of a stock market correction, as measured by the skew reflected in the</w:t>
      </w:r>
    </w:p>
    <w:p>
      <w:pPr>
        <w:spacing w:line="242" w:lineRule="auto" w:before="6"/>
        <w:ind w:left="179" w:right="193" w:firstLine="0"/>
        <w:jc w:val="left"/>
        <w:rPr>
          <w:sz w:val="24"/>
        </w:rPr>
      </w:pPr>
      <w:r>
        <w:rPr>
          <w:color w:val="231F20"/>
          <w:sz w:val="24"/>
        </w:rPr>
        <w:t>F</w:t>
      </w:r>
      <w:r>
        <w:rPr>
          <w:color w:val="231F20"/>
          <w:sz w:val="20"/>
        </w:rPr>
        <w:t>T-SE </w:t>
      </w:r>
      <w:r>
        <w:rPr>
          <w:color w:val="231F20"/>
          <w:sz w:val="24"/>
        </w:rPr>
        <w:t>100 equity index, increased in the second half of 1997. The probability attached to a large fall increased sharply following problems in Asia. But the skew associated with the equity market turbulence in October quickly unwound. If OFIs’ concern over possible falls in the value of equities lessens and they readjust their portfolios from money towards equities, this portfolio adjustment could bring an upward risk to inflation through the effects of higher asset prices on valuation ratios and wealth. The growth rate of OFIs’ deposits has fallen recently: the growth rate was 4.7% in 1997 Q4, compared with an average quarterly growth rate of 6.8% in the first three quarters of the year. But OFIs’ deposits tend to be volatile from quarter to quarter, so it is too soon to conclude that the sharp rise in deposits since 1995 is subsiding.</w:t>
      </w:r>
    </w:p>
    <w:p>
      <w:pPr>
        <w:pStyle w:val="BodyText"/>
        <w:spacing w:before="7"/>
        <w:rPr>
          <w:sz w:val="22"/>
        </w:rPr>
      </w:pPr>
    </w:p>
    <w:p>
      <w:pPr>
        <w:pStyle w:val="Heading6"/>
        <w:spacing w:before="1"/>
        <w:ind w:left="179"/>
        <w:rPr>
          <w:i/>
        </w:rPr>
      </w:pPr>
      <w:r>
        <w:rPr>
          <w:i/>
          <w:color w:val="009483"/>
        </w:rPr>
        <w:t>Personal sector</w:t>
      </w:r>
    </w:p>
    <w:p>
      <w:pPr>
        <w:spacing w:line="242" w:lineRule="auto" w:before="144"/>
        <w:ind w:left="179" w:right="0" w:firstLine="0"/>
        <w:jc w:val="left"/>
        <w:rPr>
          <w:sz w:val="24"/>
        </w:rPr>
      </w:pPr>
      <w:r>
        <w:rPr>
          <w:color w:val="231F20"/>
          <w:sz w:val="24"/>
        </w:rPr>
        <w:t>There is little sign of a slowdown in the personal sector’s demand for broad money: personal sector M4 continues</w:t>
      </w:r>
    </w:p>
    <w:p>
      <w:pPr>
        <w:spacing w:after="0" w:line="242" w:lineRule="auto"/>
        <w:jc w:val="left"/>
        <w:rPr>
          <w:sz w:val="24"/>
        </w:rPr>
        <w:sectPr>
          <w:type w:val="continuous"/>
          <w:pgSz w:w="11880" w:h="16840"/>
          <w:pgMar w:top="1200" w:bottom="280" w:left="620" w:right="620"/>
          <w:cols w:num="2" w:equalWidth="0">
            <w:col w:w="3753" w:space="1027"/>
            <w:col w:w="5860"/>
          </w:cols>
        </w:sectPr>
      </w:pPr>
    </w:p>
    <w:p>
      <w:pPr>
        <w:pStyle w:val="BodyText"/>
        <w:rPr>
          <w:sz w:val="20"/>
        </w:rPr>
      </w:pPr>
    </w:p>
    <w:p>
      <w:pPr>
        <w:spacing w:line="242" w:lineRule="auto" w:before="227"/>
        <w:ind w:left="5000" w:right="154" w:firstLine="0"/>
        <w:jc w:val="left"/>
        <w:rPr>
          <w:sz w:val="24"/>
        </w:rPr>
      </w:pPr>
      <w:bookmarkStart w:name="Industrial and commercial companies" w:id="10"/>
      <w:bookmarkEnd w:id="10"/>
      <w:r>
        <w:rPr/>
      </w:r>
      <w:bookmarkStart w:name="Narrow money" w:id="11"/>
      <w:bookmarkEnd w:id="11"/>
      <w:r>
        <w:rPr/>
      </w:r>
      <w:bookmarkStart w:name="_bookmark2" w:id="12"/>
      <w:bookmarkEnd w:id="12"/>
      <w:r>
        <w:rPr/>
      </w:r>
      <w:r>
        <w:rPr>
          <w:color w:val="231F20"/>
          <w:sz w:val="24"/>
        </w:rPr>
        <w:t>to grow at an annual rate of around 8%. Inflows into building society deposits remain strong, particularly into share accounts still eligible for potential future windfall payments upon demutualisation. Bank deposit inflows also continue to increase, though slightly more slowly.</w:t>
      </w:r>
    </w:p>
    <w:p>
      <w:pPr>
        <w:spacing w:line="242" w:lineRule="auto" w:before="6"/>
        <w:ind w:left="5000" w:right="290" w:firstLine="0"/>
        <w:jc w:val="left"/>
        <w:rPr>
          <w:sz w:val="24"/>
        </w:rPr>
      </w:pPr>
      <w:r>
        <w:rPr>
          <w:color w:val="231F20"/>
          <w:sz w:val="24"/>
        </w:rPr>
        <w:t>The annual growth rate of banks’ retail deposits in 1997 Q4 was 5.1%, compared with an average of 6% </w:t>
      </w:r>
      <w:r>
        <w:rPr>
          <w:color w:val="231F20"/>
          <w:spacing w:val="-9"/>
          <w:sz w:val="24"/>
        </w:rPr>
        <w:t>in </w:t>
      </w:r>
      <w:r>
        <w:rPr>
          <w:color w:val="231F20"/>
          <w:sz w:val="24"/>
        </w:rPr>
        <w:t>the first three quarters of 1997 and 6.5% in 1996 as a whole.</w:t>
      </w:r>
    </w:p>
    <w:p>
      <w:pPr>
        <w:pStyle w:val="BodyText"/>
        <w:spacing w:before="9"/>
        <w:rPr>
          <w:sz w:val="24"/>
        </w:rPr>
      </w:pPr>
    </w:p>
    <w:p>
      <w:pPr>
        <w:spacing w:line="242" w:lineRule="auto" w:before="1"/>
        <w:ind w:left="5000" w:right="0" w:firstLine="0"/>
        <w:jc w:val="left"/>
        <w:rPr>
          <w:sz w:val="24"/>
        </w:rPr>
      </w:pPr>
      <w:r>
        <w:rPr>
          <w:color w:val="231F20"/>
          <w:sz w:val="24"/>
        </w:rPr>
        <w:t>Chart 1.2 shows that the ratio of the personal sector’s broad money to total financial wealth has been falling as personal sector wealth has continued to increase.</w:t>
      </w:r>
    </w:p>
    <w:p>
      <w:pPr>
        <w:spacing w:line="242" w:lineRule="auto" w:before="3"/>
        <w:ind w:left="5000" w:right="161" w:firstLine="0"/>
        <w:jc w:val="left"/>
        <w:rPr>
          <w:sz w:val="24"/>
        </w:rPr>
      </w:pPr>
      <w:r>
        <w:rPr>
          <w:color w:val="231F20"/>
          <w:sz w:val="24"/>
        </w:rPr>
        <w:t>Increased holdings of other financial assets partly reflect rising UK equity prices. But they also reflect a continuing long-run downward trend in this ratio as the proportion of individuals’ wealth held in equities, either directly or via unit trusts and pension funds, has increased over time. So changes in personal sector savings behaviour and structural changes in the financial sector explain much of the fall in the ratio.</w:t>
      </w:r>
    </w:p>
    <w:p>
      <w:pPr>
        <w:spacing w:line="242" w:lineRule="auto" w:before="10"/>
        <w:ind w:left="5000" w:right="201" w:firstLine="0"/>
        <w:jc w:val="left"/>
        <w:rPr>
          <w:sz w:val="24"/>
        </w:rPr>
      </w:pPr>
      <w:r>
        <w:rPr>
          <w:color w:val="231F20"/>
          <w:sz w:val="24"/>
        </w:rPr>
        <w:t>Consumption growth is expected to slow during 1998. But the increase in wealth, together with recent strong income growth, remains consistent with above-trend consumption growth.</w:t>
      </w:r>
    </w:p>
    <w:p>
      <w:pPr>
        <w:pStyle w:val="BodyText"/>
        <w:spacing w:before="9"/>
        <w:rPr>
          <w:sz w:val="24"/>
        </w:rPr>
      </w:pPr>
    </w:p>
    <w:p>
      <w:pPr>
        <w:spacing w:before="1"/>
        <w:ind w:left="5000" w:right="0" w:firstLine="0"/>
        <w:jc w:val="left"/>
        <w:rPr>
          <w:i/>
          <w:sz w:val="24"/>
        </w:rPr>
      </w:pPr>
      <w:r>
        <w:rPr>
          <w:i/>
          <w:color w:val="009483"/>
          <w:sz w:val="24"/>
        </w:rPr>
        <w:t>Industrial and commercial companies (ICCs)</w:t>
      </w:r>
    </w:p>
    <w:p>
      <w:pPr>
        <w:spacing w:line="242" w:lineRule="auto" w:before="124"/>
        <w:ind w:left="5000" w:right="0" w:firstLine="0"/>
        <w:jc w:val="left"/>
        <w:rPr>
          <w:sz w:val="24"/>
        </w:rPr>
      </w:pPr>
      <w:r>
        <w:rPr>
          <w:color w:val="231F20"/>
          <w:sz w:val="24"/>
        </w:rPr>
        <w:t>ICCs’ holdings of broad money continued to slow, rising by 5.9% in the year to 1997 Q4, compared with 8.5% in 1997 Q3. Changes in ICCs’ deposits have, in the past, tended to precede changes in investment.</w:t>
      </w:r>
      <w:r>
        <w:rPr>
          <w:color w:val="231F20"/>
          <w:position w:val="5"/>
          <w:sz w:val="16"/>
        </w:rPr>
        <w:t>(1) </w:t>
      </w:r>
      <w:r>
        <w:rPr>
          <w:color w:val="231F20"/>
          <w:sz w:val="24"/>
        </w:rPr>
        <w:t>As</w:t>
      </w:r>
    </w:p>
    <w:p>
      <w:pPr>
        <w:spacing w:line="242" w:lineRule="auto" w:before="5"/>
        <w:ind w:left="5000" w:right="207" w:firstLine="0"/>
        <w:jc w:val="left"/>
        <w:rPr>
          <w:sz w:val="24"/>
        </w:rPr>
      </w:pPr>
      <w:r>
        <w:rPr>
          <w:color w:val="231F20"/>
          <w:sz w:val="24"/>
        </w:rPr>
        <w:t>Chart 1.2 shows, the ratio of ICCs’ broad money to total financial wealth has been broadly stable since 1990, but has picked up since 1996. This is consistent with a robust investment outlook, which is reflected in the central projection. But survey evidence is mixed—for example, the Confederation of British Industry (CBI) Survey in January suggested that business optimism fell sharply, to its lowest balance since the fourth quarter of 1995.</w:t>
      </w:r>
    </w:p>
    <w:p>
      <w:pPr>
        <w:pStyle w:val="BodyText"/>
        <w:spacing w:before="3"/>
        <w:rPr>
          <w:sz w:val="25"/>
        </w:rPr>
      </w:pPr>
    </w:p>
    <w:p>
      <w:pPr>
        <w:spacing w:before="0"/>
        <w:ind w:left="5000" w:right="0" w:firstLine="0"/>
        <w:jc w:val="left"/>
        <w:rPr>
          <w:i/>
          <w:sz w:val="24"/>
        </w:rPr>
      </w:pPr>
      <w:r>
        <w:rPr>
          <w:i/>
          <w:color w:val="009483"/>
          <w:sz w:val="24"/>
        </w:rPr>
        <w:t>Narrow money</w:t>
      </w:r>
    </w:p>
    <w:p>
      <w:pPr>
        <w:spacing w:line="242" w:lineRule="auto" w:before="124"/>
        <w:ind w:left="5000" w:right="201" w:firstLine="0"/>
        <w:jc w:val="left"/>
        <w:rPr>
          <w:sz w:val="24"/>
        </w:rPr>
      </w:pPr>
      <w:r>
        <w:rPr>
          <w:color w:val="231F20"/>
          <w:sz w:val="24"/>
        </w:rPr>
        <w:t>Despite moderating a little in 1997, narrow money growth remains strong. M0 grew by 6.7% in the year to 1997 Q4, much the same as its average annual growth rate in 1996. The underlying increase in narrow money, as measured by notes and coin, was 6.9% in the year to December. But this was exaggerated by the introduction</w:t>
      </w:r>
    </w:p>
    <w:p>
      <w:pPr>
        <w:pStyle w:val="BodyText"/>
        <w:spacing w:before="10"/>
        <w:rPr>
          <w:sz w:val="22"/>
        </w:rPr>
      </w:pPr>
      <w:r>
        <w:rPr/>
        <w:pict>
          <v:shape style="position:absolute;margin-left:281pt;margin-top:15.228311pt;width:273pt;height:.1pt;mso-position-horizontal-relative:page;mso-position-vertical-relative:paragraph;z-index:-15707648;mso-wrap-distance-left:0;mso-wrap-distance-right:0" coordorigin="5620,305" coordsize="5460,0" path="m5620,305l11080,305e" filled="false" stroked="true" strokeweight=".125pt" strokecolor="#231f20">
            <v:path arrowok="t"/>
            <v:stroke dashstyle="solid"/>
            <w10:wrap type="topAndBottom"/>
          </v:shape>
        </w:pict>
      </w:r>
    </w:p>
    <w:p>
      <w:pPr>
        <w:pStyle w:val="ListParagraph"/>
        <w:numPr>
          <w:ilvl w:val="2"/>
          <w:numId w:val="4"/>
        </w:numPr>
        <w:tabs>
          <w:tab w:pos="5241" w:val="left" w:leader="none"/>
        </w:tabs>
        <w:spacing w:line="208" w:lineRule="auto" w:before="0" w:after="0"/>
        <w:ind w:left="5240" w:right="670" w:hanging="240"/>
        <w:jc w:val="left"/>
        <w:rPr>
          <w:sz w:val="16"/>
        </w:rPr>
      </w:pPr>
      <w:r>
        <w:rPr>
          <w:color w:val="231F20"/>
          <w:sz w:val="16"/>
        </w:rPr>
        <w:t>Astley, M and Haldane, A (1997), ‘The information in money’, </w:t>
      </w:r>
      <w:r>
        <w:rPr>
          <w:i/>
          <w:color w:val="231F20"/>
          <w:sz w:val="16"/>
        </w:rPr>
        <w:t>Quarterly </w:t>
      </w:r>
      <w:r>
        <w:rPr>
          <w:i/>
          <w:color w:val="231F20"/>
          <w:sz w:val="16"/>
        </w:rPr>
        <w:t>Bulletin</w:t>
      </w:r>
      <w:r>
        <w:rPr>
          <w:color w:val="231F20"/>
          <w:sz w:val="16"/>
        </w:rPr>
        <w:t>, May, pages 174–80.</w:t>
      </w:r>
    </w:p>
    <w:p>
      <w:pPr>
        <w:spacing w:after="0" w:line="208" w:lineRule="auto"/>
        <w:jc w:val="left"/>
        <w:rPr>
          <w:sz w:val="16"/>
        </w:rPr>
        <w:sectPr>
          <w:footerReference w:type="default" r:id="rId13"/>
          <w:footerReference w:type="even" r:id="rId14"/>
          <w:pgSz w:w="11880" w:h="16840"/>
          <w:pgMar w:footer="617" w:header="586" w:top="780" w:bottom="800" w:left="620" w:right="620"/>
          <w:pgNumType w:start="5"/>
        </w:sectPr>
      </w:pPr>
    </w:p>
    <w:p>
      <w:pPr>
        <w:pStyle w:val="BodyText"/>
        <w:rPr>
          <w:sz w:val="20"/>
        </w:rPr>
      </w:pPr>
    </w:p>
    <w:p>
      <w:pPr>
        <w:spacing w:after="0"/>
        <w:rPr>
          <w:sz w:val="20"/>
        </w:rPr>
        <w:sectPr>
          <w:pgSz w:w="11880" w:h="16840"/>
          <w:pgMar w:header="586" w:footer="597" w:top="780" w:bottom="780" w:left="620" w:right="620"/>
        </w:sectPr>
      </w:pPr>
    </w:p>
    <w:p>
      <w:pPr>
        <w:pStyle w:val="BodyText"/>
        <w:rPr>
          <w:sz w:val="22"/>
        </w:rPr>
      </w:pPr>
    </w:p>
    <w:p>
      <w:pPr>
        <w:pStyle w:val="BodyText"/>
        <w:rPr>
          <w:sz w:val="22"/>
        </w:rPr>
      </w:pPr>
    </w:p>
    <w:p>
      <w:pPr>
        <w:pStyle w:val="BodyText"/>
        <w:rPr>
          <w:sz w:val="22"/>
        </w:rPr>
      </w:pPr>
    </w:p>
    <w:p>
      <w:pPr>
        <w:pStyle w:val="Heading9"/>
        <w:spacing w:before="177"/>
        <w:ind w:left="180"/>
      </w:pPr>
      <w:bookmarkStart w:name="Divisia money" w:id="13"/>
      <w:bookmarkEnd w:id="13"/>
      <w:r>
        <w:rPr>
          <w:b w:val="0"/>
        </w:rPr>
      </w:r>
      <w:bookmarkStart w:name="Credit" w:id="14"/>
      <w:bookmarkEnd w:id="14"/>
      <w:r>
        <w:rPr>
          <w:b w:val="0"/>
        </w:rPr>
      </w:r>
      <w:bookmarkStart w:name="Other financial institutions" w:id="15"/>
      <w:bookmarkEnd w:id="15"/>
      <w:r>
        <w:rPr>
          <w:b w:val="0"/>
        </w:rPr>
      </w:r>
      <w:bookmarkStart w:name="Personal sector" w:id="16"/>
      <w:bookmarkEnd w:id="16"/>
      <w:r>
        <w:rPr>
          <w:b w:val="0"/>
        </w:rPr>
      </w:r>
      <w:bookmarkStart w:name="_bookmark3" w:id="17"/>
      <w:bookmarkEnd w:id="17"/>
      <w:r>
        <w:rPr>
          <w:b w:val="0"/>
        </w:rPr>
      </w:r>
      <w:r>
        <w:rPr>
          <w:color w:val="0093C1"/>
        </w:rPr>
        <w:t>Table 1.B</w:t>
      </w:r>
    </w:p>
    <w:p>
      <w:pPr>
        <w:spacing w:before="10"/>
        <w:ind w:left="180" w:right="0" w:firstLine="0"/>
        <w:jc w:val="left"/>
        <w:rPr>
          <w:b/>
          <w:sz w:val="20"/>
        </w:rPr>
      </w:pPr>
      <w:r>
        <w:rPr>
          <w:b/>
          <w:color w:val="0093C1"/>
          <w:sz w:val="20"/>
        </w:rPr>
        <w:t>Divisia and M4 annual growth rates</w:t>
      </w:r>
    </w:p>
    <w:p>
      <w:pPr>
        <w:spacing w:before="107"/>
        <w:ind w:left="180" w:right="0" w:firstLine="0"/>
        <w:jc w:val="left"/>
        <w:rPr>
          <w:sz w:val="14"/>
        </w:rPr>
      </w:pPr>
      <w:r>
        <w:rPr>
          <w:color w:val="231F20"/>
          <w:sz w:val="14"/>
        </w:rPr>
        <w:t>Percentage change in the year to 1997 Q4</w:t>
      </w:r>
    </w:p>
    <w:p>
      <w:pPr>
        <w:pStyle w:val="BodyText"/>
        <w:spacing w:before="9"/>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785"/>
        <w:gridCol w:w="650"/>
      </w:tblGrid>
      <w:tr>
        <w:trPr>
          <w:trHeight w:val="427" w:hRule="atLeast"/>
        </w:trPr>
        <w:tc>
          <w:tcPr>
            <w:tcW w:w="1405" w:type="dxa"/>
          </w:tcPr>
          <w:p>
            <w:pPr>
              <w:pStyle w:val="TableParagraph"/>
              <w:spacing w:before="9"/>
              <w:rPr>
                <w:sz w:val="23"/>
              </w:rPr>
            </w:pPr>
          </w:p>
          <w:p>
            <w:pPr>
              <w:pStyle w:val="TableParagraph"/>
              <w:spacing w:line="133" w:lineRule="exact"/>
              <w:ind w:left="50"/>
              <w:rPr>
                <w:sz w:val="14"/>
              </w:rPr>
            </w:pPr>
            <w:r>
              <w:rPr>
                <w:color w:val="231F20"/>
                <w:sz w:val="14"/>
              </w:rPr>
              <w:t>Personal sector</w:t>
            </w:r>
          </w:p>
        </w:tc>
        <w:tc>
          <w:tcPr>
            <w:tcW w:w="785" w:type="dxa"/>
          </w:tcPr>
          <w:p>
            <w:pPr>
              <w:pStyle w:val="TableParagraph"/>
              <w:spacing w:line="155" w:lineRule="exact"/>
              <w:ind w:right="258"/>
              <w:jc w:val="right"/>
              <w:rPr>
                <w:sz w:val="14"/>
              </w:rPr>
            </w:pPr>
            <w:r>
              <w:rPr>
                <w:color w:val="231F20"/>
                <w:sz w:val="14"/>
                <w:u w:val="single" w:color="231F20"/>
              </w:rPr>
              <w:t>Divisia </w:t>
            </w:r>
          </w:p>
          <w:p>
            <w:pPr>
              <w:pStyle w:val="TableParagraph"/>
              <w:spacing w:line="133" w:lineRule="exact" w:before="119"/>
              <w:ind w:right="347"/>
              <w:jc w:val="right"/>
              <w:rPr>
                <w:sz w:val="14"/>
              </w:rPr>
            </w:pPr>
            <w:r>
              <w:rPr>
                <w:color w:val="231F20"/>
                <w:sz w:val="14"/>
              </w:rPr>
              <w:t>9.2</w:t>
            </w:r>
          </w:p>
        </w:tc>
        <w:tc>
          <w:tcPr>
            <w:tcW w:w="650" w:type="dxa"/>
          </w:tcPr>
          <w:p>
            <w:pPr>
              <w:pStyle w:val="TableParagraph"/>
              <w:spacing w:line="155" w:lineRule="exact"/>
              <w:ind w:left="210"/>
              <w:jc w:val="center"/>
              <w:rPr>
                <w:sz w:val="14"/>
              </w:rPr>
            </w:pPr>
            <w:r>
              <w:rPr>
                <w:color w:val="231F20"/>
                <w:spacing w:val="-16"/>
                <w:sz w:val="14"/>
                <w:u w:val="single" w:color="231F20"/>
              </w:rPr>
              <w:t> </w:t>
            </w:r>
            <w:r>
              <w:rPr>
                <w:color w:val="231F20"/>
                <w:sz w:val="14"/>
                <w:u w:val="single" w:color="231F20"/>
              </w:rPr>
              <w:t>M4</w:t>
            </w:r>
            <w:r>
              <w:rPr>
                <w:color w:val="231F20"/>
                <w:spacing w:val="-15"/>
                <w:sz w:val="14"/>
                <w:u w:val="single" w:color="231F20"/>
              </w:rPr>
              <w:t> </w:t>
            </w:r>
          </w:p>
          <w:p>
            <w:pPr>
              <w:pStyle w:val="TableParagraph"/>
              <w:spacing w:line="133" w:lineRule="exact" w:before="119"/>
              <w:ind w:left="275"/>
              <w:jc w:val="center"/>
              <w:rPr>
                <w:sz w:val="14"/>
              </w:rPr>
            </w:pPr>
            <w:r>
              <w:rPr>
                <w:color w:val="231F20"/>
                <w:sz w:val="14"/>
              </w:rPr>
              <w:t>8.1</w:t>
            </w:r>
          </w:p>
        </w:tc>
      </w:tr>
      <w:tr>
        <w:trPr>
          <w:trHeight w:val="140" w:hRule="atLeast"/>
        </w:trPr>
        <w:tc>
          <w:tcPr>
            <w:tcW w:w="1405" w:type="dxa"/>
          </w:tcPr>
          <w:p>
            <w:pPr>
              <w:pStyle w:val="TableParagraph"/>
              <w:spacing w:line="120" w:lineRule="exact"/>
              <w:ind w:left="50"/>
              <w:rPr>
                <w:sz w:val="14"/>
              </w:rPr>
            </w:pPr>
            <w:r>
              <w:rPr>
                <w:color w:val="231F20"/>
                <w:sz w:val="14"/>
              </w:rPr>
              <w:t>OFIs</w:t>
            </w:r>
          </w:p>
        </w:tc>
        <w:tc>
          <w:tcPr>
            <w:tcW w:w="785" w:type="dxa"/>
          </w:tcPr>
          <w:p>
            <w:pPr>
              <w:pStyle w:val="TableParagraph"/>
              <w:spacing w:line="120" w:lineRule="exact"/>
              <w:ind w:right="347"/>
              <w:jc w:val="right"/>
              <w:rPr>
                <w:sz w:val="14"/>
              </w:rPr>
            </w:pPr>
            <w:r>
              <w:rPr>
                <w:color w:val="231F20"/>
                <w:sz w:val="14"/>
              </w:rPr>
              <w:t>29.3</w:t>
            </w:r>
          </w:p>
        </w:tc>
        <w:tc>
          <w:tcPr>
            <w:tcW w:w="650" w:type="dxa"/>
          </w:tcPr>
          <w:p>
            <w:pPr>
              <w:pStyle w:val="TableParagraph"/>
              <w:spacing w:line="120" w:lineRule="exact"/>
              <w:ind w:right="97"/>
              <w:jc w:val="right"/>
              <w:rPr>
                <w:sz w:val="14"/>
              </w:rPr>
            </w:pPr>
            <w:r>
              <w:rPr>
                <w:color w:val="231F20"/>
                <w:sz w:val="14"/>
              </w:rPr>
              <w:t>26.5</w:t>
            </w:r>
          </w:p>
        </w:tc>
      </w:tr>
      <w:tr>
        <w:trPr>
          <w:trHeight w:val="140" w:hRule="atLeast"/>
        </w:trPr>
        <w:tc>
          <w:tcPr>
            <w:tcW w:w="1405" w:type="dxa"/>
          </w:tcPr>
          <w:p>
            <w:pPr>
              <w:pStyle w:val="TableParagraph"/>
              <w:spacing w:line="120" w:lineRule="exact"/>
              <w:ind w:left="50"/>
              <w:rPr>
                <w:sz w:val="14"/>
              </w:rPr>
            </w:pPr>
            <w:r>
              <w:rPr>
                <w:color w:val="231F20"/>
                <w:sz w:val="14"/>
              </w:rPr>
              <w:t>ICCs</w:t>
            </w:r>
          </w:p>
        </w:tc>
        <w:tc>
          <w:tcPr>
            <w:tcW w:w="785" w:type="dxa"/>
          </w:tcPr>
          <w:p>
            <w:pPr>
              <w:pStyle w:val="TableParagraph"/>
              <w:spacing w:line="120" w:lineRule="exact"/>
              <w:ind w:right="347"/>
              <w:jc w:val="right"/>
              <w:rPr>
                <w:sz w:val="14"/>
              </w:rPr>
            </w:pPr>
            <w:r>
              <w:rPr>
                <w:color w:val="231F20"/>
                <w:sz w:val="14"/>
              </w:rPr>
              <w:t>4.1</w:t>
            </w:r>
          </w:p>
        </w:tc>
        <w:tc>
          <w:tcPr>
            <w:tcW w:w="650" w:type="dxa"/>
          </w:tcPr>
          <w:p>
            <w:pPr>
              <w:pStyle w:val="TableParagraph"/>
              <w:spacing w:line="120" w:lineRule="exact"/>
              <w:ind w:right="97"/>
              <w:jc w:val="right"/>
              <w:rPr>
                <w:sz w:val="14"/>
              </w:rPr>
            </w:pPr>
            <w:r>
              <w:rPr>
                <w:color w:val="231F20"/>
                <w:sz w:val="14"/>
              </w:rPr>
              <w:t>5.9</w:t>
            </w:r>
          </w:p>
        </w:tc>
      </w:tr>
      <w:tr>
        <w:trPr>
          <w:trHeight w:val="198" w:hRule="atLeast"/>
        </w:trPr>
        <w:tc>
          <w:tcPr>
            <w:tcW w:w="1405" w:type="dxa"/>
          </w:tcPr>
          <w:p>
            <w:pPr>
              <w:pStyle w:val="TableParagraph"/>
              <w:spacing w:line="148" w:lineRule="exact"/>
              <w:ind w:left="50"/>
              <w:rPr>
                <w:sz w:val="14"/>
              </w:rPr>
            </w:pPr>
            <w:r>
              <w:rPr>
                <w:color w:val="231F20"/>
                <w:sz w:val="14"/>
              </w:rPr>
              <w:t>Aggregate</w:t>
            </w:r>
          </w:p>
        </w:tc>
        <w:tc>
          <w:tcPr>
            <w:tcW w:w="785" w:type="dxa"/>
          </w:tcPr>
          <w:p>
            <w:pPr>
              <w:pStyle w:val="TableParagraph"/>
              <w:spacing w:line="148" w:lineRule="exact"/>
              <w:ind w:right="348"/>
              <w:jc w:val="right"/>
              <w:rPr>
                <w:sz w:val="14"/>
              </w:rPr>
            </w:pPr>
            <w:r>
              <w:rPr>
                <w:color w:val="231F20"/>
                <w:sz w:val="14"/>
              </w:rPr>
              <w:t>10.8</w:t>
            </w:r>
          </w:p>
        </w:tc>
        <w:tc>
          <w:tcPr>
            <w:tcW w:w="650" w:type="dxa"/>
          </w:tcPr>
          <w:p>
            <w:pPr>
              <w:pStyle w:val="TableParagraph"/>
              <w:spacing w:line="148" w:lineRule="exact"/>
              <w:ind w:right="97"/>
              <w:jc w:val="right"/>
              <w:rPr>
                <w:sz w:val="14"/>
              </w:rPr>
            </w:pPr>
            <w:r>
              <w:rPr>
                <w:color w:val="231F20"/>
                <w:sz w:val="14"/>
              </w:rPr>
              <w:t>11.5</w:t>
            </w:r>
          </w:p>
        </w:tc>
      </w:tr>
      <w:tr>
        <w:trPr>
          <w:trHeight w:val="184" w:hRule="atLeast"/>
        </w:trPr>
        <w:tc>
          <w:tcPr>
            <w:tcW w:w="1405" w:type="dxa"/>
          </w:tcPr>
          <w:p>
            <w:pPr>
              <w:pStyle w:val="TableParagraph"/>
              <w:spacing w:line="118" w:lineRule="exact" w:before="46"/>
              <w:ind w:left="50"/>
              <w:rPr>
                <w:sz w:val="12"/>
              </w:rPr>
            </w:pPr>
            <w:r>
              <w:rPr>
                <w:color w:val="231F20"/>
                <w:sz w:val="12"/>
              </w:rPr>
              <w:t>Source: Bank of England.</w:t>
            </w:r>
          </w:p>
        </w:tc>
        <w:tc>
          <w:tcPr>
            <w:tcW w:w="785" w:type="dxa"/>
          </w:tcPr>
          <w:p>
            <w:pPr>
              <w:pStyle w:val="TableParagraph"/>
              <w:rPr>
                <w:sz w:val="12"/>
              </w:rPr>
            </w:pPr>
          </w:p>
        </w:tc>
        <w:tc>
          <w:tcPr>
            <w:tcW w:w="650" w:type="dxa"/>
          </w:tcPr>
          <w:p>
            <w:pPr>
              <w:pStyle w:val="TableParagraph"/>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Heading9"/>
        <w:spacing w:before="101"/>
        <w:ind w:left="170"/>
      </w:pPr>
      <w:r>
        <w:rPr>
          <w:color w:val="0093C1"/>
        </w:rPr>
        <w:t>Chart 1.4</w:t>
      </w:r>
    </w:p>
    <w:p>
      <w:pPr>
        <w:spacing w:before="10"/>
        <w:ind w:left="170" w:right="0" w:firstLine="0"/>
        <w:jc w:val="left"/>
        <w:rPr>
          <w:b/>
          <w:sz w:val="20"/>
        </w:rPr>
      </w:pPr>
      <w:r>
        <w:rPr>
          <w:b/>
          <w:color w:val="0093C1"/>
          <w:sz w:val="20"/>
        </w:rPr>
        <w:t>Sectoral M4 lending growth</w:t>
      </w:r>
    </w:p>
    <w:p>
      <w:pPr>
        <w:spacing w:before="68"/>
        <w:ind w:left="1793" w:right="0" w:firstLine="0"/>
        <w:jc w:val="left"/>
        <w:rPr>
          <w:sz w:val="12"/>
        </w:rPr>
      </w:pPr>
      <w:r>
        <w:rPr/>
        <w:pict>
          <v:line style="position:absolute;mso-position-horizontal-relative:page;mso-position-vertical-relative:paragraph;z-index:15752704" from="47.5pt,10.834936pt" to="43.5pt,10.834936pt" stroked="true" strokeweight=".5pt" strokecolor="#000000">
            <v:stroke dashstyle="solid"/>
            <w10:wrap type="none"/>
          </v:line>
        </w:pict>
      </w:r>
      <w:r>
        <w:rPr/>
        <w:pict>
          <v:line style="position:absolute;mso-position-horizontal-relative:page;mso-position-vertical-relative:paragraph;z-index:-20336640" from="207.5pt,10.834936pt" to="203.5pt,10.834936pt" stroked="true" strokeweight=".5pt" strokecolor="#000000">
            <v:stroke dashstyle="solid"/>
            <w10:wrap type="none"/>
          </v:line>
        </w:pict>
      </w:r>
      <w:r>
        <w:rPr>
          <w:sz w:val="12"/>
        </w:rPr>
        <w:t>Percentage changes on a year earlier</w:t>
      </w:r>
      <w:r>
        <w:rPr>
          <w:spacing w:val="21"/>
          <w:sz w:val="12"/>
        </w:rPr>
        <w:t> </w:t>
      </w:r>
      <w:r>
        <w:rPr>
          <w:position w:val="-7"/>
          <w:sz w:val="12"/>
        </w:rPr>
        <w:t>50</w:t>
      </w:r>
    </w:p>
    <w:p>
      <w:pPr>
        <w:pStyle w:val="BodyText"/>
        <w:rPr>
          <w:sz w:val="20"/>
        </w:rPr>
      </w:pPr>
    </w:p>
    <w:p>
      <w:pPr>
        <w:spacing w:before="132"/>
        <w:ind w:left="0" w:right="136" w:firstLine="0"/>
        <w:jc w:val="right"/>
        <w:rPr>
          <w:sz w:val="12"/>
        </w:rPr>
      </w:pPr>
      <w:r>
        <w:rPr/>
        <w:pict>
          <v:group style="position:absolute;margin-left:43.5pt;margin-top:4.534570pt;width:164pt;height:120pt;mso-position-horizontal-relative:page;mso-position-vertical-relative:paragraph;z-index:15751680" coordorigin="870,91" coordsize="3280,2400">
            <v:line style="position:absolute" from="990,2221" to="4010,2221" stroked="true" strokeweight=".5pt" strokecolor="#000000">
              <v:stroke dashstyle="solid"/>
            </v:line>
            <v:shape style="position:absolute;left:1010;top:600;width:3000;height:1880" coordorigin="1010,601" coordsize="3000,1880" path="m1010,1381l1050,1381,1110,1481,1170,1681,1230,1681,1290,1801,1350,1841,1410,1521,1470,1741,1530,1561,1590,1361,1650,1441,1710,961,1770,761,1830,701,1890,601,1950,701,2010,741,2070,601,2130,741,2190,861,2230,1041,2290,1441,2350,1561,2410,1701,2470,1981,2530,2061,2590,2201,2650,2301,2710,2201,2770,2221,2830,2221,2890,2281,3010,2361,3070,2441,3130,2421,3190,2481,3250,2421,3310,2281,3370,1981,3410,1821,3530,1541,3590,1541,3650,1461,3710,1481,3770,1601,3830,1841,3890,1921,3950,2061,4010,2081e" filled="false" stroked="true" strokeweight="1pt" strokecolor="#0066a5">
              <v:path arrowok="t"/>
              <v:stroke dashstyle="solid"/>
            </v:shape>
            <v:shape style="position:absolute;left:1010;top:100;width:3000;height:1920" coordorigin="1010,101" coordsize="3000,1920" path="m1010,1101l1050,981,1110,1081,1170,1121,1230,1181,1290,1041,1350,621,1410,261,1470,221,1530,101,1590,281,1650,701,1710,921,1770,1101,1830,1101,1890,941,1950,801,2010,881,2130,881,2190,861,2230,881,2290,1041,2350,1221,2410,1461,2470,1621,2590,1821,2650,1941,2710,1861,2830,2021,2890,1841,2950,1961,3010,1861,3070,1741,3130,1941,3250,1901,3370,1701,3410,1661,3470,1621,3530,1621,3590,1541,3650,1561,3710,1561,3770,1701,3830,1361,3890,1281,3950,1341,4010,1201e" filled="false" stroked="true" strokeweight="1pt" strokecolor="#ed1b2d">
              <v:path arrowok="t"/>
              <v:stroke dashstyle="solid"/>
            </v:shape>
            <v:shape style="position:absolute;left:1010;top:760;width:3000;height:1280" coordorigin="1010,761" coordsize="3000,1280" path="m1010,1461l1050,1441,1110,1281,1170,1201,1230,1281,1290,1201,1350,1301,1410,1321,1470,1181,1530,1161,1650,841,1710,881,1770,781,1830,761,1890,881,1950,901,2010,1061,2070,1261,2190,1501,2230,1601,2290,1681,2350,1741,2410,1861,2530,1941,2590,2001,2710,2041,2770,2021,2830,2021,2890,2041,3070,1981,3130,1941,3190,1921,3250,1941,3310,1921,3370,1881,3410,1881,3530,1841,3590,1861,3650,1861,3710,1881,3770,1881,3830,1861,3890,1821,3950,1861,4010,1861e" filled="false" stroked="true" strokeweight="1pt" strokecolor="#faab54">
              <v:path arrowok="t"/>
              <v:stroke dashstyle="solid"/>
            </v:shape>
            <v:shape style="position:absolute;left:870;top:200;width:3280;height:2020" coordorigin="870,201" coordsize="3280,2020" path="m950,2221l870,2221m950,1721l870,1721m950,1201l870,1201m950,701l870,701m950,201l870,201m4150,2221l4070,2221m4150,1721l4070,1721m4150,1201l4070,1201m4150,701l4070,701m4150,201l4070,201e" filled="false" stroked="true" strokeweight=".5pt" strokecolor="#000000">
              <v:path arrowok="t"/>
              <v:stroke dashstyle="solid"/>
            </v:shape>
            <v:shape style="position:absolute;left:1620;top:203;width:261;height:133" type="#_x0000_t202" filled="false" stroked="false">
              <v:textbox inset="0,0,0,0">
                <w:txbxContent>
                  <w:p>
                    <w:pPr>
                      <w:spacing w:line="133" w:lineRule="exact" w:before="0"/>
                      <w:ind w:left="0" w:right="0" w:firstLine="0"/>
                      <w:jc w:val="left"/>
                      <w:rPr>
                        <w:sz w:val="12"/>
                      </w:rPr>
                    </w:pPr>
                    <w:r>
                      <w:rPr>
                        <w:sz w:val="12"/>
                      </w:rPr>
                      <w:t>OFIs</w:t>
                    </w:r>
                  </w:p>
                </w:txbxContent>
              </v:textbox>
              <w10:wrap type="none"/>
            </v:shape>
            <v:shape style="position:absolute;left:2140;top:563;width:267;height:133" type="#_x0000_t202" filled="false" stroked="false">
              <v:textbox inset="0,0,0,0">
                <w:txbxContent>
                  <w:p>
                    <w:pPr>
                      <w:spacing w:line="133" w:lineRule="exact" w:before="0"/>
                      <w:ind w:left="0" w:right="0" w:firstLine="0"/>
                      <w:jc w:val="left"/>
                      <w:rPr>
                        <w:sz w:val="12"/>
                      </w:rPr>
                    </w:pPr>
                    <w:r>
                      <w:rPr>
                        <w:sz w:val="12"/>
                      </w:rPr>
                      <w:t>ICCs</w:t>
                    </w:r>
                  </w:p>
                </w:txbxContent>
              </v:textbox>
              <w10:wrap type="none"/>
            </v:shape>
            <v:shape style="position:absolute;left:1820;top:1523;width:394;height:133" type="#_x0000_t202" filled="false" stroked="false">
              <v:textbox inset="0,0,0,0">
                <w:txbxContent>
                  <w:p>
                    <w:pPr>
                      <w:spacing w:line="133" w:lineRule="exact" w:before="0"/>
                      <w:ind w:left="0" w:right="0" w:firstLine="0"/>
                      <w:jc w:val="left"/>
                      <w:rPr>
                        <w:sz w:val="12"/>
                      </w:rPr>
                    </w:pPr>
                    <w:r>
                      <w:rPr>
                        <w:sz w:val="12"/>
                      </w:rPr>
                      <w:t>Persons</w:t>
                    </w:r>
                  </w:p>
                </w:txbxContent>
              </v:textbox>
              <w10:wrap type="none"/>
            </v:shape>
            <w10:wrap type="none"/>
          </v:group>
        </w:pict>
      </w:r>
      <w:r>
        <w:rPr>
          <w:sz w:val="12"/>
        </w:rPr>
        <w:t>40</w:t>
      </w:r>
    </w:p>
    <w:p>
      <w:pPr>
        <w:pStyle w:val="BodyText"/>
        <w:rPr>
          <w:sz w:val="12"/>
        </w:rPr>
      </w:pPr>
    </w:p>
    <w:p>
      <w:pPr>
        <w:pStyle w:val="BodyText"/>
        <w:rPr>
          <w:sz w:val="12"/>
        </w:rPr>
      </w:pPr>
    </w:p>
    <w:p>
      <w:pPr>
        <w:spacing w:before="86"/>
        <w:ind w:left="0" w:right="136" w:firstLine="0"/>
        <w:jc w:val="right"/>
        <w:rPr>
          <w:sz w:val="12"/>
        </w:rPr>
      </w:pPr>
      <w:r>
        <w:rPr>
          <w:sz w:val="12"/>
        </w:rPr>
        <w:t>30</w:t>
      </w:r>
    </w:p>
    <w:p>
      <w:pPr>
        <w:pStyle w:val="BodyText"/>
        <w:rPr>
          <w:sz w:val="12"/>
        </w:rPr>
      </w:pPr>
    </w:p>
    <w:p>
      <w:pPr>
        <w:pStyle w:val="BodyText"/>
        <w:rPr>
          <w:sz w:val="12"/>
        </w:rPr>
      </w:pPr>
    </w:p>
    <w:p>
      <w:pPr>
        <w:spacing w:before="86"/>
        <w:ind w:left="0" w:right="136" w:firstLine="0"/>
        <w:jc w:val="right"/>
        <w:rPr>
          <w:sz w:val="12"/>
        </w:rPr>
      </w:pPr>
      <w:r>
        <w:rPr>
          <w:sz w:val="12"/>
        </w:rPr>
        <w:t>20</w:t>
      </w:r>
    </w:p>
    <w:p>
      <w:pPr>
        <w:pStyle w:val="BodyText"/>
        <w:rPr>
          <w:sz w:val="12"/>
        </w:rPr>
      </w:pPr>
    </w:p>
    <w:p>
      <w:pPr>
        <w:pStyle w:val="BodyText"/>
        <w:rPr>
          <w:sz w:val="12"/>
        </w:rPr>
      </w:pPr>
    </w:p>
    <w:p>
      <w:pPr>
        <w:spacing w:before="86"/>
        <w:ind w:left="0" w:right="136" w:firstLine="0"/>
        <w:jc w:val="right"/>
        <w:rPr>
          <w:sz w:val="12"/>
        </w:rPr>
      </w:pPr>
      <w:r>
        <w:rPr>
          <w:sz w:val="12"/>
        </w:rPr>
        <w:t>10</w:t>
      </w:r>
    </w:p>
    <w:p>
      <w:pPr>
        <w:spacing w:before="105"/>
        <w:ind w:left="3540" w:right="0" w:firstLine="0"/>
        <w:jc w:val="left"/>
        <w:rPr>
          <w:sz w:val="16"/>
        </w:rPr>
      </w:pPr>
      <w:r>
        <w:rPr>
          <w:sz w:val="16"/>
        </w:rPr>
        <w:t>+</w:t>
      </w:r>
    </w:p>
    <w:p>
      <w:pPr>
        <w:spacing w:line="130" w:lineRule="exact" w:before="94"/>
        <w:ind w:left="0" w:right="136" w:firstLine="0"/>
        <w:jc w:val="right"/>
        <w:rPr>
          <w:sz w:val="12"/>
        </w:rPr>
      </w:pPr>
      <w:r>
        <w:rPr>
          <w:sz w:val="12"/>
        </w:rPr>
        <w:t>0</w:t>
      </w:r>
    </w:p>
    <w:p>
      <w:pPr>
        <w:spacing w:line="176" w:lineRule="exact" w:before="0"/>
        <w:ind w:left="3540" w:right="0" w:firstLine="0"/>
        <w:jc w:val="left"/>
        <w:rPr>
          <w:sz w:val="16"/>
        </w:rPr>
      </w:pPr>
      <w:r>
        <w:rPr>
          <w:sz w:val="16"/>
        </w:rPr>
        <w:t>_</w:t>
      </w:r>
    </w:p>
    <w:p>
      <w:pPr>
        <w:pStyle w:val="BodyText"/>
        <w:spacing w:before="5"/>
        <w:rPr>
          <w:sz w:val="16"/>
        </w:rPr>
      </w:pPr>
    </w:p>
    <w:p>
      <w:pPr>
        <w:tabs>
          <w:tab w:pos="3593" w:val="left" w:leader="none"/>
        </w:tabs>
        <w:spacing w:before="1"/>
        <w:ind w:left="360" w:right="0" w:firstLine="0"/>
        <w:jc w:val="left"/>
        <w:rPr>
          <w:sz w:val="12"/>
        </w:rPr>
      </w:pPr>
      <w:r>
        <w:rPr/>
        <w:pict>
          <v:shape style="position:absolute;margin-left:43.5pt;margin-top:-1.348834pt;width:164pt;height:5pt;mso-position-horizontal-relative:page;mso-position-vertical-relative:paragraph;z-index:-20337664" coordorigin="870,-27" coordsize="3280,100" path="m990,73l4010,73m990,73l990,33m1050,73l1050,33m1110,73l1110,33m1170,73l1170,33m1230,73l1230,33m1290,73l1290,33m1350,73l1350,33m1410,73l1410,33m1470,73l1470,33m1530,73l1530,33m1590,73l1590,33m1650,73l1650,33m1710,73l1710,33m1770,73l1770,33m1830,73l1830,33m1890,73l1890,33m1950,73l1950,33m2010,73l2010,33m2050,73l2050,33m2110,73l2110,33m2170,73l2170,33m2230,73l2230,33m2290,73l2290,33m2350,73l2350,33m2410,73l2410,33m2470,73l2470,33m2530,73l2530,33m2590,73l2590,33m2650,73l2650,33m2710,73l2710,33m2770,73l2770,33m2830,73l2830,33m2890,73l2890,33m2950,73l2950,33m3010,73l3010,33m3070,73l3070,33m3130,73l3130,33m3190,73l3190,33m3250,73l3250,33m3290,73l3290,33m3350,73l3350,33m3410,73l3410,33m3470,73l3470,33m3530,73l3530,33m3590,73l3590,33m3650,73l3650,33m3710,73l3710,33m3770,73l3770,33m3830,73l3830,33m3890,73l3890,33m3950,73l3950,33m4010,73l4010,33m990,73l990,-27m1230,73l1230,-27m1470,73l1470,-27m1710,73l1710,-27m1950,73l1950,-27m2170,73l2170,-27m2410,73l2410,-27m2650,73l2650,-27m2890,73l2890,-27m3130,73l3130,-27m3350,73l3350,-27m3590,73l3590,-27m3830,73l3830,-27m950,73l870,73m4150,73l4070,73e" filled="false" stroked="true" strokeweight=".5pt" strokecolor="#000000">
            <v:path arrowok="t"/>
            <v:stroke dashstyle="solid"/>
            <w10:wrap type="none"/>
          </v:shape>
        </w:pict>
      </w:r>
      <w:r>
        <w:rPr>
          <w:sz w:val="12"/>
        </w:rPr>
        <w:t>1985   86   87    88    89    90   91    92    93    94    95  </w:t>
      </w:r>
      <w:r>
        <w:rPr>
          <w:spacing w:val="17"/>
          <w:sz w:val="12"/>
        </w:rPr>
        <w:t> </w:t>
      </w:r>
      <w:r>
        <w:rPr>
          <w:sz w:val="12"/>
        </w:rPr>
        <w:t>96  </w:t>
      </w:r>
      <w:r>
        <w:rPr>
          <w:spacing w:val="9"/>
          <w:sz w:val="12"/>
        </w:rPr>
        <w:t> </w:t>
      </w:r>
      <w:r>
        <w:rPr>
          <w:sz w:val="12"/>
        </w:rPr>
        <w:t>97</w:t>
        <w:tab/>
      </w:r>
      <w:r>
        <w:rPr>
          <w:position w:val="9"/>
          <w:sz w:val="12"/>
        </w:rPr>
        <w:t>10</w:t>
      </w:r>
    </w:p>
    <w:p>
      <w:pPr>
        <w:spacing w:before="185"/>
        <w:ind w:left="180"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pStyle w:val="Heading9"/>
        <w:spacing w:before="0"/>
      </w:pPr>
      <w:r>
        <w:rPr>
          <w:color w:val="0093C1"/>
        </w:rPr>
        <w:t>Table 1.C</w:t>
      </w:r>
    </w:p>
    <w:p>
      <w:pPr>
        <w:spacing w:line="249" w:lineRule="auto" w:before="10"/>
        <w:ind w:left="200" w:right="20" w:firstLine="0"/>
        <w:jc w:val="left"/>
        <w:rPr>
          <w:b/>
          <w:sz w:val="20"/>
        </w:rPr>
      </w:pPr>
      <w:r>
        <w:rPr>
          <w:b/>
          <w:color w:val="0093C1"/>
          <w:sz w:val="20"/>
        </w:rPr>
        <w:t>Sectoral comparison of lending by, and deposits with, banks and building societies</w:t>
      </w:r>
    </w:p>
    <w:p>
      <w:pPr>
        <w:spacing w:before="97"/>
        <w:ind w:left="200" w:right="0" w:firstLine="0"/>
        <w:jc w:val="left"/>
        <w:rPr>
          <w:sz w:val="14"/>
        </w:rPr>
      </w:pPr>
      <w:r>
        <w:rPr>
          <w:color w:val="231F20"/>
          <w:sz w:val="14"/>
        </w:rPr>
        <w:t>Seasonally adjusted flows (£ billions)</w:t>
      </w:r>
    </w:p>
    <w:p>
      <w:pPr>
        <w:pStyle w:val="BodyText"/>
        <w:spacing w:before="10"/>
        <w:rPr>
          <w:sz w:val="1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8"/>
        <w:gridCol w:w="532"/>
        <w:gridCol w:w="695"/>
        <w:gridCol w:w="587"/>
        <w:gridCol w:w="552"/>
      </w:tblGrid>
      <w:tr>
        <w:trPr>
          <w:trHeight w:val="497" w:hRule="atLeast"/>
        </w:trPr>
        <w:tc>
          <w:tcPr>
            <w:tcW w:w="1218" w:type="dxa"/>
          </w:tcPr>
          <w:p>
            <w:pPr>
              <w:pStyle w:val="TableParagraph"/>
              <w:spacing w:before="9"/>
              <w:rPr>
                <w:sz w:val="23"/>
              </w:rPr>
            </w:pPr>
          </w:p>
          <w:p>
            <w:pPr>
              <w:pStyle w:val="TableParagraph"/>
              <w:ind w:left="50"/>
              <w:rPr>
                <w:b/>
                <w:sz w:val="14"/>
              </w:rPr>
            </w:pPr>
            <w:r>
              <w:rPr>
                <w:b/>
                <w:color w:val="231F20"/>
                <w:sz w:val="14"/>
              </w:rPr>
              <w:t>M4 lending (assets)</w:t>
            </w:r>
          </w:p>
        </w:tc>
        <w:tc>
          <w:tcPr>
            <w:tcW w:w="532" w:type="dxa"/>
          </w:tcPr>
          <w:p>
            <w:pPr>
              <w:pStyle w:val="TableParagraph"/>
              <w:spacing w:line="155" w:lineRule="exact"/>
              <w:ind w:left="71"/>
              <w:rPr>
                <w:sz w:val="14"/>
              </w:rPr>
            </w:pPr>
            <w:r>
              <w:rPr>
                <w:color w:val="231F20"/>
                <w:sz w:val="14"/>
                <w:u w:val="single" w:color="231F20"/>
              </w:rPr>
              <w:t> OFIs </w:t>
            </w:r>
          </w:p>
        </w:tc>
        <w:tc>
          <w:tcPr>
            <w:tcW w:w="695" w:type="dxa"/>
          </w:tcPr>
          <w:p>
            <w:pPr>
              <w:pStyle w:val="TableParagraph"/>
              <w:spacing w:line="155" w:lineRule="exact"/>
              <w:ind w:left="101" w:right="118"/>
              <w:jc w:val="center"/>
              <w:rPr>
                <w:sz w:val="14"/>
              </w:rPr>
            </w:pPr>
            <w:r>
              <w:rPr>
                <w:color w:val="231F20"/>
                <w:sz w:val="14"/>
                <w:u w:val="single" w:color="231F20"/>
              </w:rPr>
              <w:t>Persons</w:t>
            </w:r>
          </w:p>
        </w:tc>
        <w:tc>
          <w:tcPr>
            <w:tcW w:w="587" w:type="dxa"/>
          </w:tcPr>
          <w:p>
            <w:pPr>
              <w:pStyle w:val="TableParagraph"/>
              <w:spacing w:line="155" w:lineRule="exact"/>
              <w:ind w:left="145"/>
              <w:rPr>
                <w:sz w:val="14"/>
              </w:rPr>
            </w:pPr>
            <w:r>
              <w:rPr>
                <w:color w:val="231F20"/>
                <w:sz w:val="14"/>
                <w:u w:val="single" w:color="231F20"/>
              </w:rPr>
              <w:t>ICCs </w:t>
            </w:r>
          </w:p>
        </w:tc>
        <w:tc>
          <w:tcPr>
            <w:tcW w:w="552" w:type="dxa"/>
          </w:tcPr>
          <w:p>
            <w:pPr>
              <w:pStyle w:val="TableParagraph"/>
              <w:spacing w:line="155" w:lineRule="exact"/>
              <w:ind w:left="142" w:right="73"/>
              <w:jc w:val="center"/>
              <w:rPr>
                <w:sz w:val="14"/>
              </w:rPr>
            </w:pPr>
            <w:r>
              <w:rPr>
                <w:color w:val="231F20"/>
                <w:sz w:val="14"/>
              </w:rPr>
              <w:t>T</w:t>
            </w:r>
            <w:r>
              <w:rPr>
                <w:color w:val="231F20"/>
                <w:sz w:val="14"/>
                <w:u w:val="single" w:color="231F20"/>
              </w:rPr>
              <w:t>otal </w:t>
            </w:r>
          </w:p>
        </w:tc>
      </w:tr>
      <w:tr>
        <w:trPr>
          <w:trHeight w:val="210" w:hRule="atLeast"/>
        </w:trPr>
        <w:tc>
          <w:tcPr>
            <w:tcW w:w="1218" w:type="dxa"/>
          </w:tcPr>
          <w:p>
            <w:pPr>
              <w:pStyle w:val="TableParagraph"/>
              <w:spacing w:line="133" w:lineRule="exact" w:before="56"/>
              <w:ind w:left="50"/>
              <w:rPr>
                <w:sz w:val="14"/>
              </w:rPr>
            </w:pPr>
            <w:r>
              <w:rPr>
                <w:color w:val="231F20"/>
                <w:sz w:val="14"/>
              </w:rPr>
              <w:t>1996</w:t>
            </w:r>
          </w:p>
        </w:tc>
        <w:tc>
          <w:tcPr>
            <w:tcW w:w="532" w:type="dxa"/>
          </w:tcPr>
          <w:p>
            <w:pPr>
              <w:pStyle w:val="TableParagraph"/>
              <w:spacing w:line="133" w:lineRule="exact" w:before="56"/>
              <w:ind w:left="16"/>
              <w:rPr>
                <w:sz w:val="14"/>
              </w:rPr>
            </w:pPr>
            <w:r>
              <w:rPr>
                <w:color w:val="231F20"/>
                <w:sz w:val="14"/>
              </w:rPr>
              <w:t>15.2</w:t>
            </w:r>
          </w:p>
        </w:tc>
        <w:tc>
          <w:tcPr>
            <w:tcW w:w="695" w:type="dxa"/>
          </w:tcPr>
          <w:p>
            <w:pPr>
              <w:pStyle w:val="TableParagraph"/>
              <w:spacing w:line="133" w:lineRule="exact" w:before="56"/>
              <w:ind w:left="80" w:right="118"/>
              <w:jc w:val="center"/>
              <w:rPr>
                <w:sz w:val="14"/>
              </w:rPr>
            </w:pPr>
            <w:r>
              <w:rPr>
                <w:color w:val="231F20"/>
                <w:sz w:val="14"/>
              </w:rPr>
              <w:t>29.7</w:t>
            </w:r>
          </w:p>
        </w:tc>
        <w:tc>
          <w:tcPr>
            <w:tcW w:w="587" w:type="dxa"/>
          </w:tcPr>
          <w:p>
            <w:pPr>
              <w:pStyle w:val="TableParagraph"/>
              <w:spacing w:line="133" w:lineRule="exact" w:before="56"/>
              <w:ind w:left="139"/>
              <w:rPr>
                <w:sz w:val="14"/>
              </w:rPr>
            </w:pPr>
            <w:r>
              <w:rPr>
                <w:color w:val="231F20"/>
                <w:sz w:val="14"/>
              </w:rPr>
              <w:t>18.4</w:t>
            </w:r>
          </w:p>
        </w:tc>
        <w:tc>
          <w:tcPr>
            <w:tcW w:w="552" w:type="dxa"/>
          </w:tcPr>
          <w:p>
            <w:pPr>
              <w:pStyle w:val="TableParagraph"/>
              <w:spacing w:line="133" w:lineRule="exact" w:before="56"/>
              <w:ind w:left="142" w:right="43"/>
              <w:jc w:val="center"/>
              <w:rPr>
                <w:sz w:val="14"/>
              </w:rPr>
            </w:pPr>
            <w:r>
              <w:rPr>
                <w:color w:val="231F20"/>
                <w:sz w:val="14"/>
              </w:rPr>
              <w:t>63.3</w:t>
            </w:r>
          </w:p>
        </w:tc>
      </w:tr>
      <w:tr>
        <w:trPr>
          <w:trHeight w:val="210" w:hRule="atLeast"/>
        </w:trPr>
        <w:tc>
          <w:tcPr>
            <w:tcW w:w="1218" w:type="dxa"/>
          </w:tcPr>
          <w:p>
            <w:pPr>
              <w:pStyle w:val="TableParagraph"/>
              <w:spacing w:line="148" w:lineRule="exact"/>
              <w:ind w:left="50"/>
              <w:rPr>
                <w:sz w:val="14"/>
              </w:rPr>
            </w:pPr>
            <w:r>
              <w:rPr>
                <w:color w:val="231F20"/>
                <w:sz w:val="14"/>
              </w:rPr>
              <w:t>1997</w:t>
            </w:r>
          </w:p>
        </w:tc>
        <w:tc>
          <w:tcPr>
            <w:tcW w:w="532" w:type="dxa"/>
          </w:tcPr>
          <w:p>
            <w:pPr>
              <w:pStyle w:val="TableParagraph"/>
              <w:spacing w:line="148" w:lineRule="exact"/>
              <w:ind w:left="16"/>
              <w:rPr>
                <w:sz w:val="14"/>
              </w:rPr>
            </w:pPr>
            <w:r>
              <w:rPr>
                <w:color w:val="231F20"/>
                <w:sz w:val="14"/>
              </w:rPr>
              <w:t>30.1</w:t>
            </w:r>
          </w:p>
        </w:tc>
        <w:tc>
          <w:tcPr>
            <w:tcW w:w="695" w:type="dxa"/>
          </w:tcPr>
          <w:p>
            <w:pPr>
              <w:pStyle w:val="TableParagraph"/>
              <w:spacing w:line="148" w:lineRule="exact"/>
              <w:ind w:left="80" w:right="118"/>
              <w:jc w:val="center"/>
              <w:rPr>
                <w:sz w:val="14"/>
              </w:rPr>
            </w:pPr>
            <w:r>
              <w:rPr>
                <w:color w:val="231F20"/>
                <w:sz w:val="14"/>
              </w:rPr>
              <w:t>32.9</w:t>
            </w:r>
          </w:p>
        </w:tc>
        <w:tc>
          <w:tcPr>
            <w:tcW w:w="587" w:type="dxa"/>
          </w:tcPr>
          <w:p>
            <w:pPr>
              <w:pStyle w:val="TableParagraph"/>
              <w:spacing w:line="148" w:lineRule="exact"/>
              <w:ind w:left="209"/>
              <w:rPr>
                <w:sz w:val="14"/>
              </w:rPr>
            </w:pPr>
            <w:r>
              <w:rPr>
                <w:color w:val="231F20"/>
                <w:sz w:val="14"/>
              </w:rPr>
              <w:t>5.5</w:t>
            </w:r>
          </w:p>
        </w:tc>
        <w:tc>
          <w:tcPr>
            <w:tcW w:w="552" w:type="dxa"/>
          </w:tcPr>
          <w:p>
            <w:pPr>
              <w:pStyle w:val="TableParagraph"/>
              <w:spacing w:line="148" w:lineRule="exact"/>
              <w:ind w:left="142" w:right="43"/>
              <w:jc w:val="center"/>
              <w:rPr>
                <w:sz w:val="14"/>
              </w:rPr>
            </w:pPr>
            <w:r>
              <w:rPr>
                <w:color w:val="231F20"/>
                <w:sz w:val="14"/>
              </w:rPr>
              <w:t>68.5</w:t>
            </w:r>
          </w:p>
        </w:tc>
      </w:tr>
      <w:tr>
        <w:trPr>
          <w:trHeight w:val="210" w:hRule="atLeast"/>
        </w:trPr>
        <w:tc>
          <w:tcPr>
            <w:tcW w:w="1218" w:type="dxa"/>
          </w:tcPr>
          <w:p>
            <w:pPr>
              <w:pStyle w:val="TableParagraph"/>
              <w:spacing w:line="133" w:lineRule="exact" w:before="56"/>
              <w:ind w:left="50"/>
              <w:rPr>
                <w:sz w:val="14"/>
              </w:rPr>
            </w:pPr>
            <w:r>
              <w:rPr>
                <w:color w:val="231F20"/>
                <w:sz w:val="14"/>
              </w:rPr>
              <w:t>1997 Q1</w:t>
            </w:r>
          </w:p>
        </w:tc>
        <w:tc>
          <w:tcPr>
            <w:tcW w:w="532" w:type="dxa"/>
          </w:tcPr>
          <w:p>
            <w:pPr>
              <w:pStyle w:val="TableParagraph"/>
              <w:spacing w:line="133" w:lineRule="exact" w:before="56"/>
              <w:ind w:left="17"/>
              <w:rPr>
                <w:sz w:val="14"/>
              </w:rPr>
            </w:pPr>
            <w:r>
              <w:rPr>
                <w:color w:val="231F20"/>
                <w:sz w:val="14"/>
              </w:rPr>
              <w:t>13.4</w:t>
            </w:r>
          </w:p>
        </w:tc>
        <w:tc>
          <w:tcPr>
            <w:tcW w:w="695" w:type="dxa"/>
          </w:tcPr>
          <w:p>
            <w:pPr>
              <w:pStyle w:val="TableParagraph"/>
              <w:spacing w:line="133" w:lineRule="exact" w:before="56"/>
              <w:ind w:left="101" w:right="71"/>
              <w:jc w:val="center"/>
              <w:rPr>
                <w:sz w:val="14"/>
              </w:rPr>
            </w:pPr>
            <w:r>
              <w:rPr>
                <w:color w:val="231F20"/>
                <w:sz w:val="14"/>
              </w:rPr>
              <w:t>8.5</w:t>
            </w:r>
          </w:p>
        </w:tc>
        <w:tc>
          <w:tcPr>
            <w:tcW w:w="587" w:type="dxa"/>
          </w:tcPr>
          <w:p>
            <w:pPr>
              <w:pStyle w:val="TableParagraph"/>
              <w:spacing w:line="133" w:lineRule="exact" w:before="56"/>
              <w:ind w:left="210"/>
              <w:rPr>
                <w:sz w:val="14"/>
              </w:rPr>
            </w:pPr>
            <w:r>
              <w:rPr>
                <w:color w:val="231F20"/>
                <w:sz w:val="14"/>
              </w:rPr>
              <w:t>0.7</w:t>
            </w:r>
          </w:p>
        </w:tc>
        <w:tc>
          <w:tcPr>
            <w:tcW w:w="552" w:type="dxa"/>
          </w:tcPr>
          <w:p>
            <w:pPr>
              <w:pStyle w:val="TableParagraph"/>
              <w:spacing w:line="133" w:lineRule="exact" w:before="56"/>
              <w:ind w:left="142" w:right="43"/>
              <w:jc w:val="center"/>
              <w:rPr>
                <w:sz w:val="14"/>
              </w:rPr>
            </w:pPr>
            <w:r>
              <w:rPr>
                <w:color w:val="231F20"/>
                <w:sz w:val="14"/>
              </w:rPr>
              <w:t>22.6</w:t>
            </w:r>
          </w:p>
        </w:tc>
      </w:tr>
      <w:tr>
        <w:trPr>
          <w:trHeight w:val="140" w:hRule="atLeast"/>
        </w:trPr>
        <w:tc>
          <w:tcPr>
            <w:tcW w:w="1218" w:type="dxa"/>
          </w:tcPr>
          <w:p>
            <w:pPr>
              <w:pStyle w:val="TableParagraph"/>
              <w:spacing w:line="120" w:lineRule="exact"/>
              <w:ind w:left="50"/>
              <w:rPr>
                <w:sz w:val="14"/>
              </w:rPr>
            </w:pPr>
            <w:r>
              <w:rPr>
                <w:color w:val="231F20"/>
                <w:sz w:val="14"/>
              </w:rPr>
              <w:t>1997 Q2</w:t>
            </w:r>
          </w:p>
        </w:tc>
        <w:tc>
          <w:tcPr>
            <w:tcW w:w="532" w:type="dxa"/>
          </w:tcPr>
          <w:p>
            <w:pPr>
              <w:pStyle w:val="TableParagraph"/>
              <w:spacing w:line="120" w:lineRule="exact"/>
              <w:ind w:left="87"/>
              <w:rPr>
                <w:sz w:val="14"/>
              </w:rPr>
            </w:pPr>
            <w:r>
              <w:rPr>
                <w:color w:val="231F20"/>
                <w:sz w:val="14"/>
              </w:rPr>
              <w:t>7.3</w:t>
            </w:r>
          </w:p>
        </w:tc>
        <w:tc>
          <w:tcPr>
            <w:tcW w:w="695" w:type="dxa"/>
          </w:tcPr>
          <w:p>
            <w:pPr>
              <w:pStyle w:val="TableParagraph"/>
              <w:spacing w:line="120" w:lineRule="exact"/>
              <w:ind w:left="101" w:right="71"/>
              <w:jc w:val="center"/>
              <w:rPr>
                <w:sz w:val="14"/>
              </w:rPr>
            </w:pPr>
            <w:r>
              <w:rPr>
                <w:color w:val="231F20"/>
                <w:sz w:val="14"/>
              </w:rPr>
              <w:t>8.4</w:t>
            </w:r>
          </w:p>
        </w:tc>
        <w:tc>
          <w:tcPr>
            <w:tcW w:w="587" w:type="dxa"/>
          </w:tcPr>
          <w:p>
            <w:pPr>
              <w:pStyle w:val="TableParagraph"/>
              <w:spacing w:line="120" w:lineRule="exact"/>
              <w:ind w:left="210"/>
              <w:rPr>
                <w:sz w:val="14"/>
              </w:rPr>
            </w:pPr>
            <w:r>
              <w:rPr>
                <w:color w:val="231F20"/>
                <w:sz w:val="14"/>
              </w:rPr>
              <w:t>3.0</w:t>
            </w:r>
          </w:p>
        </w:tc>
        <w:tc>
          <w:tcPr>
            <w:tcW w:w="552" w:type="dxa"/>
          </w:tcPr>
          <w:p>
            <w:pPr>
              <w:pStyle w:val="TableParagraph"/>
              <w:spacing w:line="120" w:lineRule="exact"/>
              <w:ind w:left="142" w:right="43"/>
              <w:jc w:val="center"/>
              <w:rPr>
                <w:sz w:val="14"/>
              </w:rPr>
            </w:pPr>
            <w:r>
              <w:rPr>
                <w:color w:val="231F20"/>
                <w:sz w:val="14"/>
              </w:rPr>
              <w:t>18.7</w:t>
            </w:r>
          </w:p>
        </w:tc>
      </w:tr>
      <w:tr>
        <w:trPr>
          <w:trHeight w:val="140" w:hRule="atLeast"/>
        </w:trPr>
        <w:tc>
          <w:tcPr>
            <w:tcW w:w="1218" w:type="dxa"/>
          </w:tcPr>
          <w:p>
            <w:pPr>
              <w:pStyle w:val="TableParagraph"/>
              <w:spacing w:line="120" w:lineRule="exact"/>
              <w:ind w:left="50"/>
              <w:rPr>
                <w:sz w:val="14"/>
              </w:rPr>
            </w:pPr>
            <w:r>
              <w:rPr>
                <w:color w:val="231F20"/>
                <w:sz w:val="14"/>
              </w:rPr>
              <w:t>1997 Q3</w:t>
            </w:r>
          </w:p>
        </w:tc>
        <w:tc>
          <w:tcPr>
            <w:tcW w:w="532" w:type="dxa"/>
          </w:tcPr>
          <w:p>
            <w:pPr>
              <w:pStyle w:val="TableParagraph"/>
              <w:spacing w:line="120" w:lineRule="exact"/>
              <w:ind w:left="87"/>
              <w:rPr>
                <w:sz w:val="14"/>
              </w:rPr>
            </w:pPr>
            <w:r>
              <w:rPr>
                <w:color w:val="231F20"/>
                <w:sz w:val="14"/>
              </w:rPr>
              <w:t>5.1</w:t>
            </w:r>
          </w:p>
        </w:tc>
        <w:tc>
          <w:tcPr>
            <w:tcW w:w="695" w:type="dxa"/>
          </w:tcPr>
          <w:p>
            <w:pPr>
              <w:pStyle w:val="TableParagraph"/>
              <w:spacing w:line="120" w:lineRule="exact"/>
              <w:ind w:left="101" w:right="71"/>
              <w:jc w:val="center"/>
              <w:rPr>
                <w:sz w:val="14"/>
              </w:rPr>
            </w:pPr>
            <w:r>
              <w:rPr>
                <w:color w:val="231F20"/>
                <w:sz w:val="14"/>
              </w:rPr>
              <w:t>7.5</w:t>
            </w:r>
          </w:p>
        </w:tc>
        <w:tc>
          <w:tcPr>
            <w:tcW w:w="587" w:type="dxa"/>
          </w:tcPr>
          <w:p>
            <w:pPr>
              <w:pStyle w:val="TableParagraph"/>
              <w:spacing w:line="120" w:lineRule="exact"/>
              <w:ind w:left="210"/>
              <w:rPr>
                <w:sz w:val="14"/>
              </w:rPr>
            </w:pPr>
            <w:r>
              <w:rPr>
                <w:color w:val="231F20"/>
                <w:sz w:val="14"/>
              </w:rPr>
              <w:t>0.1</w:t>
            </w:r>
          </w:p>
        </w:tc>
        <w:tc>
          <w:tcPr>
            <w:tcW w:w="552" w:type="dxa"/>
          </w:tcPr>
          <w:p>
            <w:pPr>
              <w:pStyle w:val="TableParagraph"/>
              <w:spacing w:line="120" w:lineRule="exact"/>
              <w:ind w:left="142" w:right="43"/>
              <w:jc w:val="center"/>
              <w:rPr>
                <w:sz w:val="14"/>
              </w:rPr>
            </w:pPr>
            <w:r>
              <w:rPr>
                <w:color w:val="231F20"/>
                <w:sz w:val="14"/>
              </w:rPr>
              <w:t>12.7</w:t>
            </w:r>
          </w:p>
        </w:tc>
      </w:tr>
      <w:tr>
        <w:trPr>
          <w:trHeight w:val="210" w:hRule="atLeast"/>
        </w:trPr>
        <w:tc>
          <w:tcPr>
            <w:tcW w:w="1218" w:type="dxa"/>
          </w:tcPr>
          <w:p>
            <w:pPr>
              <w:pStyle w:val="TableParagraph"/>
              <w:spacing w:line="148" w:lineRule="exact"/>
              <w:ind w:left="50"/>
              <w:rPr>
                <w:sz w:val="14"/>
              </w:rPr>
            </w:pPr>
            <w:r>
              <w:rPr>
                <w:color w:val="231F20"/>
                <w:sz w:val="14"/>
              </w:rPr>
              <w:t>1997 Q4</w:t>
            </w:r>
          </w:p>
        </w:tc>
        <w:tc>
          <w:tcPr>
            <w:tcW w:w="532" w:type="dxa"/>
          </w:tcPr>
          <w:p>
            <w:pPr>
              <w:pStyle w:val="TableParagraph"/>
              <w:spacing w:line="148" w:lineRule="exact"/>
              <w:ind w:left="87"/>
              <w:rPr>
                <w:sz w:val="14"/>
              </w:rPr>
            </w:pPr>
            <w:r>
              <w:rPr>
                <w:color w:val="231F20"/>
                <w:sz w:val="14"/>
              </w:rPr>
              <w:t>4.3</w:t>
            </w:r>
          </w:p>
        </w:tc>
        <w:tc>
          <w:tcPr>
            <w:tcW w:w="695" w:type="dxa"/>
          </w:tcPr>
          <w:p>
            <w:pPr>
              <w:pStyle w:val="TableParagraph"/>
              <w:spacing w:line="148" w:lineRule="exact"/>
              <w:ind w:left="101" w:right="71"/>
              <w:jc w:val="center"/>
              <w:rPr>
                <w:sz w:val="14"/>
              </w:rPr>
            </w:pPr>
            <w:r>
              <w:rPr>
                <w:color w:val="231F20"/>
                <w:sz w:val="14"/>
              </w:rPr>
              <w:t>8.5</w:t>
            </w:r>
          </w:p>
        </w:tc>
        <w:tc>
          <w:tcPr>
            <w:tcW w:w="587" w:type="dxa"/>
          </w:tcPr>
          <w:p>
            <w:pPr>
              <w:pStyle w:val="TableParagraph"/>
              <w:spacing w:line="148" w:lineRule="exact"/>
              <w:ind w:left="210"/>
              <w:rPr>
                <w:sz w:val="14"/>
              </w:rPr>
            </w:pPr>
            <w:r>
              <w:rPr>
                <w:color w:val="231F20"/>
                <w:sz w:val="14"/>
              </w:rPr>
              <w:t>1.8</w:t>
            </w:r>
          </w:p>
        </w:tc>
        <w:tc>
          <w:tcPr>
            <w:tcW w:w="552" w:type="dxa"/>
          </w:tcPr>
          <w:p>
            <w:pPr>
              <w:pStyle w:val="TableParagraph"/>
              <w:spacing w:line="148" w:lineRule="exact"/>
              <w:ind w:left="142" w:right="43"/>
              <w:jc w:val="center"/>
              <w:rPr>
                <w:sz w:val="14"/>
              </w:rPr>
            </w:pPr>
            <w:r>
              <w:rPr>
                <w:color w:val="231F20"/>
                <w:sz w:val="14"/>
              </w:rPr>
              <w:t>14.5</w:t>
            </w:r>
          </w:p>
        </w:tc>
      </w:tr>
      <w:tr>
        <w:trPr>
          <w:trHeight w:val="280" w:hRule="atLeast"/>
        </w:trPr>
        <w:tc>
          <w:tcPr>
            <w:tcW w:w="1218" w:type="dxa"/>
          </w:tcPr>
          <w:p>
            <w:pPr>
              <w:pStyle w:val="TableParagraph"/>
              <w:spacing w:before="56"/>
              <w:ind w:left="50"/>
              <w:rPr>
                <w:b/>
                <w:sz w:val="14"/>
              </w:rPr>
            </w:pPr>
            <w:r>
              <w:rPr>
                <w:b/>
                <w:color w:val="231F20"/>
                <w:sz w:val="14"/>
              </w:rPr>
              <w:t>M4 (liabilities)</w:t>
            </w:r>
          </w:p>
        </w:tc>
        <w:tc>
          <w:tcPr>
            <w:tcW w:w="532" w:type="dxa"/>
          </w:tcPr>
          <w:p>
            <w:pPr>
              <w:pStyle w:val="TableParagraph"/>
              <w:rPr>
                <w:sz w:val="20"/>
              </w:rPr>
            </w:pPr>
          </w:p>
        </w:tc>
        <w:tc>
          <w:tcPr>
            <w:tcW w:w="695" w:type="dxa"/>
          </w:tcPr>
          <w:p>
            <w:pPr>
              <w:pStyle w:val="TableParagraph"/>
              <w:rPr>
                <w:sz w:val="20"/>
              </w:rPr>
            </w:pPr>
          </w:p>
        </w:tc>
        <w:tc>
          <w:tcPr>
            <w:tcW w:w="587" w:type="dxa"/>
          </w:tcPr>
          <w:p>
            <w:pPr>
              <w:pStyle w:val="TableParagraph"/>
              <w:rPr>
                <w:sz w:val="20"/>
              </w:rPr>
            </w:pPr>
          </w:p>
        </w:tc>
        <w:tc>
          <w:tcPr>
            <w:tcW w:w="552" w:type="dxa"/>
          </w:tcPr>
          <w:p>
            <w:pPr>
              <w:pStyle w:val="TableParagraph"/>
              <w:rPr>
                <w:sz w:val="20"/>
              </w:rPr>
            </w:pPr>
          </w:p>
        </w:tc>
      </w:tr>
      <w:tr>
        <w:trPr>
          <w:trHeight w:val="210" w:hRule="atLeast"/>
        </w:trPr>
        <w:tc>
          <w:tcPr>
            <w:tcW w:w="1218" w:type="dxa"/>
          </w:tcPr>
          <w:p>
            <w:pPr>
              <w:pStyle w:val="TableParagraph"/>
              <w:spacing w:line="133" w:lineRule="exact" w:before="56"/>
              <w:ind w:left="50"/>
              <w:rPr>
                <w:sz w:val="14"/>
              </w:rPr>
            </w:pPr>
            <w:r>
              <w:rPr>
                <w:color w:val="231F20"/>
                <w:sz w:val="14"/>
              </w:rPr>
              <w:t>1996</w:t>
            </w:r>
          </w:p>
        </w:tc>
        <w:tc>
          <w:tcPr>
            <w:tcW w:w="532" w:type="dxa"/>
          </w:tcPr>
          <w:p>
            <w:pPr>
              <w:pStyle w:val="TableParagraph"/>
              <w:spacing w:line="133" w:lineRule="exact" w:before="56"/>
              <w:ind w:left="16"/>
              <w:rPr>
                <w:sz w:val="14"/>
              </w:rPr>
            </w:pPr>
            <w:r>
              <w:rPr>
                <w:color w:val="231F20"/>
                <w:sz w:val="14"/>
              </w:rPr>
              <w:t>26.4</w:t>
            </w:r>
          </w:p>
        </w:tc>
        <w:tc>
          <w:tcPr>
            <w:tcW w:w="695" w:type="dxa"/>
          </w:tcPr>
          <w:p>
            <w:pPr>
              <w:pStyle w:val="TableParagraph"/>
              <w:spacing w:line="133" w:lineRule="exact" w:before="56"/>
              <w:ind w:left="80" w:right="118"/>
              <w:jc w:val="center"/>
              <w:rPr>
                <w:sz w:val="14"/>
              </w:rPr>
            </w:pPr>
            <w:r>
              <w:rPr>
                <w:color w:val="231F20"/>
                <w:sz w:val="14"/>
              </w:rPr>
              <w:t>25.7</w:t>
            </w:r>
          </w:p>
        </w:tc>
        <w:tc>
          <w:tcPr>
            <w:tcW w:w="587" w:type="dxa"/>
          </w:tcPr>
          <w:p>
            <w:pPr>
              <w:pStyle w:val="TableParagraph"/>
              <w:spacing w:line="133" w:lineRule="exact" w:before="56"/>
              <w:ind w:left="209"/>
              <w:rPr>
                <w:sz w:val="14"/>
              </w:rPr>
            </w:pPr>
            <w:r>
              <w:rPr>
                <w:color w:val="231F20"/>
                <w:sz w:val="14"/>
              </w:rPr>
              <w:t>7.7</w:t>
            </w:r>
          </w:p>
        </w:tc>
        <w:tc>
          <w:tcPr>
            <w:tcW w:w="552" w:type="dxa"/>
          </w:tcPr>
          <w:p>
            <w:pPr>
              <w:pStyle w:val="TableParagraph"/>
              <w:spacing w:line="133" w:lineRule="exact" w:before="56"/>
              <w:ind w:left="142" w:right="43"/>
              <w:jc w:val="center"/>
              <w:rPr>
                <w:sz w:val="14"/>
              </w:rPr>
            </w:pPr>
            <w:r>
              <w:rPr>
                <w:color w:val="231F20"/>
                <w:sz w:val="14"/>
              </w:rPr>
              <w:t>59.9</w:t>
            </w:r>
          </w:p>
        </w:tc>
      </w:tr>
      <w:tr>
        <w:trPr>
          <w:trHeight w:val="210" w:hRule="atLeast"/>
        </w:trPr>
        <w:tc>
          <w:tcPr>
            <w:tcW w:w="1218" w:type="dxa"/>
          </w:tcPr>
          <w:p>
            <w:pPr>
              <w:pStyle w:val="TableParagraph"/>
              <w:spacing w:line="148" w:lineRule="exact"/>
              <w:ind w:left="50"/>
              <w:rPr>
                <w:sz w:val="14"/>
              </w:rPr>
            </w:pPr>
            <w:r>
              <w:rPr>
                <w:color w:val="231F20"/>
                <w:sz w:val="14"/>
              </w:rPr>
              <w:t>1997</w:t>
            </w:r>
          </w:p>
        </w:tc>
        <w:tc>
          <w:tcPr>
            <w:tcW w:w="532" w:type="dxa"/>
          </w:tcPr>
          <w:p>
            <w:pPr>
              <w:pStyle w:val="TableParagraph"/>
              <w:spacing w:line="148" w:lineRule="exact"/>
              <w:ind w:left="16"/>
              <w:rPr>
                <w:sz w:val="14"/>
              </w:rPr>
            </w:pPr>
            <w:r>
              <w:rPr>
                <w:color w:val="231F20"/>
                <w:sz w:val="14"/>
              </w:rPr>
              <w:t>36.8</w:t>
            </w:r>
          </w:p>
        </w:tc>
        <w:tc>
          <w:tcPr>
            <w:tcW w:w="695" w:type="dxa"/>
          </w:tcPr>
          <w:p>
            <w:pPr>
              <w:pStyle w:val="TableParagraph"/>
              <w:spacing w:line="148" w:lineRule="exact"/>
              <w:ind w:left="80" w:right="118"/>
              <w:jc w:val="center"/>
              <w:rPr>
                <w:sz w:val="14"/>
              </w:rPr>
            </w:pPr>
            <w:r>
              <w:rPr>
                <w:color w:val="231F20"/>
                <w:sz w:val="14"/>
              </w:rPr>
              <w:t>34.6</w:t>
            </w:r>
          </w:p>
        </w:tc>
        <w:tc>
          <w:tcPr>
            <w:tcW w:w="587" w:type="dxa"/>
          </w:tcPr>
          <w:p>
            <w:pPr>
              <w:pStyle w:val="TableParagraph"/>
              <w:spacing w:line="148" w:lineRule="exact"/>
              <w:ind w:left="209"/>
              <w:rPr>
                <w:sz w:val="14"/>
              </w:rPr>
            </w:pPr>
            <w:r>
              <w:rPr>
                <w:color w:val="231F20"/>
                <w:sz w:val="14"/>
              </w:rPr>
              <w:t>5.6</w:t>
            </w:r>
          </w:p>
        </w:tc>
        <w:tc>
          <w:tcPr>
            <w:tcW w:w="552" w:type="dxa"/>
          </w:tcPr>
          <w:p>
            <w:pPr>
              <w:pStyle w:val="TableParagraph"/>
              <w:spacing w:line="148" w:lineRule="exact"/>
              <w:ind w:left="142" w:right="43"/>
              <w:jc w:val="center"/>
              <w:rPr>
                <w:sz w:val="14"/>
              </w:rPr>
            </w:pPr>
            <w:r>
              <w:rPr>
                <w:color w:val="231F20"/>
                <w:sz w:val="14"/>
              </w:rPr>
              <w:t>76.9</w:t>
            </w:r>
          </w:p>
        </w:tc>
      </w:tr>
      <w:tr>
        <w:trPr>
          <w:trHeight w:val="210" w:hRule="atLeast"/>
        </w:trPr>
        <w:tc>
          <w:tcPr>
            <w:tcW w:w="1218" w:type="dxa"/>
          </w:tcPr>
          <w:p>
            <w:pPr>
              <w:pStyle w:val="TableParagraph"/>
              <w:spacing w:line="133" w:lineRule="exact" w:before="56"/>
              <w:ind w:left="50"/>
              <w:rPr>
                <w:sz w:val="14"/>
              </w:rPr>
            </w:pPr>
            <w:r>
              <w:rPr>
                <w:color w:val="231F20"/>
                <w:sz w:val="14"/>
              </w:rPr>
              <w:t>1997 Q1</w:t>
            </w:r>
          </w:p>
        </w:tc>
        <w:tc>
          <w:tcPr>
            <w:tcW w:w="532" w:type="dxa"/>
          </w:tcPr>
          <w:p>
            <w:pPr>
              <w:pStyle w:val="TableParagraph"/>
              <w:spacing w:line="133" w:lineRule="exact" w:before="56"/>
              <w:ind w:left="17"/>
              <w:rPr>
                <w:sz w:val="14"/>
              </w:rPr>
            </w:pPr>
            <w:r>
              <w:rPr>
                <w:color w:val="231F20"/>
                <w:sz w:val="14"/>
              </w:rPr>
              <w:t>13.1</w:t>
            </w:r>
          </w:p>
        </w:tc>
        <w:tc>
          <w:tcPr>
            <w:tcW w:w="695" w:type="dxa"/>
          </w:tcPr>
          <w:p>
            <w:pPr>
              <w:pStyle w:val="TableParagraph"/>
              <w:spacing w:line="133" w:lineRule="exact" w:before="56"/>
              <w:ind w:left="101" w:right="71"/>
              <w:jc w:val="center"/>
              <w:rPr>
                <w:sz w:val="14"/>
              </w:rPr>
            </w:pPr>
            <w:r>
              <w:rPr>
                <w:color w:val="231F20"/>
                <w:sz w:val="14"/>
              </w:rPr>
              <w:t>9.7</w:t>
            </w:r>
          </w:p>
        </w:tc>
        <w:tc>
          <w:tcPr>
            <w:tcW w:w="587" w:type="dxa"/>
          </w:tcPr>
          <w:p>
            <w:pPr>
              <w:pStyle w:val="TableParagraph"/>
              <w:spacing w:line="133" w:lineRule="exact" w:before="56"/>
              <w:ind w:left="210"/>
              <w:rPr>
                <w:sz w:val="14"/>
              </w:rPr>
            </w:pPr>
            <w:r>
              <w:rPr>
                <w:color w:val="231F20"/>
                <w:sz w:val="14"/>
              </w:rPr>
              <w:t>1.4</w:t>
            </w:r>
          </w:p>
        </w:tc>
        <w:tc>
          <w:tcPr>
            <w:tcW w:w="552" w:type="dxa"/>
          </w:tcPr>
          <w:p>
            <w:pPr>
              <w:pStyle w:val="TableParagraph"/>
              <w:spacing w:line="133" w:lineRule="exact" w:before="56"/>
              <w:ind w:left="142" w:right="43"/>
              <w:jc w:val="center"/>
              <w:rPr>
                <w:sz w:val="14"/>
              </w:rPr>
            </w:pPr>
            <w:r>
              <w:rPr>
                <w:color w:val="231F20"/>
                <w:sz w:val="14"/>
              </w:rPr>
              <w:t>24.2</w:t>
            </w:r>
          </w:p>
        </w:tc>
      </w:tr>
      <w:tr>
        <w:trPr>
          <w:trHeight w:val="140" w:hRule="atLeast"/>
        </w:trPr>
        <w:tc>
          <w:tcPr>
            <w:tcW w:w="1218" w:type="dxa"/>
          </w:tcPr>
          <w:p>
            <w:pPr>
              <w:pStyle w:val="TableParagraph"/>
              <w:spacing w:line="120" w:lineRule="exact"/>
              <w:ind w:left="50"/>
              <w:rPr>
                <w:sz w:val="14"/>
              </w:rPr>
            </w:pPr>
            <w:r>
              <w:rPr>
                <w:color w:val="231F20"/>
                <w:sz w:val="14"/>
              </w:rPr>
              <w:t>1997 Q2</w:t>
            </w:r>
          </w:p>
        </w:tc>
        <w:tc>
          <w:tcPr>
            <w:tcW w:w="532" w:type="dxa"/>
          </w:tcPr>
          <w:p>
            <w:pPr>
              <w:pStyle w:val="TableParagraph"/>
              <w:spacing w:line="120" w:lineRule="exact"/>
              <w:ind w:left="87"/>
              <w:rPr>
                <w:sz w:val="14"/>
              </w:rPr>
            </w:pPr>
            <w:r>
              <w:rPr>
                <w:color w:val="231F20"/>
                <w:sz w:val="14"/>
              </w:rPr>
              <w:t>7.7</w:t>
            </w:r>
          </w:p>
        </w:tc>
        <w:tc>
          <w:tcPr>
            <w:tcW w:w="695" w:type="dxa"/>
          </w:tcPr>
          <w:p>
            <w:pPr>
              <w:pStyle w:val="TableParagraph"/>
              <w:spacing w:line="120" w:lineRule="exact"/>
              <w:ind w:left="101" w:right="71"/>
              <w:jc w:val="center"/>
              <w:rPr>
                <w:sz w:val="14"/>
              </w:rPr>
            </w:pPr>
            <w:r>
              <w:rPr>
                <w:color w:val="231F20"/>
                <w:sz w:val="14"/>
              </w:rPr>
              <w:t>8.7</w:t>
            </w:r>
          </w:p>
        </w:tc>
        <w:tc>
          <w:tcPr>
            <w:tcW w:w="587" w:type="dxa"/>
          </w:tcPr>
          <w:p>
            <w:pPr>
              <w:pStyle w:val="TableParagraph"/>
              <w:spacing w:line="120" w:lineRule="exact"/>
              <w:ind w:left="210"/>
              <w:rPr>
                <w:sz w:val="14"/>
              </w:rPr>
            </w:pPr>
            <w:r>
              <w:rPr>
                <w:color w:val="231F20"/>
                <w:sz w:val="14"/>
              </w:rPr>
              <w:t>1.9</w:t>
            </w:r>
          </w:p>
        </w:tc>
        <w:tc>
          <w:tcPr>
            <w:tcW w:w="552" w:type="dxa"/>
          </w:tcPr>
          <w:p>
            <w:pPr>
              <w:pStyle w:val="TableParagraph"/>
              <w:spacing w:line="120" w:lineRule="exact"/>
              <w:ind w:left="142" w:right="43"/>
              <w:jc w:val="center"/>
              <w:rPr>
                <w:sz w:val="14"/>
              </w:rPr>
            </w:pPr>
            <w:r>
              <w:rPr>
                <w:color w:val="231F20"/>
                <w:sz w:val="14"/>
              </w:rPr>
              <w:t>18.4</w:t>
            </w:r>
          </w:p>
        </w:tc>
      </w:tr>
      <w:tr>
        <w:trPr>
          <w:trHeight w:val="140" w:hRule="atLeast"/>
        </w:trPr>
        <w:tc>
          <w:tcPr>
            <w:tcW w:w="1218" w:type="dxa"/>
          </w:tcPr>
          <w:p>
            <w:pPr>
              <w:pStyle w:val="TableParagraph"/>
              <w:spacing w:line="120" w:lineRule="exact"/>
              <w:ind w:left="50"/>
              <w:rPr>
                <w:sz w:val="14"/>
              </w:rPr>
            </w:pPr>
            <w:r>
              <w:rPr>
                <w:color w:val="231F20"/>
                <w:sz w:val="14"/>
              </w:rPr>
              <w:t>1997 Q3</w:t>
            </w:r>
          </w:p>
        </w:tc>
        <w:tc>
          <w:tcPr>
            <w:tcW w:w="532" w:type="dxa"/>
          </w:tcPr>
          <w:p>
            <w:pPr>
              <w:pStyle w:val="TableParagraph"/>
              <w:spacing w:line="120" w:lineRule="exact"/>
              <w:ind w:left="87"/>
              <w:rPr>
                <w:sz w:val="14"/>
              </w:rPr>
            </w:pPr>
            <w:r>
              <w:rPr>
                <w:color w:val="231F20"/>
                <w:sz w:val="14"/>
              </w:rPr>
              <w:t>9.0</w:t>
            </w:r>
          </w:p>
        </w:tc>
        <w:tc>
          <w:tcPr>
            <w:tcW w:w="695" w:type="dxa"/>
          </w:tcPr>
          <w:p>
            <w:pPr>
              <w:pStyle w:val="TableParagraph"/>
              <w:spacing w:line="120" w:lineRule="exact"/>
              <w:ind w:left="101" w:right="71"/>
              <w:jc w:val="center"/>
              <w:rPr>
                <w:sz w:val="14"/>
              </w:rPr>
            </w:pPr>
            <w:r>
              <w:rPr>
                <w:color w:val="231F20"/>
                <w:sz w:val="14"/>
              </w:rPr>
              <w:t>6.5</w:t>
            </w:r>
          </w:p>
        </w:tc>
        <w:tc>
          <w:tcPr>
            <w:tcW w:w="587" w:type="dxa"/>
          </w:tcPr>
          <w:p>
            <w:pPr>
              <w:pStyle w:val="TableParagraph"/>
              <w:spacing w:line="120" w:lineRule="exact"/>
              <w:ind w:left="210"/>
              <w:rPr>
                <w:sz w:val="14"/>
              </w:rPr>
            </w:pPr>
            <w:r>
              <w:rPr>
                <w:color w:val="231F20"/>
                <w:sz w:val="14"/>
              </w:rPr>
              <w:t>2.1</w:t>
            </w:r>
          </w:p>
        </w:tc>
        <w:tc>
          <w:tcPr>
            <w:tcW w:w="552" w:type="dxa"/>
          </w:tcPr>
          <w:p>
            <w:pPr>
              <w:pStyle w:val="TableParagraph"/>
              <w:spacing w:line="120" w:lineRule="exact"/>
              <w:ind w:left="142" w:right="43"/>
              <w:jc w:val="center"/>
              <w:rPr>
                <w:sz w:val="14"/>
              </w:rPr>
            </w:pPr>
            <w:r>
              <w:rPr>
                <w:color w:val="231F20"/>
                <w:sz w:val="14"/>
              </w:rPr>
              <w:t>17.6</w:t>
            </w:r>
          </w:p>
        </w:tc>
      </w:tr>
      <w:tr>
        <w:trPr>
          <w:trHeight w:val="147" w:hRule="atLeast"/>
        </w:trPr>
        <w:tc>
          <w:tcPr>
            <w:tcW w:w="1218" w:type="dxa"/>
          </w:tcPr>
          <w:p>
            <w:pPr>
              <w:pStyle w:val="TableParagraph"/>
              <w:spacing w:line="128" w:lineRule="exact"/>
              <w:ind w:left="50"/>
              <w:rPr>
                <w:sz w:val="14"/>
              </w:rPr>
            </w:pPr>
            <w:r>
              <w:rPr>
                <w:color w:val="231F20"/>
                <w:sz w:val="14"/>
              </w:rPr>
              <w:t>1997 Q4</w:t>
            </w:r>
          </w:p>
        </w:tc>
        <w:tc>
          <w:tcPr>
            <w:tcW w:w="532" w:type="dxa"/>
          </w:tcPr>
          <w:p>
            <w:pPr>
              <w:pStyle w:val="TableParagraph"/>
              <w:spacing w:line="128" w:lineRule="exact"/>
              <w:ind w:left="87"/>
              <w:rPr>
                <w:sz w:val="14"/>
              </w:rPr>
            </w:pPr>
            <w:r>
              <w:rPr>
                <w:color w:val="231F20"/>
                <w:sz w:val="14"/>
              </w:rPr>
              <w:t>7.0</w:t>
            </w:r>
          </w:p>
        </w:tc>
        <w:tc>
          <w:tcPr>
            <w:tcW w:w="695" w:type="dxa"/>
          </w:tcPr>
          <w:p>
            <w:pPr>
              <w:pStyle w:val="TableParagraph"/>
              <w:spacing w:line="128" w:lineRule="exact"/>
              <w:ind w:left="101" w:right="71"/>
              <w:jc w:val="center"/>
              <w:rPr>
                <w:sz w:val="14"/>
              </w:rPr>
            </w:pPr>
            <w:r>
              <w:rPr>
                <w:color w:val="231F20"/>
                <w:sz w:val="14"/>
              </w:rPr>
              <w:t>9.7</w:t>
            </w:r>
          </w:p>
        </w:tc>
        <w:tc>
          <w:tcPr>
            <w:tcW w:w="587" w:type="dxa"/>
          </w:tcPr>
          <w:p>
            <w:pPr>
              <w:pStyle w:val="TableParagraph"/>
              <w:spacing w:line="128" w:lineRule="exact"/>
              <w:ind w:left="210"/>
              <w:rPr>
                <w:sz w:val="14"/>
              </w:rPr>
            </w:pPr>
            <w:r>
              <w:rPr>
                <w:color w:val="231F20"/>
                <w:sz w:val="14"/>
              </w:rPr>
              <w:t>0.1</w:t>
            </w:r>
          </w:p>
        </w:tc>
        <w:tc>
          <w:tcPr>
            <w:tcW w:w="552" w:type="dxa"/>
          </w:tcPr>
          <w:p>
            <w:pPr>
              <w:pStyle w:val="TableParagraph"/>
              <w:spacing w:line="128" w:lineRule="exact"/>
              <w:ind w:left="142" w:right="43"/>
              <w:jc w:val="center"/>
              <w:rPr>
                <w:sz w:val="14"/>
              </w:rPr>
            </w:pPr>
            <w:r>
              <w:rPr>
                <w:color w:val="231F20"/>
                <w:sz w:val="14"/>
              </w:rPr>
              <w:t>16.8</w:t>
            </w:r>
          </w:p>
        </w:tc>
      </w:tr>
    </w:tbl>
    <w:p>
      <w:pPr>
        <w:spacing w:before="97"/>
        <w:ind w:left="200" w:right="0" w:firstLine="0"/>
        <w:jc w:val="left"/>
        <w:rPr>
          <w:sz w:val="12"/>
        </w:rPr>
      </w:pPr>
      <w:r>
        <w:rPr>
          <w:color w:val="231F20"/>
          <w:sz w:val="12"/>
        </w:rPr>
        <w:t>Source: Bank of England.</w:t>
      </w:r>
    </w:p>
    <w:p>
      <w:pPr>
        <w:pStyle w:val="BodyText"/>
        <w:spacing w:before="5"/>
        <w:rPr>
          <w:sz w:val="21"/>
        </w:rPr>
      </w:pPr>
      <w:r>
        <w:rPr/>
        <w:br w:type="column"/>
      </w:r>
      <w:r>
        <w:rPr>
          <w:sz w:val="21"/>
        </w:rPr>
      </w:r>
    </w:p>
    <w:p>
      <w:pPr>
        <w:pStyle w:val="Heading5"/>
        <w:spacing w:line="242" w:lineRule="auto" w:before="1"/>
        <w:ind w:left="170" w:right="161"/>
      </w:pPr>
      <w:r>
        <w:rPr>
          <w:color w:val="231F20"/>
        </w:rPr>
        <w:t>of the new 50p coin. The slower narrow money growth in the latter part of 1997 has coincided with slower nominal retail spending growth. It is also consistent </w:t>
      </w:r>
      <w:r>
        <w:rPr>
          <w:color w:val="231F20"/>
          <w:spacing w:val="-5"/>
        </w:rPr>
        <w:t>with </w:t>
      </w:r>
      <w:r>
        <w:rPr>
          <w:color w:val="231F20"/>
        </w:rPr>
        <w:t>the increased opportunity cost of holding non interest bearing money balances when interest rates are higher, though the full impact of the interest rate rises since May is unlikely to </w:t>
      </w:r>
      <w:r>
        <w:rPr>
          <w:color w:val="231F20"/>
          <w:spacing w:val="-3"/>
        </w:rPr>
        <w:t>have </w:t>
      </w:r>
      <w:r>
        <w:rPr>
          <w:color w:val="231F20"/>
        </w:rPr>
        <w:t>fed through</w:t>
      </w:r>
      <w:r>
        <w:rPr>
          <w:color w:val="231F20"/>
          <w:spacing w:val="3"/>
        </w:rPr>
        <w:t> </w:t>
      </w:r>
      <w:r>
        <w:rPr>
          <w:color w:val="231F20"/>
        </w:rPr>
        <w:t>yet.</w:t>
      </w:r>
    </w:p>
    <w:p>
      <w:pPr>
        <w:pStyle w:val="BodyText"/>
        <w:spacing w:before="4"/>
        <w:rPr>
          <w:sz w:val="23"/>
        </w:rPr>
      </w:pPr>
    </w:p>
    <w:p>
      <w:pPr>
        <w:pStyle w:val="Heading6"/>
        <w:rPr>
          <w:i/>
        </w:rPr>
      </w:pPr>
      <w:r>
        <w:rPr>
          <w:i/>
          <w:color w:val="009483"/>
        </w:rPr>
        <w:t>Divisia money</w:t>
      </w:r>
    </w:p>
    <w:p>
      <w:pPr>
        <w:spacing w:line="242" w:lineRule="auto" w:before="144"/>
        <w:ind w:left="170" w:right="180" w:firstLine="0"/>
        <w:jc w:val="left"/>
        <w:rPr>
          <w:sz w:val="24"/>
        </w:rPr>
      </w:pPr>
      <w:r>
        <w:rPr>
          <w:color w:val="231F20"/>
          <w:sz w:val="24"/>
        </w:rPr>
        <w:t>Aggregate Divisia </w:t>
      </w:r>
      <w:r>
        <w:rPr>
          <w:color w:val="231F20"/>
          <w:spacing w:val="-4"/>
          <w:sz w:val="24"/>
        </w:rPr>
        <w:t>money, </w:t>
      </w:r>
      <w:r>
        <w:rPr>
          <w:color w:val="231F20"/>
          <w:sz w:val="24"/>
        </w:rPr>
        <w:t>a measure that reflects the extent to which the components of broad money are </w:t>
      </w:r>
      <w:r>
        <w:rPr>
          <w:color w:val="231F20"/>
          <w:spacing w:val="-5"/>
          <w:sz w:val="24"/>
        </w:rPr>
        <w:t>used </w:t>
      </w:r>
      <w:r>
        <w:rPr>
          <w:color w:val="231F20"/>
          <w:sz w:val="24"/>
        </w:rPr>
        <w:t>in transactions, grew by 10.8% in the year to 1997 Q4, compared with 10.1% in 1997 Q3. This was slightly slower than the growth in aggregate M4 during the period. Within the aggregate, Divisia money grew more rapidly than broad money in the personal and OFIs sectors, but more slowly in the corporate sector (see </w:t>
      </w:r>
      <w:r>
        <w:rPr>
          <w:color w:val="231F20"/>
          <w:spacing w:val="-4"/>
          <w:sz w:val="24"/>
        </w:rPr>
        <w:t>Table </w:t>
      </w:r>
      <w:r>
        <w:rPr>
          <w:color w:val="231F20"/>
          <w:sz w:val="24"/>
        </w:rPr>
        <w:t>1.B). The strength of Divisia money in the personal sector is consistent with the view that both transactions and nominal demand remain</w:t>
      </w:r>
      <w:r>
        <w:rPr>
          <w:color w:val="231F20"/>
          <w:spacing w:val="-2"/>
          <w:sz w:val="24"/>
        </w:rPr>
        <w:t> </w:t>
      </w:r>
      <w:r>
        <w:rPr>
          <w:color w:val="231F20"/>
          <w:sz w:val="24"/>
        </w:rPr>
        <w:t>robust.</w:t>
      </w:r>
    </w:p>
    <w:p>
      <w:pPr>
        <w:pStyle w:val="BodyText"/>
        <w:spacing w:before="3"/>
        <w:rPr>
          <w:sz w:val="22"/>
        </w:rPr>
      </w:pPr>
    </w:p>
    <w:p>
      <w:pPr>
        <w:pStyle w:val="ListParagraph"/>
        <w:numPr>
          <w:ilvl w:val="1"/>
          <w:numId w:val="2"/>
        </w:numPr>
        <w:tabs>
          <w:tab w:pos="4677" w:val="left" w:leader="none"/>
          <w:tab w:pos="4678" w:val="left" w:leader="none"/>
          <w:tab w:pos="5669" w:val="left" w:leader="none"/>
        </w:tabs>
        <w:spacing w:line="240" w:lineRule="auto" w:before="1" w:after="0"/>
        <w:ind w:left="4677" w:right="0" w:hanging="4508"/>
        <w:jc w:val="left"/>
        <w:rPr>
          <w:b/>
          <w:sz w:val="28"/>
        </w:rPr>
      </w:pPr>
      <w:r>
        <w:rPr>
          <w:b/>
          <w:color w:val="009483"/>
          <w:sz w:val="28"/>
          <w:u w:val="thick" w:color="0093C1"/>
        </w:rPr>
        <w:t>Credit</w:t>
        <w:tab/>
      </w:r>
    </w:p>
    <w:p>
      <w:pPr>
        <w:pStyle w:val="BodyText"/>
        <w:spacing w:before="10"/>
        <w:rPr>
          <w:b/>
          <w:sz w:val="23"/>
        </w:rPr>
      </w:pPr>
    </w:p>
    <w:p>
      <w:pPr>
        <w:spacing w:line="242" w:lineRule="auto" w:before="0"/>
        <w:ind w:left="170" w:right="188" w:firstLine="0"/>
        <w:jc w:val="left"/>
        <w:rPr>
          <w:sz w:val="24"/>
        </w:rPr>
      </w:pPr>
      <w:r>
        <w:rPr>
          <w:color w:val="231F20"/>
          <w:sz w:val="24"/>
        </w:rPr>
        <w:t>The growth rate of bank and building society credit to the non-bank private sector (M4 lending) has continued to fall. The twelve-month growth rate of credit in December was 8.6%, compared with an average annual growth rate of 9.1% in the first half of 1997. And annualised shorter-term growth rates </w:t>
      </w:r>
      <w:r>
        <w:rPr>
          <w:color w:val="231F20"/>
          <w:spacing w:val="-3"/>
          <w:sz w:val="24"/>
        </w:rPr>
        <w:t>have </w:t>
      </w:r>
      <w:r>
        <w:rPr>
          <w:color w:val="231F20"/>
          <w:sz w:val="24"/>
        </w:rPr>
        <w:t>been below the twelve-month growth rate since August. The slowdown in credit preceded the moderation in broad money growth and, as Chart 1.4 shows, much of this </w:t>
      </w:r>
      <w:r>
        <w:rPr>
          <w:color w:val="231F20"/>
          <w:spacing w:val="-7"/>
          <w:sz w:val="24"/>
        </w:rPr>
        <w:t>was </w:t>
      </w:r>
      <w:r>
        <w:rPr>
          <w:color w:val="231F20"/>
          <w:sz w:val="24"/>
        </w:rPr>
        <w:t>accounted for by ICCs.</w:t>
      </w:r>
    </w:p>
    <w:p>
      <w:pPr>
        <w:pStyle w:val="BodyText"/>
        <w:spacing w:before="5"/>
        <w:rPr>
          <w:sz w:val="25"/>
        </w:rPr>
      </w:pPr>
    </w:p>
    <w:p>
      <w:pPr>
        <w:pStyle w:val="Heading6"/>
        <w:spacing w:before="1"/>
        <w:rPr>
          <w:i/>
        </w:rPr>
      </w:pPr>
      <w:r>
        <w:rPr>
          <w:i/>
          <w:color w:val="009483"/>
        </w:rPr>
        <w:t>Other financial institutions</w:t>
      </w:r>
    </w:p>
    <w:p>
      <w:pPr>
        <w:spacing w:line="242" w:lineRule="auto" w:before="144"/>
        <w:ind w:left="170" w:right="188" w:firstLine="0"/>
        <w:jc w:val="left"/>
        <w:rPr>
          <w:sz w:val="24"/>
        </w:rPr>
      </w:pPr>
      <w:r>
        <w:rPr>
          <w:color w:val="231F20"/>
          <w:sz w:val="24"/>
        </w:rPr>
        <w:t>Credit growth to OFIs, which accounts for some 20% of aggregate M4 lending, remains strong, though some of this reflects a rebound in lending via reverse gilt repo.</w:t>
      </w:r>
    </w:p>
    <w:p>
      <w:pPr>
        <w:spacing w:line="242" w:lineRule="auto" w:before="3"/>
        <w:ind w:left="170" w:right="188" w:firstLine="0"/>
        <w:jc w:val="left"/>
        <w:rPr>
          <w:sz w:val="24"/>
        </w:rPr>
      </w:pPr>
      <w:r>
        <w:rPr>
          <w:color w:val="231F20"/>
          <w:sz w:val="24"/>
        </w:rPr>
        <w:t>OFIs’ bank borrowing outstanding was 20.8% higher in 1997 Q4 than a year earlier, compared with 19.6% in 1997 Q3.  </w:t>
      </w:r>
      <w:r>
        <w:rPr>
          <w:color w:val="231F20"/>
          <w:spacing w:val="-4"/>
          <w:sz w:val="24"/>
        </w:rPr>
        <w:t>Table </w:t>
      </w:r>
      <w:r>
        <w:rPr>
          <w:color w:val="231F20"/>
          <w:sz w:val="24"/>
        </w:rPr>
        <w:t>1.C shows the flows of deposits into, and lending </w:t>
      </w:r>
      <w:r>
        <w:rPr>
          <w:color w:val="231F20"/>
          <w:spacing w:val="-6"/>
          <w:sz w:val="24"/>
        </w:rPr>
        <w:t>by, </w:t>
      </w:r>
      <w:r>
        <w:rPr>
          <w:color w:val="231F20"/>
          <w:sz w:val="24"/>
        </w:rPr>
        <w:t>banks and building societies since 1995. OFIs </w:t>
      </w:r>
      <w:r>
        <w:rPr>
          <w:color w:val="231F20"/>
          <w:spacing w:val="-3"/>
          <w:sz w:val="24"/>
        </w:rPr>
        <w:t>have </w:t>
      </w:r>
      <w:r>
        <w:rPr>
          <w:color w:val="231F20"/>
          <w:sz w:val="24"/>
        </w:rPr>
        <w:t>been net depositors during this period. This </w:t>
      </w:r>
      <w:r>
        <w:rPr>
          <w:color w:val="231F20"/>
          <w:spacing w:val="-9"/>
          <w:sz w:val="24"/>
        </w:rPr>
        <w:t>is </w:t>
      </w:r>
      <w:r>
        <w:rPr>
          <w:color w:val="231F20"/>
          <w:sz w:val="24"/>
        </w:rPr>
        <w:t>largely because L</w:t>
      </w:r>
      <w:r>
        <w:rPr>
          <w:color w:val="231F20"/>
          <w:sz w:val="20"/>
        </w:rPr>
        <w:t>APF</w:t>
      </w:r>
      <w:r>
        <w:rPr>
          <w:color w:val="231F20"/>
          <w:sz w:val="24"/>
        </w:rPr>
        <w:t>s </w:t>
      </w:r>
      <w:r>
        <w:rPr>
          <w:color w:val="231F20"/>
          <w:spacing w:val="-3"/>
          <w:sz w:val="24"/>
        </w:rPr>
        <w:t>have </w:t>
      </w:r>
      <w:r>
        <w:rPr>
          <w:color w:val="231F20"/>
          <w:sz w:val="24"/>
        </w:rPr>
        <w:t>increased their deposits, following equity price</w:t>
      </w:r>
      <w:r>
        <w:rPr>
          <w:color w:val="231F20"/>
          <w:spacing w:val="-1"/>
          <w:sz w:val="24"/>
        </w:rPr>
        <w:t> </w:t>
      </w:r>
      <w:r>
        <w:rPr>
          <w:color w:val="231F20"/>
          <w:sz w:val="24"/>
        </w:rPr>
        <w:t>rises.</w:t>
      </w:r>
    </w:p>
    <w:p>
      <w:pPr>
        <w:pStyle w:val="BodyText"/>
        <w:spacing w:before="2"/>
        <w:rPr>
          <w:sz w:val="25"/>
        </w:rPr>
      </w:pPr>
    </w:p>
    <w:p>
      <w:pPr>
        <w:pStyle w:val="Heading6"/>
        <w:rPr>
          <w:i/>
        </w:rPr>
      </w:pPr>
      <w:r>
        <w:rPr>
          <w:i/>
          <w:color w:val="009483"/>
        </w:rPr>
        <w:t>Personal sector</w:t>
      </w:r>
    </w:p>
    <w:p>
      <w:pPr>
        <w:spacing w:line="242" w:lineRule="auto" w:before="144"/>
        <w:ind w:left="170" w:right="188" w:firstLine="0"/>
        <w:jc w:val="left"/>
        <w:rPr>
          <w:sz w:val="24"/>
        </w:rPr>
      </w:pPr>
      <w:r>
        <w:rPr>
          <w:color w:val="231F20"/>
          <w:sz w:val="24"/>
        </w:rPr>
        <w:t>Chart 1.4 suggests that the growth rate of credit to the personal sector has been relatively stable since 1994, after slowing in the early 1990s. Lending to individuals</w:t>
      </w:r>
    </w:p>
    <w:p>
      <w:pPr>
        <w:spacing w:after="0" w:line="242" w:lineRule="auto"/>
        <w:jc w:val="left"/>
        <w:rPr>
          <w:sz w:val="24"/>
        </w:rPr>
        <w:sectPr>
          <w:type w:val="continuous"/>
          <w:pgSz w:w="11880" w:h="16840"/>
          <w:pgMar w:top="1200" w:bottom="280" w:left="620" w:right="620"/>
          <w:cols w:num="2" w:equalWidth="0">
            <w:col w:w="3853" w:space="957"/>
            <w:col w:w="5830"/>
          </w:cols>
        </w:sectPr>
      </w:pPr>
    </w:p>
    <w:p>
      <w:pPr>
        <w:pStyle w:val="BodyText"/>
        <w:rPr>
          <w:sz w:val="20"/>
        </w:rPr>
      </w:pPr>
    </w:p>
    <w:p>
      <w:pPr>
        <w:spacing w:after="0"/>
        <w:rPr>
          <w:sz w:val="20"/>
        </w:rPr>
        <w:sectPr>
          <w:pgSz w:w="11880" w:h="16840"/>
          <w:pgMar w:header="586" w:footer="617" w:top="780" w:bottom="800" w:left="620" w:right="620"/>
        </w:sectPr>
      </w:pPr>
    </w:p>
    <w:p>
      <w:pPr>
        <w:pStyle w:val="BodyText"/>
        <w:rPr>
          <w:sz w:val="22"/>
        </w:rPr>
      </w:pPr>
    </w:p>
    <w:p>
      <w:pPr>
        <w:pStyle w:val="BodyText"/>
        <w:spacing w:before="6"/>
      </w:pPr>
    </w:p>
    <w:p>
      <w:pPr>
        <w:pStyle w:val="Heading9"/>
        <w:spacing w:before="0"/>
        <w:ind w:left="222"/>
      </w:pPr>
      <w:bookmarkStart w:name="Industrial and commercial companies" w:id="18"/>
      <w:bookmarkEnd w:id="18"/>
      <w:r>
        <w:rPr>
          <w:b w:val="0"/>
        </w:rPr>
      </w:r>
      <w:bookmarkStart w:name="_bookmark4" w:id="19"/>
      <w:bookmarkEnd w:id="19"/>
      <w:r>
        <w:rPr>
          <w:b w:val="0"/>
        </w:rPr>
      </w:r>
      <w:r>
        <w:rPr>
          <w:color w:val="0093C1"/>
        </w:rPr>
        <w:t>Chart 1.5</w:t>
      </w:r>
    </w:p>
    <w:p>
      <w:pPr>
        <w:spacing w:before="10"/>
        <w:ind w:left="222" w:right="0" w:firstLine="0"/>
        <w:jc w:val="left"/>
        <w:rPr>
          <w:b/>
          <w:sz w:val="20"/>
        </w:rPr>
      </w:pPr>
      <w:r>
        <w:rPr>
          <w:b/>
          <w:color w:val="0093C1"/>
          <w:sz w:val="20"/>
        </w:rPr>
        <w:t>Secured and unsecured lending growth</w:t>
      </w:r>
    </w:p>
    <w:p>
      <w:pPr>
        <w:spacing w:before="142"/>
        <w:ind w:left="1846" w:right="0" w:firstLine="0"/>
        <w:jc w:val="left"/>
        <w:rPr>
          <w:sz w:val="12"/>
        </w:rPr>
      </w:pPr>
      <w:r>
        <w:rPr/>
        <w:pict>
          <v:line style="position:absolute;mso-position-horizontal-relative:page;mso-position-vertical-relative:paragraph;z-index:15756288" from="51.139999pt,14.867151pt" to="46.139999pt,14.867151pt" stroked="true" strokeweight=".5pt" strokecolor="#000000">
            <v:stroke dashstyle="solid"/>
            <w10:wrap type="none"/>
          </v:line>
        </w:pict>
      </w:r>
      <w:r>
        <w:rPr>
          <w:sz w:val="12"/>
        </w:rPr>
        <w:t>Percentage changes on a year earl</w:t>
      </w:r>
      <w:r>
        <w:rPr>
          <w:sz w:val="12"/>
          <w:u w:val="single"/>
        </w:rPr>
        <w:t>ie</w:t>
      </w:r>
      <w:r>
        <w:rPr>
          <w:sz w:val="12"/>
        </w:rPr>
        <w:t>r</w:t>
      </w:r>
      <w:r>
        <w:rPr>
          <w:spacing w:val="-13"/>
          <w:sz w:val="12"/>
        </w:rPr>
        <w:t> </w:t>
      </w:r>
      <w:r>
        <w:rPr>
          <w:position w:val="-6"/>
          <w:sz w:val="12"/>
        </w:rPr>
        <w:t>18</w:t>
      </w:r>
    </w:p>
    <w:p>
      <w:pPr>
        <w:pStyle w:val="BodyText"/>
        <w:spacing w:before="10"/>
        <w:rPr>
          <w:sz w:val="17"/>
        </w:rPr>
      </w:pPr>
    </w:p>
    <w:p>
      <w:pPr>
        <w:spacing w:before="0"/>
        <w:ind w:left="0" w:right="231" w:firstLine="0"/>
        <w:jc w:val="right"/>
        <w:rPr>
          <w:sz w:val="12"/>
        </w:rPr>
      </w:pPr>
      <w:r>
        <w:rPr/>
        <w:pict>
          <v:group style="position:absolute;margin-left:46.139999pt;margin-top:-4.399231pt;width:164pt;height:131pt;mso-position-horizontal-relative:page;mso-position-vertical-relative:paragraph;z-index:15755776" coordorigin="923,-88" coordsize="3280,2620">
            <v:shape style="position:absolute;left:922;top:82;width:100;height:2340" coordorigin="923,82" coordsize="100,2340" path="m1023,2422l923,2422m1023,2082l923,2082m1023,1762l923,1762m1023,1422l923,1422m1023,1082l923,1082m1023,742l923,742m1023,422l923,422m1023,82l923,82e" filled="false" stroked="true" strokeweight=".5pt" strokecolor="#000000">
              <v:path arrowok="t"/>
              <v:stroke dashstyle="solid"/>
            </v:shape>
            <v:shape style="position:absolute;left:1062;top:142;width:1840;height:1620" coordorigin="1063,142" coordsize="1840,1620" path="m1063,142l1163,162,1263,302,1343,562,1443,802,1543,982,1643,1042,1843,1202,1943,1302,2043,1422,2123,1582,2223,1682,2423,1762,2523,1702,2623,1662,2703,1662,2803,1702,2903,1722e" filled="false" stroked="true" strokeweight="1pt" strokecolor="#a790c4">
              <v:path arrowok="t"/>
              <v:stroke dashstyle="solid"/>
            </v:shape>
            <v:line style="position:absolute" from="4203,1762" to="4103,1762" stroked="true" strokeweight=".5pt" strokecolor="#000000">
              <v:stroke dashstyle="solid"/>
            </v:line>
            <v:shape style="position:absolute;left:2902;top:1722;width:1180;height:240" coordorigin="2903,1722" coordsize="1180,240" path="m2903,1722l3003,1782,3103,1822,3203,1902,3303,1942,3383,1962,3483,1922,3583,1922,3783,1802,3883,1782,3983,1722,4083,1762e" filled="false" stroked="true" strokeweight="1pt" strokecolor="#a790c4">
              <v:path arrowok="t"/>
              <v:stroke dashstyle="solid"/>
            </v:shape>
            <v:shape style="position:absolute;left:1062;top:342;width:1840;height:2180" coordorigin="1063,342" coordsize="1840,2180" path="m1063,342l1163,742,1263,1042,1343,1122,1443,1362,1543,1482,1643,1562,1743,1802,1843,1922,1943,2202,2043,2262,2123,2482,2223,2522,2323,2422,2423,2482,2523,2402,2623,2242,2703,1882,2803,1622,2903,1262e" filled="false" stroked="true" strokeweight="1.0pt" strokecolor="#faab54">
              <v:path arrowok="t"/>
              <v:stroke dashstyle="solid"/>
            </v:shape>
            <v:shape style="position:absolute;left:4102;top:82;width:100;height:1000" coordorigin="4103,82" coordsize="100,1000" path="m4203,1082l4103,1082m4203,742l4103,742m4203,422l4103,422m4203,82l4103,82e" filled="false" stroked="true" strokeweight=".5pt" strokecolor="#000000">
              <v:path arrowok="t"/>
              <v:stroke dashstyle="solid"/>
            </v:shape>
            <v:shape style="position:absolute;left:2902;top:-78;width:1180;height:1340" coordorigin="2903,-78" coordsize="1180,1340" path="m2903,1262l3003,962,3103,962,3203,862,3303,642,3383,582,3483,522,3583,262,3683,262,3783,182,3883,-78,3983,142,4083,42e" filled="false" stroked="true" strokeweight="1pt" strokecolor="#faab54">
              <v:path arrowok="t"/>
              <v:stroke dashstyle="solid"/>
            </v:shape>
            <v:shape style="position:absolute;left:2912;top:405;width:534;height:133" type="#_x0000_t202" filled="false" stroked="false">
              <v:textbox inset="0,0,0,0">
                <w:txbxContent>
                  <w:p>
                    <w:pPr>
                      <w:spacing w:line="133" w:lineRule="exact" w:before="0"/>
                      <w:ind w:left="0" w:right="0" w:firstLine="0"/>
                      <w:jc w:val="left"/>
                      <w:rPr>
                        <w:sz w:val="12"/>
                      </w:rPr>
                    </w:pPr>
                    <w:r>
                      <w:rPr>
                        <w:sz w:val="12"/>
                      </w:rPr>
                      <w:t>Unsecured</w:t>
                    </w:r>
                  </w:p>
                </w:txbxContent>
              </v:textbox>
              <w10:wrap type="none"/>
            </v:shape>
            <v:shape style="position:absolute;left:1692;top:905;width:570;height:133" type="#_x0000_t202" filled="false" stroked="false">
              <v:textbox inset="0,0,0,0">
                <w:txbxContent>
                  <w:p>
                    <w:pPr>
                      <w:spacing w:line="133" w:lineRule="exact" w:before="0"/>
                      <w:ind w:left="0" w:right="0" w:firstLine="0"/>
                      <w:jc w:val="left"/>
                      <w:rPr>
                        <w:sz w:val="12"/>
                      </w:rPr>
                    </w:pPr>
                    <w:r>
                      <w:rPr>
                        <w:sz w:val="12"/>
                      </w:rPr>
                      <w:t>Secured (a)</w:t>
                    </w:r>
                  </w:p>
                </w:txbxContent>
              </v:textbox>
              <w10:wrap type="none"/>
            </v:shape>
            <w10:wrap type="none"/>
          </v:group>
        </w:pict>
      </w:r>
      <w:r>
        <w:rPr>
          <w:sz w:val="12"/>
        </w:rPr>
        <w:t>16</w:t>
      </w:r>
    </w:p>
    <w:p>
      <w:pPr>
        <w:pStyle w:val="BodyText"/>
        <w:spacing w:before="6"/>
        <w:rPr>
          <w:sz w:val="17"/>
        </w:rPr>
      </w:pPr>
    </w:p>
    <w:p>
      <w:pPr>
        <w:spacing w:before="0"/>
        <w:ind w:left="0" w:right="231" w:firstLine="0"/>
        <w:jc w:val="right"/>
        <w:rPr>
          <w:sz w:val="12"/>
        </w:rPr>
      </w:pPr>
      <w:r>
        <w:rPr>
          <w:sz w:val="12"/>
        </w:rPr>
        <w:t>14</w:t>
      </w:r>
    </w:p>
    <w:p>
      <w:pPr>
        <w:pStyle w:val="BodyText"/>
        <w:spacing w:before="10"/>
        <w:rPr>
          <w:sz w:val="15"/>
        </w:rPr>
      </w:pPr>
    </w:p>
    <w:p>
      <w:pPr>
        <w:spacing w:before="0"/>
        <w:ind w:left="0" w:right="231" w:firstLine="0"/>
        <w:jc w:val="right"/>
        <w:rPr>
          <w:sz w:val="12"/>
        </w:rPr>
      </w:pPr>
      <w:r>
        <w:rPr>
          <w:sz w:val="12"/>
        </w:rPr>
        <w:t>12</w:t>
      </w:r>
    </w:p>
    <w:p>
      <w:pPr>
        <w:pStyle w:val="BodyText"/>
        <w:spacing w:before="6"/>
        <w:rPr>
          <w:sz w:val="17"/>
        </w:rPr>
      </w:pPr>
    </w:p>
    <w:p>
      <w:pPr>
        <w:spacing w:before="0"/>
        <w:ind w:left="0" w:right="231" w:firstLine="0"/>
        <w:jc w:val="right"/>
        <w:rPr>
          <w:sz w:val="12"/>
        </w:rPr>
      </w:pPr>
      <w:r>
        <w:rPr>
          <w:sz w:val="12"/>
        </w:rPr>
        <w:t>10</w:t>
      </w:r>
    </w:p>
    <w:p>
      <w:pPr>
        <w:pStyle w:val="BodyText"/>
        <w:spacing w:before="7"/>
        <w:rPr>
          <w:sz w:val="17"/>
        </w:rPr>
      </w:pPr>
    </w:p>
    <w:p>
      <w:pPr>
        <w:spacing w:before="0"/>
        <w:ind w:left="0" w:right="231" w:firstLine="0"/>
        <w:jc w:val="right"/>
        <w:rPr>
          <w:sz w:val="12"/>
        </w:rPr>
      </w:pPr>
      <w:r>
        <w:rPr/>
        <w:pict>
          <v:line style="position:absolute;mso-position-horizontal-relative:page;mso-position-vertical-relative:paragraph;z-index:15757824" from="210.139999pt,4.101135pt" to="205.139999pt,4.101135pt" stroked="true" strokeweight=".5pt" strokecolor="#000000">
            <v:stroke dashstyle="solid"/>
            <w10:wrap type="none"/>
          </v:line>
        </w:pict>
      </w:r>
      <w:r>
        <w:rPr>
          <w:sz w:val="12"/>
        </w:rPr>
        <w:t>8</w:t>
      </w:r>
    </w:p>
    <w:p>
      <w:pPr>
        <w:pStyle w:val="BodyText"/>
        <w:spacing w:before="9"/>
        <w:rPr>
          <w:sz w:val="15"/>
        </w:rPr>
      </w:pPr>
    </w:p>
    <w:p>
      <w:pPr>
        <w:spacing w:before="1"/>
        <w:ind w:left="0" w:right="231" w:firstLine="0"/>
        <w:jc w:val="right"/>
        <w:rPr>
          <w:sz w:val="12"/>
        </w:rPr>
      </w:pPr>
      <w:r>
        <w:rPr>
          <w:sz w:val="12"/>
        </w:rPr>
        <w:t>6</w:t>
      </w:r>
    </w:p>
    <w:p>
      <w:pPr>
        <w:pStyle w:val="BodyText"/>
        <w:spacing w:before="6"/>
        <w:rPr>
          <w:sz w:val="17"/>
        </w:rPr>
      </w:pPr>
    </w:p>
    <w:p>
      <w:pPr>
        <w:spacing w:before="0"/>
        <w:ind w:left="0" w:right="231" w:firstLine="0"/>
        <w:jc w:val="right"/>
        <w:rPr>
          <w:sz w:val="12"/>
        </w:rPr>
      </w:pPr>
      <w:r>
        <w:rPr/>
        <w:pict>
          <v:line style="position:absolute;mso-position-horizontal-relative:page;mso-position-vertical-relative:paragraph;z-index:15757312" from="210.139999pt,4.101135pt" to="205.139999pt,4.101135pt" stroked="true" strokeweight=".5pt" strokecolor="#000000">
            <v:stroke dashstyle="solid"/>
            <w10:wrap type="none"/>
          </v:line>
        </w:pict>
      </w:r>
      <w:r>
        <w:rPr>
          <w:sz w:val="12"/>
        </w:rPr>
        <w:t>4</w:t>
      </w:r>
    </w:p>
    <w:p>
      <w:pPr>
        <w:pStyle w:val="BodyText"/>
        <w:spacing w:before="6"/>
        <w:rPr>
          <w:sz w:val="17"/>
        </w:rPr>
      </w:pPr>
    </w:p>
    <w:p>
      <w:pPr>
        <w:spacing w:before="1"/>
        <w:ind w:left="0" w:right="231" w:firstLine="0"/>
        <w:jc w:val="right"/>
        <w:rPr>
          <w:sz w:val="12"/>
        </w:rPr>
      </w:pPr>
      <w:r>
        <w:rPr/>
        <w:pict>
          <v:line style="position:absolute;mso-position-horizontal-relative:page;mso-position-vertical-relative:paragraph;z-index:15756800" from="210.139999pt,4.151380pt" to="205.139999pt,4.151380pt" stroked="true" strokeweight=".5pt" strokecolor="#000000">
            <v:stroke dashstyle="solid"/>
            <w10:wrap type="none"/>
          </v:line>
        </w:pict>
      </w:r>
      <w:r>
        <w:rPr>
          <w:sz w:val="12"/>
        </w:rPr>
        <w:t>2</w:t>
      </w:r>
    </w:p>
    <w:p>
      <w:pPr>
        <w:pStyle w:val="BodyText"/>
        <w:spacing w:before="6"/>
        <w:rPr>
          <w:sz w:val="17"/>
        </w:rPr>
      </w:pPr>
    </w:p>
    <w:p>
      <w:pPr>
        <w:spacing w:line="119" w:lineRule="exact" w:before="0"/>
        <w:ind w:left="3672" w:right="0" w:firstLine="0"/>
        <w:jc w:val="left"/>
        <w:rPr>
          <w:sz w:val="12"/>
        </w:rPr>
      </w:pPr>
      <w:r>
        <w:rPr/>
        <w:pict>
          <v:shape style="position:absolute;margin-left:46.139999pt;margin-top:-.898438pt;width:164pt;height:5pt;mso-position-horizontal-relative:page;mso-position-vertical-relative:paragraph;z-index:15754240" coordorigin="923,-18" coordsize="3280,100" path="m1023,82l923,82m4203,82l4103,82m1063,82l4063,82m1063,82l1063,42m1163,82l1163,42m1263,82l1263,42m1343,82l1343,42m1443,82l1443,42m1543,82l1543,42m1643,82l1643,42m1743,82l1743,42m1843,82l1843,42m1943,82l1943,42m2023,82l2023,42m2123,82l2123,42m2223,82l2223,42m2323,82l2323,42m2423,82l2423,42m2523,82l2523,42m2623,82l2623,42m2703,82l2703,42m2803,82l2803,42m2903,82l2903,42m3003,82l3003,42m3103,82l3103,42m3203,82l3203,42m3303,82l3303,42m3383,82l3383,42m3483,82l3483,42m3583,82l3583,42m3683,82l3683,42m3783,82l3783,42m3883,82l3883,42m3963,82l3963,42m4063,82l4063,42m1063,82l1063,-18m1443,82l1443,-18m1843,82l1843,-18m2223,82l2223,-18m2623,82l2623,-18m3003,82l3003,-18m3383,82l3383,-18m3783,82l3783,-18e" filled="false" stroked="true" strokeweight=".5pt" strokecolor="#000000">
            <v:path arrowok="t"/>
            <v:stroke dashstyle="solid"/>
            <w10:wrap type="none"/>
          </v:shape>
        </w:pict>
      </w:r>
      <w:r>
        <w:rPr>
          <w:sz w:val="12"/>
        </w:rPr>
        <w:t>0</w:t>
      </w:r>
    </w:p>
    <w:p>
      <w:pPr>
        <w:tabs>
          <w:tab w:pos="1332" w:val="left" w:leader="none"/>
          <w:tab w:pos="1732" w:val="left" w:leader="none"/>
          <w:tab w:pos="2132" w:val="left" w:leader="none"/>
          <w:tab w:pos="2492" w:val="left" w:leader="none"/>
          <w:tab w:pos="2892" w:val="left" w:leader="none"/>
          <w:tab w:pos="3232" w:val="left" w:leader="none"/>
        </w:tabs>
        <w:spacing w:line="119" w:lineRule="exact" w:before="0"/>
        <w:ind w:left="512" w:right="0" w:firstLine="0"/>
        <w:jc w:val="left"/>
        <w:rPr>
          <w:sz w:val="12"/>
        </w:rPr>
      </w:pPr>
      <w:r>
        <w:rPr>
          <w:sz w:val="12"/>
        </w:rPr>
        <w:t>1990      91</w:t>
        <w:tab/>
        <w:t>92</w:t>
        <w:tab/>
        <w:t>93</w:t>
        <w:tab/>
        <w:t>94</w:t>
        <w:tab/>
        <w:t>95</w:t>
        <w:tab/>
        <w:t>96</w:t>
        <w:tab/>
        <w:t>97</w:t>
      </w:r>
    </w:p>
    <w:p>
      <w:pPr>
        <w:pStyle w:val="BodyText"/>
        <w:spacing w:before="3"/>
        <w:rPr>
          <w:sz w:val="15"/>
        </w:rPr>
      </w:pPr>
    </w:p>
    <w:p>
      <w:pPr>
        <w:spacing w:before="0"/>
        <w:ind w:left="197" w:right="0" w:firstLine="0"/>
        <w:jc w:val="left"/>
        <w:rPr>
          <w:sz w:val="12"/>
        </w:rPr>
      </w:pPr>
      <w:r>
        <w:rPr>
          <w:color w:val="231F20"/>
          <w:sz w:val="12"/>
        </w:rPr>
        <w:t>Source: Bank of England.</w:t>
      </w:r>
    </w:p>
    <w:p>
      <w:pPr>
        <w:spacing w:before="102"/>
        <w:ind w:left="197" w:right="0" w:firstLine="0"/>
        <w:jc w:val="left"/>
        <w:rPr>
          <w:sz w:val="12"/>
        </w:rPr>
      </w:pPr>
      <w:r>
        <w:rPr>
          <w:color w:val="231F20"/>
          <w:sz w:val="12"/>
        </w:rPr>
        <w:t>(a) Secured lending accounts for around 80% of total lending to individuals.</w:t>
      </w:r>
    </w:p>
    <w:p>
      <w:pPr>
        <w:pStyle w:val="Heading5"/>
        <w:spacing w:line="242" w:lineRule="auto" w:before="207"/>
        <w:ind w:left="197" w:right="176"/>
      </w:pPr>
      <w:r>
        <w:rPr/>
        <w:br w:type="column"/>
      </w:r>
      <w:r>
        <w:rPr>
          <w:color w:val="231F20"/>
        </w:rPr>
        <w:t>in the form of consumer credit has been strong.  As Chart 1.5 shows, the growth rate of lending secured on property increased steadily during 1997. But the growth rate of other, unsecured, forms of lending has been </w:t>
      </w:r>
      <w:r>
        <w:rPr>
          <w:color w:val="231F20"/>
          <w:spacing w:val="-5"/>
        </w:rPr>
        <w:t>much </w:t>
      </w:r>
      <w:r>
        <w:rPr>
          <w:color w:val="231F20"/>
        </w:rPr>
        <w:t>stronger. This may partly reflect supply-side effects induced by increased competition and the arrival of new entrants in the market for unsecured credit. Mortgage equity withdrawal as a share of disposable income also increased during 1997, in line with the recovery in the housing</w:t>
      </w:r>
      <w:r>
        <w:rPr>
          <w:color w:val="231F20"/>
          <w:spacing w:val="-1"/>
        </w:rPr>
        <w:t> </w:t>
      </w:r>
      <w:r>
        <w:rPr>
          <w:color w:val="231F20"/>
        </w:rPr>
        <w:t>market.</w:t>
      </w:r>
    </w:p>
    <w:p>
      <w:pPr>
        <w:pStyle w:val="BodyText"/>
        <w:spacing w:before="5"/>
        <w:rPr>
          <w:sz w:val="25"/>
        </w:rPr>
      </w:pPr>
    </w:p>
    <w:p>
      <w:pPr>
        <w:spacing w:line="242" w:lineRule="auto" w:before="0"/>
        <w:ind w:left="197" w:right="214" w:firstLine="0"/>
        <w:jc w:val="left"/>
        <w:rPr>
          <w:sz w:val="24"/>
        </w:rPr>
      </w:pPr>
      <w:r>
        <w:rPr>
          <w:color w:val="231F20"/>
          <w:sz w:val="24"/>
        </w:rPr>
        <w:t>Interest rate spreads on unsecured lending have narrowed in recent months, suggesting that the behaviour of prices and quantities is consistent with an increased supply of unsecured credit in the personal sector. Mortgage margins have remained broadly unchanged since August. Though banks have passed through the official rate rise in November, a number of building societies have yet to do so. The slower</w:t>
      </w:r>
    </w:p>
    <w:p>
      <w:pPr>
        <w:spacing w:line="242" w:lineRule="auto" w:before="10"/>
        <w:ind w:left="197" w:right="352" w:firstLine="0"/>
        <w:jc w:val="both"/>
        <w:rPr>
          <w:sz w:val="24"/>
        </w:rPr>
      </w:pPr>
      <w:r>
        <w:rPr>
          <w:color w:val="231F20"/>
          <w:sz w:val="24"/>
        </w:rPr>
        <w:t>pass-through of official rates by building societies may reflect their ability to maintain lower deposit rates, as </w:t>
      </w:r>
      <w:r>
        <w:rPr>
          <w:color w:val="231F20"/>
          <w:spacing w:val="-18"/>
          <w:sz w:val="24"/>
        </w:rPr>
        <w:t>a </w:t>
      </w:r>
      <w:r>
        <w:rPr>
          <w:color w:val="231F20"/>
          <w:sz w:val="24"/>
        </w:rPr>
        <w:t>result of speculation about possible demutualisation.</w:t>
      </w:r>
    </w:p>
    <w:p>
      <w:pPr>
        <w:spacing w:after="0" w:line="242" w:lineRule="auto"/>
        <w:jc w:val="both"/>
        <w:rPr>
          <w:sz w:val="24"/>
        </w:rPr>
        <w:sectPr>
          <w:type w:val="continuous"/>
          <w:pgSz w:w="11880" w:h="16840"/>
          <w:pgMar w:top="1200" w:bottom="280" w:left="620" w:right="620"/>
          <w:cols w:num="2" w:equalWidth="0">
            <w:col w:w="3967" w:space="836"/>
            <w:col w:w="5837"/>
          </w:cols>
        </w:sectPr>
      </w:pPr>
    </w:p>
    <w:p>
      <w:pPr>
        <w:pStyle w:val="BodyText"/>
        <w:spacing w:before="10"/>
        <w:rPr>
          <w:sz w:val="16"/>
        </w:rPr>
      </w:pPr>
    </w:p>
    <w:p>
      <w:pPr>
        <w:spacing w:after="0"/>
        <w:rPr>
          <w:sz w:val="16"/>
        </w:rPr>
        <w:sectPr>
          <w:type w:val="continuous"/>
          <w:pgSz w:w="11880" w:h="16840"/>
          <w:pgMar w:top="1200" w:bottom="280" w:left="620" w:right="6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9"/>
        <w:spacing w:before="180"/>
        <w:ind w:left="220"/>
      </w:pPr>
      <w:r>
        <w:rPr>
          <w:color w:val="0093C1"/>
        </w:rPr>
        <w:t>Chart 1.6</w:t>
      </w:r>
    </w:p>
    <w:p>
      <w:pPr>
        <w:spacing w:line="249" w:lineRule="auto" w:before="10"/>
        <w:ind w:left="220" w:right="-20" w:firstLine="0"/>
        <w:jc w:val="left"/>
        <w:rPr>
          <w:b/>
          <w:sz w:val="20"/>
        </w:rPr>
      </w:pPr>
      <w:r>
        <w:rPr>
          <w:b/>
          <w:color w:val="0093C1"/>
          <w:sz w:val="20"/>
        </w:rPr>
        <w:t>M4 lending to ICCs and company acquisitions</w:t>
      </w:r>
    </w:p>
    <w:p>
      <w:pPr>
        <w:pStyle w:val="BodyText"/>
        <w:spacing w:before="1" w:after="40"/>
        <w:rPr>
          <w:b/>
          <w:sz w:val="15"/>
        </w:rPr>
      </w:pPr>
    </w:p>
    <w:p>
      <w:pPr>
        <w:pStyle w:val="BodyText"/>
        <w:spacing w:line="20" w:lineRule="exact"/>
        <w:ind w:left="24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rPr>
      </w:pPr>
      <w:r>
        <w:rPr/>
        <w:br w:type="column"/>
      </w:r>
      <w:r>
        <w:rPr>
          <w:b/>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spacing w:before="160"/>
        <w:ind w:left="-29" w:right="0" w:firstLine="0"/>
        <w:jc w:val="left"/>
        <w:rPr>
          <w:sz w:val="12"/>
        </w:rPr>
      </w:pPr>
      <w:r>
        <w:rPr>
          <w:sz w:val="12"/>
        </w:rPr>
        <w:t>£ billio</w:t>
      </w:r>
      <w:r>
        <w:rPr>
          <w:sz w:val="12"/>
          <w:u w:val="single"/>
        </w:rPr>
        <w:t>n</w:t>
      </w:r>
      <w:r>
        <w:rPr>
          <w:sz w:val="12"/>
        </w:rPr>
        <w:t>s </w:t>
      </w:r>
      <w:r>
        <w:rPr>
          <w:position w:val="-4"/>
          <w:sz w:val="12"/>
        </w:rPr>
        <w:t>14</w:t>
      </w:r>
    </w:p>
    <w:p>
      <w:pPr>
        <w:pStyle w:val="Heading6"/>
        <w:spacing w:before="90"/>
        <w:ind w:left="220"/>
        <w:rPr>
          <w:i/>
        </w:rPr>
      </w:pPr>
      <w:r>
        <w:rPr>
          <w:i w:val="0"/>
        </w:rPr>
        <w:br w:type="column"/>
      </w:r>
      <w:r>
        <w:rPr>
          <w:i/>
          <w:color w:val="009483"/>
        </w:rPr>
        <w:t>Industrial and commercial companies</w:t>
      </w:r>
    </w:p>
    <w:p>
      <w:pPr>
        <w:spacing w:line="242" w:lineRule="auto" w:before="164"/>
        <w:ind w:left="220" w:right="154" w:firstLine="0"/>
        <w:jc w:val="left"/>
        <w:rPr>
          <w:sz w:val="24"/>
        </w:rPr>
      </w:pPr>
      <w:r>
        <w:rPr>
          <w:color w:val="231F20"/>
          <w:sz w:val="24"/>
        </w:rPr>
        <w:t>Lending to ICCs has continued to weaken. In the year to 1997 Q4, ICCs’ sterling borrowing from banks and building societies rose by 2.9%, compared with an average annual growth rate of around 14% in 1996.</w:t>
      </w:r>
    </w:p>
    <w:p>
      <w:pPr>
        <w:spacing w:line="242" w:lineRule="auto" w:before="5"/>
        <w:ind w:left="220" w:right="268" w:firstLine="0"/>
        <w:jc w:val="left"/>
        <w:rPr>
          <w:sz w:val="24"/>
        </w:rPr>
      </w:pPr>
      <w:r>
        <w:rPr>
          <w:color w:val="231F20"/>
          <w:sz w:val="24"/>
        </w:rPr>
        <w:t>Recent evidence from the major British banks suggests that bank borrowing in both production and</w:t>
      </w:r>
    </w:p>
    <w:p>
      <w:pPr>
        <w:spacing w:line="242" w:lineRule="auto" w:before="3"/>
        <w:ind w:left="220" w:right="193" w:firstLine="0"/>
        <w:jc w:val="left"/>
        <w:rPr>
          <w:sz w:val="24"/>
        </w:rPr>
      </w:pPr>
      <w:r>
        <w:rPr>
          <w:color w:val="231F20"/>
          <w:sz w:val="24"/>
        </w:rPr>
        <w:t>non-financial services slowed during 1997. It is </w:t>
      </w:r>
      <w:r>
        <w:rPr>
          <w:color w:val="231F20"/>
          <w:spacing w:val="-3"/>
          <w:sz w:val="24"/>
        </w:rPr>
        <w:t>possible </w:t>
      </w:r>
      <w:r>
        <w:rPr>
          <w:color w:val="231F20"/>
          <w:sz w:val="24"/>
        </w:rPr>
        <w:t>that some of the weakening in ICCs’ borrowing has reflected the lower level of take-over activity within the United Kingdom during 1997. ICCs’ bank borrowing has recently moved closely with the value of domestic mergers and acquisitions (see Chart</w:t>
      </w:r>
      <w:r>
        <w:rPr>
          <w:color w:val="231F20"/>
          <w:spacing w:val="-1"/>
          <w:sz w:val="24"/>
        </w:rPr>
        <w:t> </w:t>
      </w:r>
      <w:r>
        <w:rPr>
          <w:color w:val="231F20"/>
          <w:sz w:val="24"/>
        </w:rPr>
        <w:t>1.6).</w:t>
      </w:r>
    </w:p>
    <w:p>
      <w:pPr>
        <w:spacing w:after="0" w:line="242" w:lineRule="auto"/>
        <w:jc w:val="left"/>
        <w:rPr>
          <w:sz w:val="24"/>
        </w:rPr>
        <w:sectPr>
          <w:type w:val="continuous"/>
          <w:pgSz w:w="11880" w:h="16840"/>
          <w:pgMar w:top="1200" w:bottom="280" w:left="620" w:right="620"/>
          <w:cols w:num="3" w:equalWidth="0">
            <w:col w:w="3104" w:space="40"/>
            <w:col w:w="607" w:space="1029"/>
            <w:col w:w="5860"/>
          </w:cols>
        </w:sectPr>
      </w:pPr>
    </w:p>
    <w:p>
      <w:pPr>
        <w:pStyle w:val="BodyText"/>
        <w:spacing w:before="2"/>
        <w:rPr>
          <w:sz w:val="17"/>
        </w:rPr>
      </w:pPr>
    </w:p>
    <w:p>
      <w:pPr>
        <w:spacing w:after="0"/>
        <w:rPr>
          <w:sz w:val="17"/>
        </w:rPr>
        <w:sectPr>
          <w:type w:val="continuous"/>
          <w:pgSz w:w="11880" w:h="16840"/>
          <w:pgMar w:top="1200" w:bottom="280" w:left="620" w:right="620"/>
        </w:sectPr>
      </w:pPr>
    </w:p>
    <w:p>
      <w:pPr>
        <w:tabs>
          <w:tab w:pos="3709" w:val="right" w:leader="none"/>
        </w:tabs>
        <w:spacing w:before="879"/>
        <w:ind w:left="1780" w:right="0" w:firstLine="0"/>
        <w:jc w:val="left"/>
        <w:rPr>
          <w:sz w:val="12"/>
        </w:rPr>
      </w:pPr>
      <w:r>
        <w:rPr/>
        <w:pict>
          <v:group style="position:absolute;margin-left:43.5pt;margin-top:-79.448441pt;width:174pt;height:129pt;mso-position-horizontal-relative:page;mso-position-vertical-relative:paragraph;z-index:-20329984" coordorigin="870,-1589" coordsize="3480,2580">
            <v:shape style="position:absolute;left:870;top:-1039;width:3300;height:2000" coordorigin="870,-1039" coordsize="3300,2000" path="m970,961l870,961m970,301l870,301m970,-39l870,-39m970,-379l870,-379m970,-699l870,-699m970,-1039l870,-1039m4170,961l4070,961m4170,301l4070,301m4170,-39l4070,-39m4170,-379l4070,-379m4170,-699l4070,-699m4170,-1039l4070,-1039e" filled="false" stroked="true" strokeweight=".5pt" strokecolor="#000000">
              <v:path arrowok="t"/>
              <v:stroke dashstyle="solid"/>
            </v:shape>
            <v:shape style="position:absolute;left:1010;top:-999;width:3020;height:1980" coordorigin="1010,-999" coordsize="3020,1980" path="m1010,241l1070,501,1150,481,1210,-19,1270,621,1330,161,1410,41,1470,1,1530,-399,1590,-399,1670,-279,1730,-479,1790,-439,1870,-639,1930,-999,1990,-379,2050,-359,2130,-239,2190,221,2250,1,2310,201,2390,901,2450,621,2510,621,2590,681,2650,501,2710,701,2770,661,2850,881,2910,701,3030,981,3110,841,3170,961,3230,581,3310,421,3370,-359,3430,281,3490,1,3570,-279,3630,-439,3690,-99,3750,1,3830,101,3890,541,3950,221,4030,761e" filled="false" stroked="true" strokeweight="1pt" strokecolor="#faab54">
              <v:path arrowok="t"/>
              <v:stroke dashstyle="solid"/>
            </v:shape>
            <v:shape style="position:absolute;left:870;top:-1379;width:3300;height:2" coordorigin="870,-1379" coordsize="3300,0" path="m970,-1379l870,-1379m4170,-1379l4070,-1379e" filled="false" stroked="true" strokeweight=".5pt" strokecolor="#000000">
              <v:path arrowok="t"/>
              <v:stroke dashstyle="solid"/>
            </v:shape>
            <v:shape style="position:absolute;left:1010;top:-1579;width:3020;height:2120" coordorigin="1010,-1579" coordsize="3020,2120" path="m1010,281l1070,-499,1150,181,1210,21,1270,-59,1330,-199,1410,21,1470,1,1530,-419,1590,121,1670,-779,1730,-219,1790,21,1870,141,1930,-1579,1990,-599,2050,221,2130,341,2190,221,2250,361,2310,61,2390,381,2450,461,2510,-119,2590,261,2650,341,2710,541,2770,381,2850,361,2910,401,2970,421,3030,161,3110,181,3170,361,3230,301,3310,321,3370,-1259,3430,261,3490,-959,3570,-959,3630,-919,3690,-499,3750,-959,3830,-199,3890,241,3950,61,4030,21e" filled="false" stroked="true" strokeweight="1pt" strokecolor="#0099d8">
              <v:path arrowok="t"/>
              <v:stroke dashstyle="solid"/>
            </v:shape>
            <v:shape style="position:absolute;left:1970;top:-1536;width:950;height:273" type="#_x0000_t202" filled="false" stroked="false">
              <v:textbox inset="0,0,0,0">
                <w:txbxContent>
                  <w:p>
                    <w:pPr>
                      <w:spacing w:line="242" w:lineRule="auto" w:before="0"/>
                      <w:ind w:left="30" w:right="0" w:hanging="30"/>
                      <w:jc w:val="left"/>
                      <w:rPr>
                        <w:sz w:val="12"/>
                      </w:rPr>
                    </w:pPr>
                    <w:r>
                      <w:rPr>
                        <w:sz w:val="12"/>
                      </w:rPr>
                      <w:t>Domestic company acquisitions (a)</w:t>
                    </w:r>
                  </w:p>
                </w:txbxContent>
              </v:textbox>
              <w10:wrap type="none"/>
            </v:shape>
            <v:shape style="position:absolute;left:4210;top:-1456;width:140;height:1793" type="#_x0000_t202" filled="false" stroked="false">
              <v:textbox inset="0,0,0,0">
                <w:txbxContent>
                  <w:p>
                    <w:pPr>
                      <w:spacing w:line="133" w:lineRule="exact" w:before="0"/>
                      <w:ind w:left="0" w:right="0" w:firstLine="0"/>
                      <w:jc w:val="left"/>
                      <w:rPr>
                        <w:sz w:val="12"/>
                      </w:rPr>
                    </w:pPr>
                    <w:r>
                      <w:rPr>
                        <w:sz w:val="12"/>
                      </w:rPr>
                      <w:t>12</w:t>
                    </w:r>
                  </w:p>
                  <w:p>
                    <w:pPr>
                      <w:spacing w:line="240" w:lineRule="auto" w:before="6"/>
                      <w:rPr>
                        <w:sz w:val="17"/>
                      </w:rPr>
                    </w:pPr>
                  </w:p>
                  <w:p>
                    <w:pPr>
                      <w:spacing w:before="0"/>
                      <w:ind w:left="0" w:right="0" w:firstLine="0"/>
                      <w:jc w:val="left"/>
                      <w:rPr>
                        <w:sz w:val="12"/>
                      </w:rPr>
                    </w:pPr>
                    <w:r>
                      <w:rPr>
                        <w:sz w:val="12"/>
                      </w:rPr>
                      <w:t>10</w:t>
                    </w:r>
                  </w:p>
                  <w:p>
                    <w:pPr>
                      <w:spacing w:line="240" w:lineRule="auto" w:before="10"/>
                      <w:rPr>
                        <w:sz w:val="15"/>
                      </w:rPr>
                    </w:pPr>
                  </w:p>
                  <w:p>
                    <w:pPr>
                      <w:spacing w:before="0"/>
                      <w:ind w:left="60" w:right="0" w:firstLine="0"/>
                      <w:jc w:val="left"/>
                      <w:rPr>
                        <w:sz w:val="12"/>
                      </w:rPr>
                    </w:pPr>
                    <w:r>
                      <w:rPr>
                        <w:sz w:val="12"/>
                      </w:rPr>
                      <w:t>8</w:t>
                    </w:r>
                  </w:p>
                  <w:p>
                    <w:pPr>
                      <w:spacing w:line="240" w:lineRule="auto" w:before="6"/>
                      <w:rPr>
                        <w:sz w:val="17"/>
                      </w:rPr>
                    </w:pPr>
                  </w:p>
                  <w:p>
                    <w:pPr>
                      <w:spacing w:before="0"/>
                      <w:ind w:left="60" w:right="0" w:firstLine="0"/>
                      <w:jc w:val="left"/>
                      <w:rPr>
                        <w:sz w:val="12"/>
                      </w:rPr>
                    </w:pPr>
                    <w:r>
                      <w:rPr>
                        <w:sz w:val="12"/>
                      </w:rPr>
                      <w:t>6</w:t>
                    </w:r>
                  </w:p>
                  <w:p>
                    <w:pPr>
                      <w:spacing w:line="240" w:lineRule="auto" w:before="7"/>
                      <w:rPr>
                        <w:sz w:val="17"/>
                      </w:rPr>
                    </w:pPr>
                  </w:p>
                  <w:p>
                    <w:pPr>
                      <w:spacing w:before="0"/>
                      <w:ind w:left="60" w:right="0" w:firstLine="0"/>
                      <w:jc w:val="left"/>
                      <w:rPr>
                        <w:sz w:val="12"/>
                      </w:rPr>
                    </w:pPr>
                    <w:r>
                      <w:rPr>
                        <w:sz w:val="12"/>
                      </w:rPr>
                      <w:t>4</w:t>
                    </w:r>
                  </w:p>
                  <w:p>
                    <w:pPr>
                      <w:spacing w:line="240" w:lineRule="auto" w:before="9"/>
                      <w:rPr>
                        <w:sz w:val="15"/>
                      </w:rPr>
                    </w:pPr>
                  </w:p>
                  <w:p>
                    <w:pPr>
                      <w:spacing w:before="0"/>
                      <w:ind w:left="60" w:right="0" w:firstLine="0"/>
                      <w:jc w:val="left"/>
                      <w:rPr>
                        <w:sz w:val="12"/>
                      </w:rPr>
                    </w:pPr>
                    <w:r>
                      <w:rPr>
                        <w:sz w:val="12"/>
                      </w:rPr>
                      <w:t>2</w:t>
                    </w:r>
                  </w:p>
                </w:txbxContent>
              </v:textbox>
              <w10:wrap type="none"/>
            </v:shape>
            <v:shape style="position:absolute;left:870;top:388;width:3480;height:458" type="#_x0000_t202" filled="false" stroked="false">
              <v:textbox inset="0,0,0,0">
                <w:txbxContent>
                  <w:p>
                    <w:pPr>
                      <w:tabs>
                        <w:tab w:pos="3139" w:val="left" w:leader="none"/>
                      </w:tabs>
                      <w:spacing w:line="164" w:lineRule="exact" w:before="0"/>
                      <w:ind w:left="0" w:right="84" w:firstLine="0"/>
                      <w:jc w:val="right"/>
                      <w:rPr>
                        <w:sz w:val="16"/>
                      </w:rPr>
                    </w:pPr>
                    <w:r>
                      <w:rPr>
                        <w:sz w:val="16"/>
                        <w:u w:val="single"/>
                      </w:rPr>
                      <w:t> </w:t>
                      <w:tab/>
                    </w:r>
                    <w:r>
                      <w:rPr>
                        <w:sz w:val="16"/>
                      </w:rPr>
                      <w:t> </w:t>
                    </w:r>
                    <w:r>
                      <w:rPr>
                        <w:spacing w:val="-20"/>
                        <w:sz w:val="16"/>
                      </w:rPr>
                      <w:t> </w:t>
                    </w:r>
                    <w:r>
                      <w:rPr>
                        <w:sz w:val="16"/>
                        <w:u w:val="single"/>
                      </w:rPr>
                      <w:t> </w:t>
                    </w:r>
                    <w:r>
                      <w:rPr>
                        <w:spacing w:val="20"/>
                        <w:sz w:val="16"/>
                        <w:u w:val="single"/>
                      </w:rPr>
                      <w:t> </w:t>
                    </w:r>
                    <w:r>
                      <w:rPr>
                        <w:spacing w:val="-14"/>
                        <w:sz w:val="16"/>
                      </w:rPr>
                      <w:t>+</w:t>
                    </w:r>
                  </w:p>
                  <w:p>
                    <w:pPr>
                      <w:spacing w:line="117" w:lineRule="exact" w:before="0"/>
                      <w:ind w:left="0" w:right="18" w:firstLine="0"/>
                      <w:jc w:val="right"/>
                      <w:rPr>
                        <w:sz w:val="12"/>
                      </w:rPr>
                    </w:pPr>
                    <w:r>
                      <w:rPr>
                        <w:sz w:val="12"/>
                      </w:rPr>
                      <w:t>0</w:t>
                    </w:r>
                  </w:p>
                  <w:p>
                    <w:pPr>
                      <w:spacing w:line="176" w:lineRule="exact" w:before="0"/>
                      <w:ind w:left="0" w:right="94" w:firstLine="0"/>
                      <w:jc w:val="right"/>
                      <w:rPr>
                        <w:sz w:val="16"/>
                      </w:rPr>
                    </w:pPr>
                    <w:r>
                      <w:rPr>
                        <w:sz w:val="16"/>
                      </w:rPr>
                      <w:t>_</w:t>
                    </w:r>
                  </w:p>
                </w:txbxContent>
              </v:textbox>
              <w10:wrap type="none"/>
            </v:shape>
            <w10:wrap type="none"/>
          </v:group>
        </w:pict>
      </w:r>
      <w:r>
        <w:rPr>
          <w:sz w:val="12"/>
        </w:rPr>
        <w:t>ICCs’ M4 lending</w:t>
        <w:tab/>
      </w:r>
      <w:r>
        <w:rPr>
          <w:position w:val="8"/>
          <w:sz w:val="12"/>
        </w:rPr>
        <w:t>2</w:t>
      </w:r>
    </w:p>
    <w:p>
      <w:pPr>
        <w:spacing w:line="119" w:lineRule="exact" w:before="122"/>
        <w:ind w:left="3650" w:right="0" w:firstLine="0"/>
        <w:jc w:val="left"/>
        <w:rPr>
          <w:sz w:val="12"/>
        </w:rPr>
      </w:pPr>
      <w:r>
        <w:rPr/>
        <w:pict>
          <v:shape style="position:absolute;margin-left:43.5pt;margin-top:6.201562pt;width:165pt;height:4pt;mso-position-horizontal-relative:page;mso-position-vertical-relative:paragraph;z-index:15760384" coordorigin="870,124" coordsize="3300,80" path="m970,204l870,204m1010,204l1010,124m4170,204l4070,204m3890,204l3890,124m3630,204l3630,124m3370,204l3370,124m3110,204l3110,124m2850,204l2850,124m2570,204l2570,124m2310,204l2310,124m2050,204l2050,124m1790,204l1790,124m1530,204l1530,124m1270,204l1270,124m1010,204l4010,204m1075,204l1075,164m1140,204l1140,164m1205,204l1205,164m1335,204l1335,164m1400,204l1400,164m1465,204l1465,164m1595,204l1595,164m1660,204l1660,164m1725,204l1725,164m1855,204l1855,164m1920,204l1920,164m1985,204l1985,164m2115,204l2115,164m2180,204l2180,164m2245,204l2245,164m2375,204l2375,164m2440,204l2440,164m2505,204l2505,164m2640,204l2640,164m2710,204l2710,164m2780,204l2780,164m2915,204l2915,164m2980,204l2980,164m3045,204l3045,164m3175,204l3175,164m3240,204l3240,164m3305,204l3305,164m3435,204l3435,164m3500,204l3500,164m3565,204l3565,164m3695,204l3695,164m3760,204l3760,164m3825,204l3825,164m3950,204l3950,164m4010,204l4010,164e" filled="false" stroked="true" strokeweight=".5pt" strokecolor="#000000">
            <v:path arrowok="t"/>
            <v:stroke dashstyle="solid"/>
            <w10:wrap type="none"/>
          </v:shape>
        </w:pict>
      </w:r>
      <w:r>
        <w:rPr>
          <w:sz w:val="12"/>
        </w:rPr>
        <w:t>4</w:t>
      </w:r>
    </w:p>
    <w:p>
      <w:pPr>
        <w:spacing w:line="119" w:lineRule="exact" w:before="0"/>
        <w:ind w:left="400" w:right="0" w:firstLine="0"/>
        <w:jc w:val="left"/>
        <w:rPr>
          <w:sz w:val="12"/>
        </w:rPr>
      </w:pPr>
      <w:r>
        <w:rPr>
          <w:sz w:val="12"/>
        </w:rPr>
        <w:t>1986 87 88 89 90 91 92 93 94 95 96 97</w:t>
      </w:r>
    </w:p>
    <w:p>
      <w:pPr>
        <w:pStyle w:val="BodyText"/>
        <w:spacing w:before="9"/>
        <w:rPr>
          <w:sz w:val="11"/>
        </w:rPr>
      </w:pPr>
    </w:p>
    <w:p>
      <w:pPr>
        <w:spacing w:before="0"/>
        <w:ind w:left="212" w:right="0" w:firstLine="0"/>
        <w:jc w:val="left"/>
        <w:rPr>
          <w:sz w:val="12"/>
        </w:rPr>
      </w:pPr>
      <w:r>
        <w:rPr>
          <w:color w:val="231F20"/>
          <w:sz w:val="12"/>
        </w:rPr>
        <w:t>Sources: Bank of England and ONS.</w:t>
      </w:r>
    </w:p>
    <w:p>
      <w:pPr>
        <w:spacing w:before="102"/>
        <w:ind w:left="212" w:right="0" w:firstLine="0"/>
        <w:jc w:val="left"/>
        <w:rPr>
          <w:sz w:val="12"/>
        </w:rPr>
      </w:pPr>
      <w:r>
        <w:rPr>
          <w:color w:val="231F20"/>
          <w:sz w:val="12"/>
        </w:rPr>
        <w:t>(a) Total expenditure on acquisitions in the United Kingdom by UK companies.</w:t>
      </w:r>
    </w:p>
    <w:p>
      <w:pPr>
        <w:pStyle w:val="Heading5"/>
        <w:spacing w:line="242" w:lineRule="auto" w:before="90"/>
        <w:ind w:left="212" w:right="180"/>
      </w:pPr>
      <w:r>
        <w:rPr/>
        <w:br w:type="column"/>
      </w:r>
      <w:r>
        <w:rPr>
          <w:color w:val="231F20"/>
        </w:rPr>
        <w:t>The availability of credit to ICCs also depends on firm size. Large firms are able to raise funds through bond and equity issues, whereas smaller firms are </w:t>
      </w:r>
      <w:r>
        <w:rPr>
          <w:color w:val="231F20"/>
          <w:spacing w:val="-2"/>
        </w:rPr>
        <w:t>traditionally </w:t>
      </w:r>
      <w:r>
        <w:rPr>
          <w:color w:val="231F20"/>
        </w:rPr>
        <w:t>more reliant on bank finance.  External finance sought by both large and small firms appears to </w:t>
      </w:r>
      <w:r>
        <w:rPr>
          <w:color w:val="231F20"/>
          <w:spacing w:val="-3"/>
        </w:rPr>
        <w:t>have </w:t>
      </w:r>
      <w:r>
        <w:rPr>
          <w:color w:val="231F20"/>
        </w:rPr>
        <w:t>lessened: ICCs’ net sterling capital issues weakened in 1997, down from a monthly average of around £1 billion in 1996 to £0.7 billion in 1997. And though ICCs’ net foreign currency issues increased during the first three quarters of 1997, they do not represent a large proportion of the external finance available to larger firms. Though bank lending to smaller firms was flat during the first half of 1997, it has slowed since</w:t>
      </w:r>
      <w:r>
        <w:rPr>
          <w:color w:val="231F20"/>
          <w:spacing w:val="-8"/>
        </w:rPr>
        <w:t> </w:t>
      </w:r>
      <w:r>
        <w:rPr>
          <w:color w:val="231F20"/>
        </w:rPr>
        <w:t>1993.</w:t>
      </w:r>
    </w:p>
    <w:p>
      <w:pPr>
        <w:spacing w:before="17"/>
        <w:ind w:left="212" w:right="0" w:firstLine="0"/>
        <w:jc w:val="left"/>
        <w:rPr>
          <w:sz w:val="24"/>
        </w:rPr>
      </w:pPr>
      <w:r>
        <w:rPr>
          <w:color w:val="231F20"/>
          <w:sz w:val="24"/>
        </w:rPr>
        <w:t>This trend may reflect a switch away from bank finance</w:t>
      </w:r>
    </w:p>
    <w:p>
      <w:pPr>
        <w:spacing w:after="0"/>
        <w:jc w:val="left"/>
        <w:rPr>
          <w:sz w:val="24"/>
        </w:rPr>
        <w:sectPr>
          <w:type w:val="continuous"/>
          <w:pgSz w:w="11880" w:h="16840"/>
          <w:pgMar w:top="1200" w:bottom="280" w:left="620" w:right="620"/>
          <w:cols w:num="2" w:equalWidth="0">
            <w:col w:w="4163" w:space="625"/>
            <w:col w:w="5852"/>
          </w:cols>
        </w:sectPr>
      </w:pPr>
    </w:p>
    <w:p>
      <w:pPr>
        <w:pStyle w:val="BodyText"/>
        <w:rPr>
          <w:sz w:val="20"/>
        </w:rPr>
      </w:pPr>
    </w:p>
    <w:p>
      <w:pPr>
        <w:spacing w:after="0"/>
        <w:rPr>
          <w:sz w:val="20"/>
        </w:rPr>
        <w:sectPr>
          <w:pgSz w:w="11880" w:h="16840"/>
          <w:pgMar w:header="586" w:footer="597" w:top="780" w:bottom="780" w:left="620" w:right="620"/>
        </w:sectPr>
      </w:pPr>
    </w:p>
    <w:p>
      <w:pPr>
        <w:pStyle w:val="BodyText"/>
        <w:spacing w:before="6"/>
        <w:rPr>
          <w:sz w:val="20"/>
        </w:rPr>
      </w:pPr>
    </w:p>
    <w:p>
      <w:pPr>
        <w:pStyle w:val="Heading9"/>
        <w:spacing w:before="0"/>
        <w:ind w:left="165"/>
      </w:pPr>
      <w:bookmarkStart w:name="Interest rates and exchange rates" w:id="20"/>
      <w:bookmarkEnd w:id="20"/>
      <w:r>
        <w:rPr>
          <w:b w:val="0"/>
        </w:rPr>
      </w:r>
      <w:bookmarkStart w:name="Short-term interest rates" w:id="21"/>
      <w:bookmarkEnd w:id="21"/>
      <w:r>
        <w:rPr>
          <w:b w:val="0"/>
        </w:rPr>
      </w:r>
      <w:bookmarkStart w:name="_bookmark5" w:id="22"/>
      <w:bookmarkEnd w:id="22"/>
      <w:r>
        <w:rPr>
          <w:b w:val="0"/>
        </w:rPr>
      </w:r>
      <w:r>
        <w:rPr>
          <w:color w:val="0093C1"/>
        </w:rPr>
        <w:t>Chart 1.7</w:t>
      </w:r>
    </w:p>
    <w:p>
      <w:pPr>
        <w:spacing w:before="10"/>
        <w:ind w:left="165" w:right="0" w:firstLine="0"/>
        <w:jc w:val="left"/>
        <w:rPr>
          <w:b/>
          <w:sz w:val="20"/>
        </w:rPr>
      </w:pPr>
      <w:r>
        <w:rPr>
          <w:b/>
          <w:color w:val="0093C1"/>
          <w:sz w:val="20"/>
        </w:rPr>
        <w:t>Barclays branch managers survey results</w:t>
      </w:r>
    </w:p>
    <w:p>
      <w:pPr>
        <w:spacing w:line="124" w:lineRule="exact" w:before="175"/>
        <w:ind w:left="2650" w:right="0" w:firstLine="0"/>
        <w:jc w:val="left"/>
        <w:rPr>
          <w:sz w:val="12"/>
        </w:rPr>
      </w:pPr>
      <w:r>
        <w:rPr>
          <w:sz w:val="12"/>
        </w:rPr>
        <w:t>Percentage balance</w:t>
      </w:r>
    </w:p>
    <w:p>
      <w:pPr>
        <w:spacing w:line="124" w:lineRule="exact" w:before="0"/>
        <w:ind w:left="3628" w:right="0" w:firstLine="0"/>
        <w:jc w:val="left"/>
        <w:rPr>
          <w:sz w:val="12"/>
        </w:rPr>
      </w:pPr>
      <w:r>
        <w:rPr/>
        <w:pict>
          <v:group style="position:absolute;margin-left:42.779999pt;margin-top:2.151855pt;width:166pt;height:133.050pt;mso-position-horizontal-relative:page;mso-position-vertical-relative:paragraph;z-index:15762944" coordorigin="856,43" coordsize="3320,2661">
            <v:shape style="position:absolute;left:855;top:908;width:3160;height:1720" coordorigin="856,908" coordsize="3160,1720" path="m996,2188l4016,2188m956,2188l856,2188m956,2628l856,2628m956,1768l856,1768m956,1328l856,1328m956,908l856,908e" filled="false" stroked="true" strokeweight=".5pt" strokecolor="#000000">
              <v:path arrowok="t"/>
              <v:stroke dashstyle="solid"/>
            </v:shape>
            <v:shape style="position:absolute;left:1015;top:868;width:3000;height:1100" coordorigin="1016,868" coordsize="3000,1100" path="m1016,1168l1076,948,1136,1068,1196,908,1256,988,1316,1028,1396,988,1456,1368,1516,1128,1576,1288,1636,1128,1716,1068,1776,988,1836,1208,1896,1168,1956,1248,2036,1588,2096,1768,2156,1688,2216,1888,2276,1628,2356,1968,2416,1948,2476,1468,2536,1688,2596,1248,2676,1208,2736,1428,2796,1588,2856,1428,2936,1468,2996,1628,3056,1468,3116,1288,3176,1328,3256,988,3316,988,3376,1068,3436,988,3496,1208,3576,1168,3636,908,3696,868,3756,1208,3816,1368,3896,1068,3956,1248,4016,1288e" filled="false" stroked="true" strokeweight="1pt" strokecolor="#df6f1d">
              <v:path arrowok="t"/>
              <v:stroke dashstyle="solid"/>
            </v:shape>
            <v:shape style="position:absolute;left:855;top:48;width:100;height:420" coordorigin="856,48" coordsize="100,420" path="m956,468l856,468m956,48l856,48e" filled="false" stroked="true" strokeweight=".5pt" strokecolor="#000000">
              <v:path arrowok="t"/>
              <v:stroke dashstyle="solid"/>
            </v:shape>
            <v:shape style="position:absolute;left:1015;top:128;width:3000;height:2540" coordorigin="1016,128" coordsize="3000,2540" path="m1016,1208l1076,1368,1136,1328,1256,1168,1316,948,1396,1328,1456,1468,1516,1368,1576,1368,1636,1468,1716,1808,1776,1328,1836,1688,1896,1688,1956,1768,2036,1968,2096,1968,2156,2228,2216,2328,2276,2668,2356,2328,2416,2288,2476,2448,2536,2148,2596,1468,2676,1288,2736,1288,2796,1508,2856,1328,2936,1328,2996,1508,3116,1068,3176,308,3256,808,3316,768,3376,528,3436,428,3496,428,3576,128,3636,208,3696,808,3756,988,3816,1128,3896,1128,3956,988,4016,1328e" filled="false" stroked="true" strokeweight="1pt" strokecolor="#008256">
              <v:path arrowok="t"/>
              <v:stroke dashstyle="solid"/>
            </v:shape>
            <v:shape style="position:absolute;left:4075;top:48;width:100;height:2580" coordorigin="4076,48" coordsize="100,2580" path="m4176,2628l4076,2628m4176,2188l4076,2188m4176,1768l4076,1768m4176,1328l4076,1328m4176,908l4076,908m4176,468l4076,468m4176,48l4076,48e" filled="false" stroked="true" strokeweight=".5pt" strokecolor="#000000">
              <v:path arrowok="t"/>
              <v:stroke dashstyle="solid"/>
            </v:shape>
            <v:shape style="position:absolute;left:1745;top:831;width:980;height:253" type="#_x0000_t202" filled="false" stroked="false">
              <v:textbox inset="0,0,0,0">
                <w:txbxContent>
                  <w:p>
                    <w:pPr>
                      <w:spacing w:line="208" w:lineRule="auto" w:before="9"/>
                      <w:ind w:left="80" w:right="0" w:hanging="80"/>
                      <w:jc w:val="left"/>
                      <w:rPr>
                        <w:sz w:val="12"/>
                      </w:rPr>
                    </w:pPr>
                    <w:r>
                      <w:rPr>
                        <w:sz w:val="12"/>
                      </w:rPr>
                      <w:t>Facilities sought for working capital</w:t>
                    </w:r>
                  </w:p>
                </w:txbxContent>
              </v:textbox>
              <w10:wrap type="none"/>
            </v:shape>
            <v:shape style="position:absolute;left:2345;top:2471;width:1017;height:233" type="#_x0000_t202" filled="false" stroked="false">
              <v:textbox inset="0,0,0,0">
                <w:txbxContent>
                  <w:p>
                    <w:pPr>
                      <w:spacing w:line="172" w:lineRule="auto" w:before="26"/>
                      <w:ind w:left="80" w:right="0" w:hanging="80"/>
                      <w:jc w:val="left"/>
                      <w:rPr>
                        <w:sz w:val="12"/>
                      </w:rPr>
                    </w:pPr>
                    <w:r>
                      <w:rPr>
                        <w:sz w:val="12"/>
                      </w:rPr>
                      <w:t>Facilities sought for capital expenditure</w:t>
                    </w:r>
                  </w:p>
                </w:txbxContent>
              </v:textbox>
              <w10:wrap type="none"/>
            </v:shape>
            <w10:wrap type="none"/>
          </v:group>
        </w:pict>
      </w:r>
      <w:r>
        <w:rPr>
          <w:sz w:val="12"/>
        </w:rPr>
        <w:t>50</w:t>
      </w:r>
    </w:p>
    <w:p>
      <w:pPr>
        <w:pStyle w:val="BodyText"/>
        <w:rPr>
          <w:sz w:val="12"/>
        </w:rPr>
      </w:pPr>
    </w:p>
    <w:p>
      <w:pPr>
        <w:pStyle w:val="BodyText"/>
        <w:spacing w:before="6"/>
        <w:rPr>
          <w:sz w:val="12"/>
        </w:rPr>
      </w:pPr>
    </w:p>
    <w:p>
      <w:pPr>
        <w:spacing w:before="0"/>
        <w:ind w:left="0" w:right="201" w:firstLine="0"/>
        <w:jc w:val="right"/>
        <w:rPr>
          <w:sz w:val="12"/>
        </w:rPr>
      </w:pPr>
      <w:r>
        <w:rPr>
          <w:sz w:val="12"/>
        </w:rPr>
        <w:t>40</w:t>
      </w:r>
    </w:p>
    <w:p>
      <w:pPr>
        <w:pStyle w:val="BodyText"/>
        <w:rPr>
          <w:sz w:val="12"/>
        </w:rPr>
      </w:pPr>
    </w:p>
    <w:p>
      <w:pPr>
        <w:pStyle w:val="BodyText"/>
        <w:spacing w:before="3"/>
        <w:rPr>
          <w:sz w:val="14"/>
        </w:rPr>
      </w:pPr>
    </w:p>
    <w:p>
      <w:pPr>
        <w:spacing w:before="0"/>
        <w:ind w:left="0" w:right="201" w:firstLine="0"/>
        <w:jc w:val="right"/>
        <w:rPr>
          <w:sz w:val="12"/>
        </w:rPr>
      </w:pPr>
      <w:r>
        <w:rPr>
          <w:sz w:val="12"/>
        </w:rPr>
        <w:t>30</w:t>
      </w:r>
    </w:p>
    <w:p>
      <w:pPr>
        <w:pStyle w:val="BodyText"/>
        <w:rPr>
          <w:sz w:val="12"/>
        </w:rPr>
      </w:pPr>
    </w:p>
    <w:p>
      <w:pPr>
        <w:pStyle w:val="BodyText"/>
        <w:spacing w:before="6"/>
        <w:rPr>
          <w:sz w:val="12"/>
        </w:rPr>
      </w:pPr>
    </w:p>
    <w:p>
      <w:pPr>
        <w:spacing w:before="0"/>
        <w:ind w:left="0" w:right="201" w:firstLine="0"/>
        <w:jc w:val="right"/>
        <w:rPr>
          <w:sz w:val="12"/>
        </w:rPr>
      </w:pPr>
      <w:r>
        <w:rPr>
          <w:sz w:val="12"/>
        </w:rPr>
        <w:t>20</w:t>
      </w:r>
    </w:p>
    <w:p>
      <w:pPr>
        <w:pStyle w:val="BodyText"/>
        <w:rPr>
          <w:sz w:val="12"/>
        </w:rPr>
      </w:pPr>
    </w:p>
    <w:p>
      <w:pPr>
        <w:pStyle w:val="BodyText"/>
        <w:spacing w:before="3"/>
        <w:rPr>
          <w:sz w:val="14"/>
        </w:rPr>
      </w:pPr>
    </w:p>
    <w:p>
      <w:pPr>
        <w:spacing w:before="0"/>
        <w:ind w:left="0" w:right="201" w:firstLine="0"/>
        <w:jc w:val="right"/>
        <w:rPr>
          <w:sz w:val="12"/>
        </w:rPr>
      </w:pPr>
      <w:r>
        <w:rPr>
          <w:sz w:val="12"/>
        </w:rPr>
        <w:t>10</w:t>
      </w:r>
    </w:p>
    <w:p>
      <w:pPr>
        <w:spacing w:before="25"/>
        <w:ind w:left="3545" w:right="0" w:firstLine="0"/>
        <w:jc w:val="left"/>
        <w:rPr>
          <w:sz w:val="16"/>
        </w:rPr>
      </w:pPr>
      <w:r>
        <w:rPr>
          <w:sz w:val="16"/>
        </w:rPr>
        <w:t>+</w:t>
      </w:r>
    </w:p>
    <w:p>
      <w:pPr>
        <w:spacing w:line="110" w:lineRule="exact" w:before="74"/>
        <w:ind w:left="3688" w:right="0" w:firstLine="0"/>
        <w:jc w:val="left"/>
        <w:rPr>
          <w:sz w:val="12"/>
        </w:rPr>
      </w:pPr>
      <w:r>
        <w:rPr>
          <w:sz w:val="12"/>
        </w:rPr>
        <w:t>0</w:t>
      </w:r>
    </w:p>
    <w:p>
      <w:pPr>
        <w:spacing w:line="156" w:lineRule="exact" w:before="0"/>
        <w:ind w:left="3545" w:right="0" w:firstLine="0"/>
        <w:jc w:val="left"/>
        <w:rPr>
          <w:sz w:val="16"/>
        </w:rPr>
      </w:pPr>
      <w:r>
        <w:rPr>
          <w:sz w:val="16"/>
        </w:rPr>
        <w:t>_</w:t>
      </w:r>
    </w:p>
    <w:p>
      <w:pPr>
        <w:pStyle w:val="BodyText"/>
        <w:rPr>
          <w:sz w:val="15"/>
        </w:rPr>
      </w:pPr>
    </w:p>
    <w:p>
      <w:pPr>
        <w:spacing w:before="0"/>
        <w:ind w:left="0" w:right="201" w:firstLine="0"/>
        <w:jc w:val="right"/>
        <w:rPr>
          <w:sz w:val="12"/>
        </w:rPr>
      </w:pPr>
      <w:r>
        <w:rPr>
          <w:sz w:val="12"/>
        </w:rPr>
        <w:t>10</w:t>
      </w:r>
    </w:p>
    <w:p>
      <w:pPr>
        <w:pStyle w:val="BodyText"/>
        <w:rPr>
          <w:sz w:val="12"/>
        </w:rPr>
      </w:pPr>
    </w:p>
    <w:p>
      <w:pPr>
        <w:pStyle w:val="BodyText"/>
        <w:spacing w:before="6"/>
        <w:rPr>
          <w:sz w:val="12"/>
        </w:rPr>
      </w:pPr>
    </w:p>
    <w:p>
      <w:pPr>
        <w:tabs>
          <w:tab w:pos="1465" w:val="left" w:leader="none"/>
          <w:tab w:pos="2245" w:val="left" w:leader="none"/>
          <w:tab w:pos="2985" w:val="left" w:leader="none"/>
          <w:tab w:pos="3628" w:val="left" w:leader="none"/>
        </w:tabs>
        <w:spacing w:before="0"/>
        <w:ind w:left="645" w:right="0" w:firstLine="0"/>
        <w:jc w:val="left"/>
        <w:rPr>
          <w:sz w:val="12"/>
        </w:rPr>
      </w:pPr>
      <w:r>
        <w:rPr/>
        <w:pict>
          <v:shape style="position:absolute;margin-left:42.779999pt;margin-top:-1.898621pt;width:166pt;height:5pt;mso-position-horizontal-relative:page;mso-position-vertical-relative:paragraph;z-index:-20328448" coordorigin="856,-38" coordsize="3320,100" path="m3316,62l3316,-38m2536,62l2536,-38m1776,62l1776,-38m996,62l996,-38m956,62l856,62m4176,62l4076,62m996,62l4016,62m1061,62l1061,22m1126,62l1126,22m1191,62l1191,22m1256,62l1256,22m1321,62l1321,22m1386,62l1386,22m1451,62l1451,22m1516,62l1516,22m1581,62l1581,22m1646,62l1646,22m1711,62l1711,22m1839,62l1839,22m1902,62l1902,22m1966,62l1966,22m2029,62l2029,22m2092,62l2092,22m2156,62l2156,22m2219,62l2219,22m2282,62l2282,22m2346,62l2346,22m2409,62l2409,22m2472,62l2472,22m2601,62l2601,22m2666,62l2666,22m2731,62l2731,22m2796,62l2796,22m2861,62l2861,22m2926,62l2926,22m2991,62l2991,22m3056,62l3056,22m3121,62l3121,22m3186,62l3186,22m3251,62l3251,22m3379,62l3379,22m3443,62l3443,22m3506,62l3506,22m3570,62l3570,22m3634,62l3634,22m3697,62l3697,22m3761,62l3761,22m3825,62l3825,22m3888,62l3888,22m3952,62l3952,22m4016,62l4016,22e" filled="false" stroked="true" strokeweight=".5pt" strokecolor="#000000">
            <v:path arrowok="t"/>
            <v:stroke dashstyle="solid"/>
            <w10:wrap type="none"/>
          </v:shape>
        </w:pict>
      </w:r>
      <w:r>
        <w:rPr>
          <w:sz w:val="12"/>
        </w:rPr>
        <w:t>1994</w:t>
        <w:tab/>
        <w:t>95</w:t>
        <w:tab/>
        <w:t>96</w:t>
        <w:tab/>
        <w:t>97</w:t>
        <w:tab/>
      </w:r>
      <w:r>
        <w:rPr>
          <w:position w:val="8"/>
          <w:sz w:val="12"/>
        </w:rPr>
        <w:t>20</w:t>
      </w:r>
    </w:p>
    <w:p>
      <w:pPr>
        <w:spacing w:before="126"/>
        <w:ind w:left="195" w:right="0" w:firstLine="0"/>
        <w:jc w:val="left"/>
        <w:rPr>
          <w:sz w:val="12"/>
        </w:rPr>
      </w:pPr>
      <w:r>
        <w:rPr>
          <w:color w:val="231F20"/>
          <w:sz w:val="12"/>
        </w:rPr>
        <w:t>Source: Barclays Bank.</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pStyle w:val="Heading9"/>
        <w:spacing w:before="0"/>
        <w:ind w:left="175"/>
      </w:pPr>
      <w:r>
        <w:rPr>
          <w:color w:val="0093C1"/>
        </w:rPr>
        <w:t>Chart 1.8</w:t>
      </w:r>
    </w:p>
    <w:p>
      <w:pPr>
        <w:spacing w:line="249" w:lineRule="auto" w:before="10"/>
        <w:ind w:left="175" w:right="0" w:firstLine="0"/>
        <w:jc w:val="left"/>
        <w:rPr>
          <w:b/>
          <w:sz w:val="20"/>
        </w:rPr>
      </w:pPr>
      <w:r>
        <w:rPr>
          <w:b/>
          <w:color w:val="0093C1"/>
          <w:sz w:val="20"/>
        </w:rPr>
        <w:t>Three-month sterling interest rates</w:t>
      </w:r>
      <w:r>
        <w:rPr>
          <w:color w:val="231F20"/>
          <w:position w:val="4"/>
          <w:sz w:val="12"/>
        </w:rPr>
        <w:t>(a) </w:t>
      </w:r>
      <w:r>
        <w:rPr>
          <w:b/>
          <w:color w:val="0093C1"/>
          <w:sz w:val="20"/>
        </w:rPr>
        <w:t>on </w:t>
      </w:r>
      <w:r>
        <w:rPr>
          <w:b/>
          <w:color w:val="0093C1"/>
          <w:spacing w:val="-9"/>
          <w:sz w:val="20"/>
        </w:rPr>
        <w:t>UK </w:t>
      </w:r>
      <w:r>
        <w:rPr>
          <w:b/>
          <w:color w:val="0093C1"/>
          <w:sz w:val="20"/>
        </w:rPr>
        <w:t>government and commercial bank debt</w:t>
      </w:r>
    </w:p>
    <w:p>
      <w:pPr>
        <w:spacing w:line="129" w:lineRule="exact" w:before="157"/>
        <w:ind w:left="3125" w:right="0" w:firstLine="0"/>
        <w:jc w:val="left"/>
        <w:rPr>
          <w:sz w:val="12"/>
        </w:rPr>
      </w:pPr>
      <w:r>
        <w:rPr>
          <w:sz w:val="12"/>
        </w:rPr>
        <w:t>Per cent</w:t>
      </w:r>
    </w:p>
    <w:p>
      <w:pPr>
        <w:spacing w:line="129" w:lineRule="exact" w:before="0"/>
        <w:ind w:left="3565" w:right="0" w:firstLine="0"/>
        <w:jc w:val="left"/>
        <w:rPr>
          <w:sz w:val="12"/>
        </w:rPr>
      </w:pPr>
      <w:r>
        <w:rPr/>
        <w:pict>
          <v:line style="position:absolute;mso-position-horizontal-relative:page;mso-position-vertical-relative:paragraph;z-index:15765504" from="46.779999pt,2.651962pt" to="42.779999pt,2.651962pt" stroked="true" strokeweight=".5pt" strokecolor="#000000">
            <v:stroke dashstyle="solid"/>
            <w10:wrap type="none"/>
          </v:line>
        </w:pict>
      </w:r>
      <w:r>
        <w:rPr/>
        <w:pict>
          <v:line style="position:absolute;mso-position-horizontal-relative:page;mso-position-vertical-relative:paragraph;z-index:15766016" from="207.779999pt,2.651962pt" to="202.779999pt,2.651962pt" stroked="true" strokeweight=".5pt" strokecolor="#000000">
            <v:stroke dashstyle="solid"/>
            <w10:wrap type="none"/>
          </v:line>
        </w:pict>
      </w:r>
      <w:r>
        <w:rPr>
          <w:sz w:val="12"/>
        </w:rPr>
        <w:t>7.8</w:t>
      </w:r>
    </w:p>
    <w:p>
      <w:pPr>
        <w:pStyle w:val="BodyText"/>
        <w:rPr>
          <w:sz w:val="12"/>
        </w:rPr>
      </w:pPr>
    </w:p>
    <w:p>
      <w:pPr>
        <w:spacing w:before="104"/>
        <w:ind w:left="0" w:right="235" w:firstLine="0"/>
        <w:jc w:val="right"/>
        <w:rPr>
          <w:sz w:val="12"/>
        </w:rPr>
      </w:pPr>
      <w:r>
        <w:rPr/>
        <w:pict>
          <v:group style="position:absolute;margin-left:42.779999pt;margin-top:3.801563pt;width:165pt;height:122pt;mso-position-horizontal-relative:page;mso-position-vertical-relative:paragraph;z-index:15764992" coordorigin="856,76" coordsize="3300,2440">
            <v:shape style="position:absolute;left:855;top:1286;width:80;height:1140" coordorigin="856,1286" coordsize="80,1140" path="m936,2426l856,2426m936,2046l856,2046m936,1666l856,1666m936,1286l856,1286e" filled="false" stroked="true" strokeweight=".5pt" strokecolor="#000000">
              <v:path arrowok="t"/>
              <v:stroke dashstyle="solid"/>
            </v:shape>
            <v:shape style="position:absolute;left:995;top:1286;width:3000;height:1220" coordorigin="996,1286" coordsize="3000,1220" path="m996,2466l1036,2346,1056,2306,1096,2306,1136,2346,1176,2266,1196,2346,1276,2346,1296,2386,1336,2386,1376,2346,1416,2386,1436,2306,1476,2386,1556,2386,1576,2346,1616,2306,1656,2486,1656,2506,1716,2506,1756,2466,1856,2466,1896,1866,1916,1786,1956,1786,1996,1626,2036,1486,2056,1486,2136,1566,2176,1566,2196,1486,2236,1566,2416,1566,2436,1486,2476,1486,2516,1406,2556,1286,2596,1426,2616,1566,2836,1566,2856,1606,2896,1626,2936,1626,2956,1566,2996,1706,3076,1706,3096,1626,3136,1566,3236,1566,3276,1586,3316,1626,3336,1666,3376,1706,3416,1826,3456,1926,3476,1886,3516,1706,3556,1706,3596,1666,3616,1626,3656,1746,3696,1666,3796,1666,3836,1706,3856,1706,3896,1746,3936,1746,3976,1666,3996,1606e" filled="false" stroked="true" strokeweight="1pt" strokecolor="#008256">
              <v:path arrowok="t"/>
              <v:stroke dashstyle="solid"/>
            </v:shape>
            <v:shape style="position:absolute;left:855;top:166;width:80;height:760" coordorigin="856,166" coordsize="80,760" path="m936,926l856,926m936,546l856,546m936,166l856,166e" filled="false" stroked="true" strokeweight=".5pt" strokecolor="#000000">
              <v:path arrowok="t"/>
              <v:stroke dashstyle="solid"/>
            </v:shape>
            <v:shape style="position:absolute;left:995;top:86;width:3000;height:1780" coordorigin="996,86" coordsize="3000,1780" path="m996,1866l1036,1866,1056,1746,1276,1746,1296,1866,1336,1866,1376,1746,1416,1866,1436,1626,1476,1626,1516,1746,1576,1746,1616,1626,1656,1746,1696,1626,1796,1626,1856,1266,1896,686,1956,686,1996,446,2036,326,2056,326,2136,446,2376,446,2416,686,2436,206,2516,206,2556,86,2616,206,2696,286,2716,326,2836,326,2856,446,2896,326,2936,446,2956,326,2996,566,3036,566,3076,686,3236,686,3316,926,3336,1046,3376,1046,3416,1266,3456,1266,3476,1046,3516,926,3556,926,3596,806,3656,806,3736,1046,3756,926,3856,926,3896,1046,3976,1046,3996,926e" filled="false" stroked="true" strokeweight="1pt" strokecolor="#95459a">
              <v:path arrowok="t"/>
              <v:stroke dashstyle="solid"/>
            </v:shape>
            <v:shape style="position:absolute;left:4055;top:166;width:100;height:2260" coordorigin="4056,166" coordsize="100,2260" path="m4156,2426l4056,2426m4156,2046l4056,2046m4156,1666l4056,1666m4156,1286l4056,1286m4156,926l4056,926m4156,546l4056,546m4156,166l4056,166e" filled="false" stroked="true" strokeweight=".5pt" strokecolor="#000000">
              <v:path arrowok="t"/>
              <v:stroke dashstyle="solid"/>
            </v:shape>
            <v:shape style="position:absolute;left:1945;top:169;width:457;height:133" type="#_x0000_t202" filled="false" stroked="false">
              <v:textbox inset="0,0,0,0">
                <w:txbxContent>
                  <w:p>
                    <w:pPr>
                      <w:spacing w:line="133" w:lineRule="exact" w:before="0"/>
                      <w:ind w:left="0" w:right="0" w:firstLine="0"/>
                      <w:jc w:val="left"/>
                      <w:rPr>
                        <w:sz w:val="12"/>
                      </w:rPr>
                    </w:pPr>
                    <w:r>
                      <w:rPr>
                        <w:sz w:val="12"/>
                      </w:rPr>
                      <w:t>Libor (b)</w:t>
                    </w:r>
                  </w:p>
                </w:txbxContent>
              </v:textbox>
              <w10:wrap type="none"/>
            </v:shape>
            <v:shape style="position:absolute;left:1925;top:1829;width:877;height:253" type="#_x0000_t202" filled="false" stroked="false">
              <v:textbox inset="0,0,0,0">
                <w:txbxContent>
                  <w:p>
                    <w:pPr>
                      <w:spacing w:line="208" w:lineRule="auto" w:before="9"/>
                      <w:ind w:left="59" w:right="1" w:hanging="60"/>
                      <w:jc w:val="left"/>
                      <w:rPr>
                        <w:sz w:val="12"/>
                      </w:rPr>
                    </w:pPr>
                    <w:r>
                      <w:rPr>
                        <w:sz w:val="12"/>
                      </w:rPr>
                      <w:t>General collateral repo rate</w:t>
                    </w:r>
                  </w:p>
                </w:txbxContent>
              </v:textbox>
              <w10:wrap type="none"/>
            </v:shape>
            <w10:wrap type="none"/>
          </v:group>
        </w:pict>
      </w:r>
      <w:r>
        <w:rPr>
          <w:sz w:val="12"/>
        </w:rPr>
        <w:t>7.7</w:t>
      </w:r>
    </w:p>
    <w:p>
      <w:pPr>
        <w:pStyle w:val="BodyText"/>
        <w:rPr>
          <w:sz w:val="12"/>
        </w:rPr>
      </w:pPr>
    </w:p>
    <w:p>
      <w:pPr>
        <w:spacing w:before="104"/>
        <w:ind w:left="0" w:right="235" w:firstLine="0"/>
        <w:jc w:val="right"/>
        <w:rPr>
          <w:sz w:val="12"/>
        </w:rPr>
      </w:pPr>
      <w:r>
        <w:rPr>
          <w:sz w:val="12"/>
        </w:rPr>
        <w:t>7.6</w:t>
      </w:r>
    </w:p>
    <w:p>
      <w:pPr>
        <w:pStyle w:val="BodyText"/>
        <w:rPr>
          <w:sz w:val="12"/>
        </w:rPr>
      </w:pPr>
    </w:p>
    <w:p>
      <w:pPr>
        <w:spacing w:before="84"/>
        <w:ind w:left="0" w:right="235" w:firstLine="0"/>
        <w:jc w:val="right"/>
        <w:rPr>
          <w:sz w:val="12"/>
        </w:rPr>
      </w:pPr>
      <w:r>
        <w:rPr>
          <w:sz w:val="12"/>
        </w:rPr>
        <w:t>7.5</w:t>
      </w:r>
    </w:p>
    <w:p>
      <w:pPr>
        <w:pStyle w:val="Heading5"/>
        <w:spacing w:line="242" w:lineRule="auto" w:before="227"/>
        <w:ind w:left="165" w:right="318"/>
      </w:pPr>
      <w:r>
        <w:rPr/>
        <w:br w:type="column"/>
      </w:r>
      <w:r>
        <w:rPr>
          <w:color w:val="231F20"/>
        </w:rPr>
        <w:t>towards other credit arrangements, such as leasing and hire-purchase agreements. Survey evidence from Barclays Bank also suggests that the balance of firms seeking bank credit facilities to finance capital expenditure fell from more than 40% in the first half of 1997 to 20% in December (see Chart 1.7).</w:t>
      </w:r>
    </w:p>
    <w:p>
      <w:pPr>
        <w:pStyle w:val="BodyText"/>
        <w:spacing w:before="2"/>
        <w:rPr>
          <w:sz w:val="32"/>
        </w:rPr>
      </w:pPr>
    </w:p>
    <w:p>
      <w:pPr>
        <w:pStyle w:val="Heading3"/>
        <w:numPr>
          <w:ilvl w:val="1"/>
          <w:numId w:val="2"/>
        </w:numPr>
        <w:tabs>
          <w:tab w:pos="1501" w:val="left" w:leader="none"/>
          <w:tab w:pos="1502" w:val="left" w:leader="none"/>
          <w:tab w:pos="5665" w:val="left" w:leader="none"/>
        </w:tabs>
        <w:spacing w:line="240" w:lineRule="auto" w:before="0" w:after="0"/>
        <w:ind w:left="1501" w:right="0" w:hanging="1337"/>
        <w:jc w:val="left"/>
      </w:pPr>
      <w:r>
        <w:rPr>
          <w:color w:val="009483"/>
          <w:u w:val="thick" w:color="0093C1"/>
        </w:rPr>
        <w:t>Interest rates and exchange</w:t>
      </w:r>
      <w:r>
        <w:rPr>
          <w:color w:val="009483"/>
          <w:spacing w:val="-5"/>
          <w:u w:val="thick" w:color="0093C1"/>
        </w:rPr>
        <w:t> </w:t>
      </w:r>
      <w:r>
        <w:rPr>
          <w:color w:val="009483"/>
          <w:u w:val="thick" w:color="0093C1"/>
        </w:rPr>
        <w:t>rates</w:t>
        <w:tab/>
      </w:r>
    </w:p>
    <w:p>
      <w:pPr>
        <w:pStyle w:val="BodyText"/>
        <w:rPr>
          <w:b/>
          <w:sz w:val="24"/>
        </w:rPr>
      </w:pPr>
    </w:p>
    <w:p>
      <w:pPr>
        <w:pStyle w:val="Heading6"/>
        <w:ind w:left="165"/>
        <w:rPr>
          <w:i/>
        </w:rPr>
      </w:pPr>
      <w:r>
        <w:rPr>
          <w:i/>
          <w:color w:val="009483"/>
        </w:rPr>
        <w:t>Short-term interest rates</w:t>
      </w:r>
    </w:p>
    <w:p>
      <w:pPr>
        <w:spacing w:before="164"/>
        <w:ind w:left="165" w:right="0" w:firstLine="0"/>
        <w:jc w:val="left"/>
        <w:rPr>
          <w:sz w:val="24"/>
        </w:rPr>
      </w:pPr>
      <w:r>
        <w:rPr>
          <w:color w:val="231F20"/>
          <w:sz w:val="24"/>
        </w:rPr>
        <w:t>Following the rise in the Bank’s repo rate on</w:t>
      </w:r>
    </w:p>
    <w:p>
      <w:pPr>
        <w:spacing w:line="242" w:lineRule="auto" w:before="4"/>
        <w:ind w:left="165" w:right="216" w:firstLine="0"/>
        <w:jc w:val="left"/>
        <w:rPr>
          <w:sz w:val="24"/>
        </w:rPr>
      </w:pPr>
      <w:r>
        <w:rPr>
          <w:color w:val="231F20"/>
          <w:sz w:val="24"/>
        </w:rPr>
        <w:t>6 November to 7.25%, rates were unchanged in December and January. At its meeting on 4–5 February, the MPC decided to leave interest rates unchanged.</w:t>
      </w:r>
    </w:p>
    <w:p>
      <w:pPr>
        <w:pStyle w:val="BodyText"/>
        <w:spacing w:before="7"/>
        <w:rPr>
          <w:sz w:val="24"/>
        </w:rPr>
      </w:pPr>
    </w:p>
    <w:p>
      <w:pPr>
        <w:spacing w:line="242" w:lineRule="auto" w:before="1"/>
        <w:ind w:left="165" w:right="216" w:firstLine="0"/>
        <w:jc w:val="left"/>
        <w:rPr>
          <w:sz w:val="24"/>
        </w:rPr>
      </w:pPr>
      <w:r>
        <w:rPr>
          <w:color w:val="231F20"/>
          <w:sz w:val="24"/>
        </w:rPr>
        <w:t>Actual interest rates facing borrowers and lenders differ from official rates. This is because market rates reflect factors such as changes in credit risk at home and abroad. Chart 1.8 shows that spreads between an unsecured short-term borrowing rate, the London interbank offer rate (Libor), and a proxy for the risk-free rate, the general collateral repo rate, widened during November and December before narrowing again in January. The widening of spreads is likely to have reflected a higher premium required by lenders to issue unsecured loans, following equity market turbulence in October and the emergence of problems in Asia.</w:t>
      </w:r>
    </w:p>
    <w:p>
      <w:pPr>
        <w:spacing w:after="0" w:line="242" w:lineRule="auto"/>
        <w:jc w:val="left"/>
        <w:rPr>
          <w:sz w:val="24"/>
        </w:rPr>
        <w:sectPr>
          <w:type w:val="continuous"/>
          <w:pgSz w:w="11880" w:h="16840"/>
          <w:pgMar w:top="1200" w:bottom="280" w:left="620" w:right="620"/>
          <w:cols w:num="2" w:equalWidth="0">
            <w:col w:w="3953" w:space="861"/>
            <w:col w:w="5826"/>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0"/>
        </w:rPr>
      </w:pPr>
    </w:p>
    <w:p>
      <w:pPr>
        <w:tabs>
          <w:tab w:pos="1365" w:val="left" w:leader="none"/>
          <w:tab w:pos="2145" w:val="left" w:leader="none"/>
          <w:tab w:pos="2865" w:val="left" w:leader="none"/>
        </w:tabs>
        <w:spacing w:before="0"/>
        <w:ind w:left="525" w:right="0" w:firstLine="0"/>
        <w:jc w:val="left"/>
        <w:rPr>
          <w:sz w:val="12"/>
        </w:rPr>
      </w:pPr>
      <w:r>
        <w:rPr>
          <w:sz w:val="12"/>
        </w:rPr>
        <w:t>Oct.</w:t>
        <w:tab/>
        <w:t>Nov.</w:t>
        <w:tab/>
        <w:t>Dec.</w:t>
        <w:tab/>
        <w:t>Jan.</w:t>
      </w:r>
    </w:p>
    <w:p>
      <w:pPr>
        <w:tabs>
          <w:tab w:pos="3025" w:val="left" w:leader="none"/>
        </w:tabs>
        <w:spacing w:before="42"/>
        <w:ind w:left="1405" w:right="0" w:firstLine="0"/>
        <w:jc w:val="left"/>
        <w:rPr>
          <w:sz w:val="12"/>
        </w:rPr>
      </w:pPr>
      <w:r>
        <w:rPr>
          <w:sz w:val="12"/>
        </w:rPr>
        <w:t>1997</w:t>
        <w:tab/>
      </w:r>
      <w:r>
        <w:rPr>
          <w:spacing w:val="-10"/>
          <w:position w:val="-3"/>
          <w:sz w:val="12"/>
        </w:rPr>
        <w:t>98</w:t>
      </w:r>
    </w:p>
    <w:p>
      <w:pPr>
        <w:spacing w:line="417" w:lineRule="auto" w:before="6"/>
        <w:ind w:left="165" w:right="251" w:firstLine="0"/>
        <w:jc w:val="left"/>
        <w:rPr>
          <w:sz w:val="12"/>
        </w:rPr>
      </w:pPr>
      <w:r>
        <w:rPr>
          <w:color w:val="231F20"/>
          <w:sz w:val="12"/>
        </w:rPr>
        <w:t>Note: Daily data. Final observation is 4 February. Source: Telerate.</w:t>
      </w:r>
    </w:p>
    <w:p>
      <w:pPr>
        <w:pStyle w:val="ListParagraph"/>
        <w:numPr>
          <w:ilvl w:val="0"/>
          <w:numId w:val="5"/>
        </w:numPr>
        <w:tabs>
          <w:tab w:pos="406" w:val="left" w:leader="none"/>
        </w:tabs>
        <w:spacing w:line="129" w:lineRule="exact" w:before="0" w:after="0"/>
        <w:ind w:left="405" w:right="0" w:hanging="241"/>
        <w:jc w:val="left"/>
        <w:rPr>
          <w:sz w:val="12"/>
        </w:rPr>
      </w:pPr>
      <w:r>
        <w:rPr>
          <w:color w:val="231F20"/>
          <w:sz w:val="12"/>
        </w:rPr>
        <w:t>All rates are offer rates.</w:t>
      </w:r>
    </w:p>
    <w:p>
      <w:pPr>
        <w:pStyle w:val="ListParagraph"/>
        <w:numPr>
          <w:ilvl w:val="0"/>
          <w:numId w:val="5"/>
        </w:numPr>
        <w:tabs>
          <w:tab w:pos="406" w:val="left" w:leader="none"/>
        </w:tabs>
        <w:spacing w:line="129" w:lineRule="exact" w:before="0" w:after="0"/>
        <w:ind w:left="405" w:right="0" w:hanging="241"/>
        <w:jc w:val="left"/>
        <w:rPr>
          <w:sz w:val="12"/>
        </w:rPr>
      </w:pPr>
      <w:r>
        <w:rPr>
          <w:color w:val="231F20"/>
          <w:sz w:val="12"/>
        </w:rPr>
        <w:t>London interbank offer rate.</w:t>
      </w:r>
    </w:p>
    <w:p>
      <w:pPr>
        <w:pStyle w:val="BodyText"/>
        <w:spacing w:before="11"/>
        <w:rPr>
          <w:sz w:val="12"/>
        </w:rPr>
      </w:pPr>
      <w:r>
        <w:rPr/>
        <w:br w:type="column"/>
      </w:r>
      <w:r>
        <w:rPr>
          <w:sz w:val="12"/>
        </w:rPr>
      </w:r>
    </w:p>
    <w:p>
      <w:pPr>
        <w:spacing w:before="0"/>
        <w:ind w:left="0" w:right="38" w:firstLine="0"/>
        <w:jc w:val="right"/>
        <w:rPr>
          <w:sz w:val="12"/>
        </w:rPr>
      </w:pPr>
      <w:r>
        <w:rPr>
          <w:sz w:val="12"/>
        </w:rPr>
        <w:t>7.4</w:t>
      </w:r>
    </w:p>
    <w:p>
      <w:pPr>
        <w:pStyle w:val="BodyText"/>
        <w:rPr>
          <w:sz w:val="12"/>
        </w:rPr>
      </w:pPr>
    </w:p>
    <w:p>
      <w:pPr>
        <w:spacing w:before="104"/>
        <w:ind w:left="0" w:right="38" w:firstLine="0"/>
        <w:jc w:val="right"/>
        <w:rPr>
          <w:sz w:val="12"/>
        </w:rPr>
      </w:pPr>
      <w:r>
        <w:rPr>
          <w:sz w:val="12"/>
        </w:rPr>
        <w:t>7.3</w:t>
      </w:r>
    </w:p>
    <w:p>
      <w:pPr>
        <w:pStyle w:val="BodyText"/>
        <w:rPr>
          <w:sz w:val="12"/>
        </w:rPr>
      </w:pPr>
    </w:p>
    <w:p>
      <w:pPr>
        <w:spacing w:before="104"/>
        <w:ind w:left="0" w:right="38" w:firstLine="0"/>
        <w:jc w:val="right"/>
        <w:rPr>
          <w:sz w:val="12"/>
        </w:rPr>
      </w:pPr>
      <w:r>
        <w:rPr>
          <w:sz w:val="12"/>
        </w:rPr>
        <w:t>7.2</w:t>
      </w:r>
    </w:p>
    <w:p>
      <w:pPr>
        <w:pStyle w:val="BodyText"/>
        <w:rPr>
          <w:sz w:val="12"/>
        </w:rPr>
      </w:pPr>
    </w:p>
    <w:p>
      <w:pPr>
        <w:spacing w:before="104"/>
        <w:ind w:left="0" w:right="38" w:firstLine="0"/>
        <w:jc w:val="right"/>
        <w:rPr>
          <w:sz w:val="12"/>
        </w:rPr>
      </w:pPr>
      <w:r>
        <w:rPr>
          <w:sz w:val="12"/>
        </w:rPr>
        <w:t>7.1</w:t>
      </w:r>
    </w:p>
    <w:p>
      <w:pPr>
        <w:pStyle w:val="BodyText"/>
        <w:rPr>
          <w:sz w:val="12"/>
        </w:rPr>
      </w:pPr>
    </w:p>
    <w:p>
      <w:pPr>
        <w:spacing w:before="104"/>
        <w:ind w:left="0" w:right="38" w:firstLine="0"/>
        <w:jc w:val="right"/>
        <w:rPr>
          <w:sz w:val="12"/>
        </w:rPr>
      </w:pPr>
      <w:r>
        <w:rPr/>
        <w:pict>
          <v:group style="position:absolute;margin-left:42.779999pt;margin-top:8.051562pt;width:166.6pt;height:7.5pt;mso-position-horizontal-relative:page;mso-position-vertical-relative:paragraph;z-index:-20326400" coordorigin="856,161" coordsize="3332,150">
            <v:shape style="position:absolute;left:855;top:166;width:3307;height:140" coordorigin="856,166" coordsize="3307,140" path="m936,166l856,166m4156,166l4056,166m856,306l4162,306m996,306l996,266m1756,306l1756,266m2436,306l2436,266m3896,306l3896,266m3136,306l3136,226e" filled="false" stroked="true" strokeweight=".5pt" strokecolor="#000000">
              <v:path arrowok="t"/>
              <v:stroke dashstyle="solid"/>
            </v:shape>
            <v:shape style="position:absolute;left:921;top:174;width:3261;height:130" coordorigin="922,174" coordsize="3261,130" path="m4162,176l4162,203,4142,219,4182,233,4142,253,4182,270,4159,280,4158,303m942,174l942,201,922,217,962,231,922,251,962,267,939,277,938,301e" filled="false" stroked="true" strokeweight=".5pt" strokecolor="#000000">
              <v:path arrowok="t"/>
              <v:stroke dashstyle="solid"/>
            </v:shape>
            <w10:wrap type="none"/>
          </v:group>
        </w:pict>
      </w:r>
      <w:r>
        <w:rPr>
          <w:sz w:val="12"/>
        </w:rPr>
        <w:t>7.0</w:t>
      </w:r>
    </w:p>
    <w:p>
      <w:pPr>
        <w:spacing w:before="22"/>
        <w:ind w:left="99" w:right="0" w:firstLine="0"/>
        <w:jc w:val="left"/>
        <w:rPr>
          <w:sz w:val="12"/>
        </w:rPr>
      </w:pPr>
      <w:r>
        <w:rPr>
          <w:sz w:val="12"/>
        </w:rPr>
        <w:t>Feb. </w:t>
      </w:r>
      <w:r>
        <w:rPr>
          <w:spacing w:val="10"/>
          <w:sz w:val="12"/>
        </w:rPr>
        <w:t> </w:t>
      </w:r>
      <w:r>
        <w:rPr>
          <w:position w:val="8"/>
          <w:sz w:val="12"/>
        </w:rPr>
        <w:t>0.0</w:t>
      </w:r>
    </w:p>
    <w:p>
      <w:pPr>
        <w:pStyle w:val="BodyText"/>
        <w:spacing w:before="7"/>
        <w:rPr>
          <w:sz w:val="25"/>
        </w:rPr>
      </w:pPr>
      <w:r>
        <w:rPr/>
        <w:br w:type="column"/>
      </w:r>
      <w:r>
        <w:rPr>
          <w:sz w:val="25"/>
        </w:rPr>
      </w:r>
    </w:p>
    <w:p>
      <w:pPr>
        <w:pStyle w:val="Heading5"/>
        <w:spacing w:line="242" w:lineRule="auto"/>
        <w:ind w:left="165" w:right="191"/>
      </w:pPr>
      <w:r>
        <w:rPr>
          <w:color w:val="231F20"/>
        </w:rPr>
        <w:t>Probability distributions of expected three-month market interest rates in the United Kingdom, derived from option price data, are shown in Chart 1.9. At the time of the November </w:t>
      </w:r>
      <w:r>
        <w:rPr>
          <w:i/>
          <w:color w:val="231F20"/>
        </w:rPr>
        <w:t>Report</w:t>
      </w:r>
      <w:r>
        <w:rPr>
          <w:color w:val="231F20"/>
        </w:rPr>
        <w:t>, the outcome considered most likely by financial markets was that interest rates would increase slightly by the end of 1997 and then fall from early 1998. The probabilities were skewed towards </w:t>
      </w:r>
      <w:r>
        <w:rPr>
          <w:color w:val="231F20"/>
          <w:spacing w:val="-3"/>
        </w:rPr>
        <w:t>rates </w:t>
      </w:r>
      <w:r>
        <w:rPr>
          <w:color w:val="231F20"/>
        </w:rPr>
        <w:t>being above the central band. On 4 February, the outcome seen as most likely—shown by the darkest blue band—was a fall in interest rates, with a higher weight being attached to interest rates lying above the central band in 1998. But it is important to note that short sterling futures prices can reflect factors other than official rates, such as the credit risk premium.</w:t>
      </w:r>
      <w:r>
        <w:rPr>
          <w:color w:val="231F20"/>
          <w:position w:val="5"/>
          <w:sz w:val="16"/>
        </w:rPr>
        <w:t>(1) </w:t>
      </w:r>
      <w:r>
        <w:rPr>
          <w:color w:val="231F20"/>
        </w:rPr>
        <w:t>So the chart does not provide a direct measure of market expectations of official interest rates. Chart 1.10 shows implied probability distributions for German and US short-term interest rates. German interest rates are expected to rise significantly during 1998, and probabilities are skewed above the central band.</w:t>
      </w:r>
      <w:r>
        <w:rPr>
          <w:color w:val="231F20"/>
          <w:spacing w:val="51"/>
        </w:rPr>
        <w:t> </w:t>
      </w:r>
      <w:r>
        <w:rPr>
          <w:color w:val="231F20"/>
        </w:rPr>
        <w:t>By</w:t>
      </w:r>
    </w:p>
    <w:p>
      <w:pPr>
        <w:spacing w:after="0" w:line="242" w:lineRule="auto"/>
        <w:sectPr>
          <w:type w:val="continuous"/>
          <w:pgSz w:w="11880" w:h="16840"/>
          <w:pgMar w:top="1200" w:bottom="280" w:left="620" w:right="620"/>
          <w:cols w:num="3" w:equalWidth="0">
            <w:col w:w="3146" w:space="40"/>
            <w:col w:w="571" w:space="1058"/>
            <w:col w:w="5825"/>
          </w:cols>
        </w:sectPr>
      </w:pPr>
    </w:p>
    <w:p>
      <w:pPr>
        <w:pStyle w:val="BodyText"/>
        <w:spacing w:before="4"/>
        <w:rPr>
          <w:sz w:val="24"/>
        </w:rPr>
      </w:pPr>
    </w:p>
    <w:p>
      <w:pPr>
        <w:pStyle w:val="BodyText"/>
        <w:spacing w:line="20" w:lineRule="exact"/>
        <w:ind w:left="4978"/>
        <w:rPr>
          <w:sz w:val="2"/>
        </w:rPr>
      </w:pPr>
      <w:r>
        <w:rPr>
          <w:sz w:val="2"/>
        </w:rPr>
        <w:pict>
          <v:group style="width:277.25pt;height:.15pt;mso-position-horizontal-relative:char;mso-position-vertical-relative:line" coordorigin="0,0" coordsize="5545,3">
            <v:line style="position:absolute" from="0,1" to="5545,1" stroked="true" strokeweight=".125pt" strokecolor="#231f20">
              <v:stroke dashstyle="solid"/>
            </v:line>
          </v:group>
        </w:pict>
      </w:r>
      <w:r>
        <w:rPr>
          <w:sz w:val="2"/>
        </w:rPr>
      </w:r>
    </w:p>
    <w:p>
      <w:pPr>
        <w:pStyle w:val="ListParagraph"/>
        <w:numPr>
          <w:ilvl w:val="2"/>
          <w:numId w:val="2"/>
        </w:numPr>
        <w:tabs>
          <w:tab w:pos="5221" w:val="left" w:leader="none"/>
        </w:tabs>
        <w:spacing w:line="208" w:lineRule="auto" w:before="14" w:after="0"/>
        <w:ind w:left="5220" w:right="863" w:hanging="240"/>
        <w:jc w:val="left"/>
        <w:rPr>
          <w:sz w:val="16"/>
        </w:rPr>
      </w:pPr>
      <w:r>
        <w:rPr>
          <w:color w:val="231F20"/>
          <w:sz w:val="16"/>
        </w:rPr>
        <w:t>A box on page 331 of the November 1997 </w:t>
      </w:r>
      <w:r>
        <w:rPr>
          <w:i/>
          <w:color w:val="231F20"/>
          <w:sz w:val="16"/>
        </w:rPr>
        <w:t>Quarterly Bulletin </w:t>
      </w:r>
      <w:r>
        <w:rPr>
          <w:color w:val="231F20"/>
          <w:sz w:val="16"/>
        </w:rPr>
        <w:t>discusses these factors in greater depth.</w:t>
      </w:r>
    </w:p>
    <w:p>
      <w:pPr>
        <w:spacing w:after="0" w:line="208" w:lineRule="auto"/>
        <w:jc w:val="left"/>
        <w:rPr>
          <w:sz w:val="16"/>
        </w:rPr>
        <w:sectPr>
          <w:type w:val="continuous"/>
          <w:pgSz w:w="11880" w:h="16840"/>
          <w:pgMar w:top="1200" w:bottom="280" w:left="620" w:right="620"/>
        </w:sectPr>
      </w:pPr>
    </w:p>
    <w:p>
      <w:pPr>
        <w:pStyle w:val="BodyText"/>
        <w:rPr>
          <w:sz w:val="20"/>
        </w:rPr>
      </w:pPr>
    </w:p>
    <w:p>
      <w:pPr>
        <w:spacing w:after="0"/>
        <w:rPr>
          <w:sz w:val="20"/>
        </w:rPr>
        <w:sectPr>
          <w:headerReference w:type="default" r:id="rId15"/>
          <w:headerReference w:type="even" r:id="rId16"/>
          <w:footerReference w:type="default" r:id="rId17"/>
          <w:footerReference w:type="even" r:id="rId18"/>
          <w:pgSz w:w="11880" w:h="16840"/>
          <w:pgMar w:header="586" w:footer="617" w:top="780" w:bottom="800" w:left="620" w:right="620"/>
          <w:pgNumType w:start="9"/>
        </w:sectPr>
      </w:pPr>
    </w:p>
    <w:p>
      <w:pPr>
        <w:pStyle w:val="BodyText"/>
        <w:spacing w:before="1"/>
        <w:rPr>
          <w:sz w:val="21"/>
        </w:rPr>
      </w:pPr>
    </w:p>
    <w:p>
      <w:pPr>
        <w:pStyle w:val="Heading9"/>
        <w:spacing w:before="0"/>
        <w:ind w:left="220"/>
      </w:pPr>
      <w:bookmarkStart w:name="Long-term interest rates" w:id="23"/>
      <w:bookmarkEnd w:id="23"/>
      <w:r>
        <w:rPr>
          <w:b w:val="0"/>
        </w:rPr>
      </w:r>
      <w:bookmarkStart w:name="_bookmark6" w:id="24"/>
      <w:bookmarkEnd w:id="24"/>
      <w:r>
        <w:rPr>
          <w:b w:val="0"/>
        </w:rPr>
      </w:r>
      <w:r>
        <w:rPr>
          <w:color w:val="0093C1"/>
        </w:rPr>
        <w:t>Chart 1.9</w:t>
      </w:r>
    </w:p>
    <w:p>
      <w:pPr>
        <w:spacing w:line="249" w:lineRule="auto" w:before="10"/>
        <w:ind w:left="220" w:right="152" w:firstLine="0"/>
        <w:jc w:val="left"/>
        <w:rPr>
          <w:b/>
          <w:sz w:val="20"/>
        </w:rPr>
      </w:pPr>
      <w:r>
        <w:rPr>
          <w:b/>
          <w:color w:val="0093C1"/>
          <w:sz w:val="20"/>
        </w:rPr>
        <w:t>Implied distributions for sterling three-month interest rates</w:t>
      </w:r>
    </w:p>
    <w:p>
      <w:pPr>
        <w:spacing w:before="162"/>
        <w:ind w:left="367" w:right="0" w:firstLine="0"/>
        <w:jc w:val="left"/>
        <w:rPr>
          <w:sz w:val="12"/>
        </w:rPr>
      </w:pPr>
      <w:r>
        <w:rPr/>
        <w:pict>
          <v:group style="position:absolute;margin-left:49.916pt;margin-top:26.937761pt;width:161.15pt;height:119.55pt;mso-position-horizontal-relative:page;mso-position-vertical-relative:paragraph;z-index:-20311040" coordorigin="998,539" coordsize="3223,2391">
            <v:shape style="position:absolute;left:3371;top:538;width:707;height:2385" coordorigin="3372,539" coordsize="707,2385" path="m4078,539l3995,546,3870,561,3683,799,3372,1259,3683,2010,3870,2577,3995,2808,4078,2923xe" filled="true" fillcolor="#bfd0e6" stroked="false">
              <v:path arrowok="t"/>
              <v:fill type="solid"/>
            </v:shape>
            <v:shape style="position:absolute;left:3371;top:1054;width:707;height:1482" coordorigin="3372,1055" coordsize="707,1482" path="m4078,1055l3995,1056,3870,1058,3683,1083,3372,1260,3683,1803,3870,2184,3995,2419,4078,2537,4078,1055xe" filled="true" fillcolor="#8aadd3" stroked="false">
              <v:path arrowok="t"/>
              <v:fill type="solid"/>
            </v:shape>
            <v:shape style="position:absolute;left:3371;top:1227;width:707;height:1077" coordorigin="3372,1227" coordsize="707,1077" path="m3683,1227l3372,1264,3683,1688,3870,1939,3995,2182,4078,2304,4078,1343,3995,1339,3870,1329,3683,1227xe" filled="true" fillcolor="#5991c2" stroked="false">
              <v:path arrowok="t"/>
              <v:fill type="solid"/>
            </v:shape>
            <v:shape style="position:absolute;left:3371;top:1259;width:707;height:846" coordorigin="3372,1260" coordsize="707,846" path="m3383,1262l3692,1588,3683,1588,3870,1775,3995,1995,4078,2105,4078,1557,3995,1528,3870,1471,3683,1327,3383,1262xm3380,1260l3372,1260,3383,1262,3380,1260xe" filled="true" fillcolor="#0e7ab3" stroked="false">
              <v:path arrowok="t"/>
              <v:fill type="solid"/>
            </v:shape>
            <v:shape style="position:absolute;left:3371;top:1267;width:707;height:666" coordorigin="3372,1267" coordsize="707,666" path="m3372,1267l3683,1509,3870,1675,3995,1847,4078,1933,4078,1754,3995,1696,3870,1581,3683,1424,3372,1267xe" filled="true" fillcolor="#0066a5" stroked="false">
              <v:path arrowok="t"/>
              <v:fill type="solid"/>
            </v:shape>
            <v:shape style="position:absolute;left:998;top:782;width:3223;height:1898" coordorigin="998,782" coordsize="3223,1898" path="m4220,2680l4146,2680m4220,2206l4146,2206m4220,1731l4146,1731m4220,1257l4146,1257m4220,782l4146,782m998,2209l1073,2209e" filled="false" stroked="true" strokeweight=".5pt" strokecolor="#000000">
              <v:path arrowok="t"/>
              <v:stroke dashstyle="solid"/>
            </v:shape>
            <v:shape style="position:absolute;left:1105;top:1908;width:374;height:221" coordorigin="1105,1909" coordsize="374,221" path="m1167,1956l1105,2129m1230,2034l1167,1956m1292,2026l1230,2034m1354,1980l1292,2026m1417,2062l1354,1980m1479,1909l1417,2062e" filled="false" stroked="true" strokeweight="1pt" strokecolor="#0066a5">
              <v:path arrowok="t"/>
              <v:stroke dashstyle="solid"/>
            </v:shape>
            <v:line style="position:absolute" from="1469,1912" to="1551,1912" stroked="true" strokeweight="1.295pt" strokecolor="#0066a5">
              <v:stroke dashstyle="solid"/>
            </v:line>
            <v:shape style="position:absolute;left:1541;top:1121;width:1829;height:1799" coordorigin="1541,1122" coordsize="1829,1799" path="m1604,1986l1541,1915m1666,1971l1604,1986m1728,2058l1666,1971m1791,2208l1728,2058m1853,2319l1791,2208m1915,2506l1853,2319m1978,2613l1915,2506m2040,2669l1978,2613m2102,2640l2040,2669m2165,2810l2102,2640m2227,2920l2165,2810m2289,2909l2227,2920m2352,2880l2289,2909m2414,2720l2352,2880m2476,2377l2414,2720m2539,2329l2476,2377m2622,2358l2539,2329m2684,2478l2622,2358m2746,2478l2684,2478m2809,2304l2746,2478m2871,2242l2809,2304m2933,2037l2871,2242m2996,1753l2933,2037m3058,1568l2996,1753m3120,1512l3058,1568m3183,1469l3120,1512m3245,1201l3183,1469m3307,1122l3245,1201m3370,1262l3307,1122e" filled="false" stroked="true" strokeweight="1pt" strokecolor="#0066a5">
              <v:path arrowok="t"/>
              <v:stroke dashstyle="solid"/>
            </v:shape>
            <w10:wrap type="none"/>
          </v:group>
        </w:pict>
      </w:r>
      <w:r>
        <w:rPr>
          <w:sz w:val="12"/>
        </w:rPr>
        <w:t>Expectations as at c.o.b 4 February 1998</w:t>
      </w:r>
    </w:p>
    <w:p>
      <w:pPr>
        <w:pStyle w:val="BodyText"/>
        <w:rPr>
          <w:sz w:val="20"/>
        </w:rPr>
      </w:pPr>
    </w:p>
    <w:p>
      <w:pPr>
        <w:pStyle w:val="BodyText"/>
        <w:spacing w:before="5"/>
      </w:pPr>
      <w:r>
        <w:rPr/>
        <w:pict>
          <v:shape style="position:absolute;margin-left:49.916pt;margin-top:12.828103pt;width:3.75pt;height:.1pt;mso-position-horizontal-relative:page;mso-position-vertical-relative:paragraph;z-index:-15690752;mso-wrap-distance-left:0;mso-wrap-distance-right:0" coordorigin="998,257" coordsize="75,0" path="m998,257l1073,257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9.916pt;margin-top:10.523976pt;width:3.75pt;height:.1pt;mso-position-horizontal-relative:page;mso-position-vertical-relative:paragraph;z-index:-15690240;mso-wrap-distance-left:0;mso-wrap-distance-right:0" coordorigin="998,210" coordsize="75,0" path="m998,210l1073,210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9.916pt;margin-top:10.524977pt;width:3.75pt;height:.1pt;mso-position-horizontal-relative:page;mso-position-vertical-relative:paragraph;z-index:-15689728;mso-wrap-distance-left:0;mso-wrap-distance-right:0" coordorigin="998,210" coordsize="75,0" path="m998,210l1073,210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49.916pt;margin-top:11.249929pt;width:3.75pt;height:.1pt;mso-position-horizontal-relative:page;mso-position-vertical-relative:paragraph;z-index:-15689216;mso-wrap-distance-left:0;mso-wrap-distance-right:0" coordorigin="998,225" coordsize="75,0" path="m998,225l1073,225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tabs>
          <w:tab w:pos="1549" w:val="left" w:leader="none"/>
          <w:tab w:pos="2331" w:val="left" w:leader="none"/>
          <w:tab w:pos="3060" w:val="left" w:leader="none"/>
        </w:tabs>
        <w:spacing w:before="69"/>
        <w:ind w:left="723" w:right="0" w:firstLine="0"/>
        <w:jc w:val="left"/>
        <w:rPr>
          <w:sz w:val="12"/>
        </w:rPr>
      </w:pPr>
      <w:r>
        <w:rPr/>
        <w:pict>
          <v:group style="position:absolute;margin-left:49.916pt;margin-top:-6.251445pt;width:162.550pt;height:8pt;mso-position-horizontal-relative:page;mso-position-vertical-relative:paragraph;z-index:15779328" coordorigin="998,-125" coordsize="3251,160">
            <v:shape style="position:absolute;left:998;top:-116;width:3227;height:148" coordorigin="998,-115" coordsize="3227,148" path="m1107,29l4225,29m1107,25l1107,-83m1169,28l1169,-44m1231,28l1231,-44m1292,28l1292,-44m1354,28l1354,-44m1416,28l1416,-44m1478,28l1478,-44m1540,28l1540,-44m1602,28l1602,-44m1664,28l1664,-44m1726,28l1726,-44m1788,28l1788,-44m1850,28l1850,-76m1921,28l1921,-44m1973,28l1973,-44m2035,28l2035,-44m2104,28l2104,-44m2159,28l2159,-44m2231,28l2231,-44m2293,28l2293,-44m2355,28l2355,-44m2413,28l2413,-44m2475,28l2475,-44m2622,23l2622,-85m2867,30l2867,-42m2681,33l2681,-39m2813,28l2813,-44m2932,28l2932,-44m2997,28l2997,-44m3055,28l3055,-44m3117,28l3117,-44m3186,28l3186,-44m3244,28l3244,-44m3316,28l3316,-44m3373,28l3373,-80m3440,30l3440,-42m3494,28l3494,-44m3559,28l3559,-44m3621,28l3621,-44m3745,31l3745,-40m3687,29l3687,-42m3807,28l3807,-44m3872,28l3872,-44m3931,28l3931,-44m3993,28l3993,-44m4078,28l4078,-44m998,-112l1073,-112m4220,-115l4146,-115e" filled="false" stroked="true" strokeweight=".5pt" strokecolor="#000000">
              <v:path arrowok="t"/>
              <v:stroke dashstyle="solid"/>
            </v:shape>
            <v:line style="position:absolute" from="1114,27" to="1005,27" stroked="true" strokeweight=".5pt" strokecolor="#000000">
              <v:stroke dashstyle="solid"/>
            </v:line>
            <v:shape style="position:absolute;left:1048;top:-121;width:3197;height:153" coordorigin="1048,-120" coordsize="3197,153" path="m2541,33l2541,-44m4224,-120l4224,-81,4204,-65,4244,-51,4204,-31,4244,-14,4221,-4,4221,27m1068,-104l1068,-77,1048,-61,1088,-47,1048,-27,1088,-10,1065,0,1064,29m2745,33l2745,-39e" filled="false" stroked="true" strokeweight=".5pt" strokecolor="#000000">
              <v:path arrowok="t"/>
              <v:stroke dashstyle="solid"/>
            </v:shape>
            <w10:wrap type="none"/>
          </v:group>
        </w:pict>
      </w:r>
      <w:r>
        <w:rPr>
          <w:sz w:val="12"/>
        </w:rPr>
        <w:t>1995</w:t>
        <w:tab/>
        <w:t>96</w:t>
        <w:tab/>
        <w:t>97</w:t>
        <w:tab/>
      </w:r>
      <w:r>
        <w:rPr>
          <w:spacing w:val="-10"/>
          <w:sz w:val="12"/>
        </w:rPr>
        <w:t>98</w:t>
      </w:r>
    </w:p>
    <w:p>
      <w:pPr>
        <w:spacing w:before="61"/>
        <w:ind w:left="200" w:right="0" w:firstLine="0"/>
        <w:jc w:val="left"/>
        <w:rPr>
          <w:sz w:val="12"/>
        </w:rPr>
      </w:pPr>
      <w:r>
        <w:rPr>
          <w:color w:val="231F20"/>
          <w:sz w:val="12"/>
        </w:rPr>
        <w:t>Sources: LIFFE and Bank of England.</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pPr>
    </w:p>
    <w:p>
      <w:pPr>
        <w:spacing w:before="0"/>
        <w:ind w:left="-8" w:right="0" w:firstLine="0"/>
        <w:jc w:val="left"/>
        <w:rPr>
          <w:sz w:val="12"/>
        </w:rPr>
      </w:pPr>
      <w:r>
        <w:rPr>
          <w:sz w:val="12"/>
        </w:rPr>
        <w:t>Per cent</w:t>
      </w:r>
      <w:r>
        <w:rPr>
          <w:spacing w:val="21"/>
          <w:sz w:val="12"/>
        </w:rPr>
        <w:t> </w:t>
      </w:r>
      <w:r>
        <w:rPr>
          <w:position w:val="-6"/>
          <w:sz w:val="12"/>
        </w:rPr>
        <w:t>8.5</w:t>
      </w:r>
    </w:p>
    <w:p>
      <w:pPr>
        <w:pStyle w:val="BodyText"/>
        <w:spacing w:before="11"/>
        <w:rPr>
          <w:sz w:val="28"/>
        </w:rPr>
      </w:pPr>
    </w:p>
    <w:p>
      <w:pPr>
        <w:spacing w:before="0"/>
        <w:ind w:left="0" w:right="38" w:firstLine="0"/>
        <w:jc w:val="right"/>
        <w:rPr>
          <w:sz w:val="12"/>
        </w:rPr>
      </w:pPr>
      <w:r>
        <w:rPr/>
        <w:pict>
          <v:line style="position:absolute;mso-position-horizontal-relative:page;mso-position-vertical-relative:paragraph;z-index:-20310016" from="211.023998pt,-20.075628pt" to="207.309998pt,-20.075628pt" stroked="true" strokeweight=".5pt" strokecolor="#000000">
            <v:stroke dashstyle="solid"/>
            <w10:wrap type="none"/>
          </v:line>
        </w:pict>
      </w:r>
      <w:r>
        <w:rPr>
          <w:spacing w:val="-1"/>
          <w:w w:val="105"/>
          <w:sz w:val="12"/>
        </w:rPr>
        <w:t>8.0</w:t>
      </w:r>
    </w:p>
    <w:p>
      <w:pPr>
        <w:pStyle w:val="BodyText"/>
        <w:rPr>
          <w:sz w:val="12"/>
        </w:rPr>
      </w:pPr>
    </w:p>
    <w:p>
      <w:pPr>
        <w:pStyle w:val="BodyText"/>
        <w:spacing w:before="3"/>
        <w:rPr>
          <w:sz w:val="17"/>
        </w:rPr>
      </w:pPr>
    </w:p>
    <w:p>
      <w:pPr>
        <w:spacing w:before="0"/>
        <w:ind w:left="0" w:right="38" w:firstLine="0"/>
        <w:jc w:val="right"/>
        <w:rPr>
          <w:sz w:val="12"/>
        </w:rPr>
      </w:pPr>
      <w:r>
        <w:rPr>
          <w:spacing w:val="-1"/>
          <w:w w:val="105"/>
          <w:sz w:val="12"/>
        </w:rPr>
        <w:t>7.5</w:t>
      </w:r>
    </w:p>
    <w:p>
      <w:pPr>
        <w:pStyle w:val="BodyText"/>
        <w:rPr>
          <w:sz w:val="12"/>
        </w:rPr>
      </w:pPr>
    </w:p>
    <w:p>
      <w:pPr>
        <w:pStyle w:val="BodyText"/>
        <w:spacing w:before="3"/>
        <w:rPr>
          <w:sz w:val="17"/>
        </w:rPr>
      </w:pPr>
    </w:p>
    <w:p>
      <w:pPr>
        <w:spacing w:before="0"/>
        <w:ind w:left="0" w:right="38" w:firstLine="0"/>
        <w:jc w:val="right"/>
        <w:rPr>
          <w:sz w:val="12"/>
        </w:rPr>
      </w:pPr>
      <w:r>
        <w:rPr>
          <w:spacing w:val="-1"/>
          <w:w w:val="105"/>
          <w:sz w:val="12"/>
        </w:rPr>
        <w:t>7.0</w:t>
      </w:r>
    </w:p>
    <w:p>
      <w:pPr>
        <w:pStyle w:val="BodyText"/>
        <w:rPr>
          <w:sz w:val="12"/>
        </w:rPr>
      </w:pPr>
    </w:p>
    <w:p>
      <w:pPr>
        <w:pStyle w:val="BodyText"/>
        <w:spacing w:before="3"/>
        <w:rPr>
          <w:sz w:val="17"/>
        </w:rPr>
      </w:pPr>
    </w:p>
    <w:p>
      <w:pPr>
        <w:spacing w:before="0"/>
        <w:ind w:left="0" w:right="38" w:firstLine="0"/>
        <w:jc w:val="right"/>
        <w:rPr>
          <w:sz w:val="12"/>
        </w:rPr>
      </w:pPr>
      <w:r>
        <w:rPr>
          <w:spacing w:val="-1"/>
          <w:w w:val="105"/>
          <w:sz w:val="12"/>
        </w:rPr>
        <w:t>6.5</w:t>
      </w:r>
    </w:p>
    <w:p>
      <w:pPr>
        <w:pStyle w:val="BodyText"/>
        <w:rPr>
          <w:sz w:val="12"/>
        </w:rPr>
      </w:pPr>
    </w:p>
    <w:p>
      <w:pPr>
        <w:pStyle w:val="BodyText"/>
        <w:spacing w:before="3"/>
        <w:rPr>
          <w:sz w:val="17"/>
        </w:rPr>
      </w:pPr>
    </w:p>
    <w:p>
      <w:pPr>
        <w:spacing w:before="0"/>
        <w:ind w:left="0" w:right="38" w:firstLine="0"/>
        <w:jc w:val="right"/>
        <w:rPr>
          <w:sz w:val="12"/>
        </w:rPr>
      </w:pPr>
      <w:r>
        <w:rPr>
          <w:spacing w:val="-1"/>
          <w:w w:val="105"/>
          <w:sz w:val="12"/>
        </w:rPr>
        <w:t>6.0</w:t>
      </w:r>
    </w:p>
    <w:p>
      <w:pPr>
        <w:pStyle w:val="BodyText"/>
        <w:rPr>
          <w:sz w:val="12"/>
        </w:rPr>
      </w:pPr>
    </w:p>
    <w:p>
      <w:pPr>
        <w:pStyle w:val="BodyText"/>
        <w:spacing w:before="3"/>
        <w:rPr>
          <w:sz w:val="17"/>
        </w:rPr>
      </w:pPr>
    </w:p>
    <w:p>
      <w:pPr>
        <w:spacing w:line="126" w:lineRule="exact" w:before="0"/>
        <w:ind w:left="429" w:right="0" w:firstLine="0"/>
        <w:jc w:val="left"/>
        <w:rPr>
          <w:sz w:val="12"/>
        </w:rPr>
      </w:pPr>
      <w:r>
        <w:rPr>
          <w:w w:val="105"/>
          <w:sz w:val="12"/>
        </w:rPr>
        <w:t>5.5</w:t>
      </w:r>
    </w:p>
    <w:p>
      <w:pPr>
        <w:spacing w:line="126" w:lineRule="exact" w:before="0"/>
        <w:ind w:left="431" w:right="0" w:firstLine="0"/>
        <w:jc w:val="left"/>
        <w:rPr>
          <w:sz w:val="12"/>
        </w:rPr>
      </w:pPr>
      <w:r>
        <w:rPr>
          <w:sz w:val="12"/>
        </w:rPr>
        <w:t>0.0</w:t>
      </w:r>
    </w:p>
    <w:p>
      <w:pPr>
        <w:pStyle w:val="Heading5"/>
        <w:spacing w:line="242" w:lineRule="auto" w:before="207"/>
        <w:ind w:left="200" w:right="193"/>
      </w:pPr>
      <w:r>
        <w:rPr/>
        <w:br w:type="column"/>
      </w:r>
      <w:r>
        <w:rPr>
          <w:color w:val="231F20"/>
        </w:rPr>
        <w:t>contrast, the implied distribution for US short rates suggests that the outcome seen as most likely by financial markets is an easing of US monetary policy, though probabilities are skewed towards rates above the central band.</w:t>
      </w:r>
    </w:p>
    <w:p>
      <w:pPr>
        <w:pStyle w:val="BodyText"/>
        <w:spacing w:before="10"/>
        <w:rPr>
          <w:sz w:val="24"/>
        </w:rPr>
      </w:pPr>
    </w:p>
    <w:p>
      <w:pPr>
        <w:spacing w:line="242" w:lineRule="auto" w:before="0"/>
        <w:ind w:left="200" w:right="143" w:firstLine="0"/>
        <w:jc w:val="left"/>
        <w:rPr>
          <w:sz w:val="24"/>
        </w:rPr>
      </w:pPr>
      <w:r>
        <w:rPr>
          <w:color w:val="231F20"/>
          <w:sz w:val="24"/>
        </w:rPr>
        <w:t>The impact of developments in Asia has probably affected short-term interest rate expectations. As the </w:t>
      </w:r>
      <w:r>
        <w:rPr>
          <w:color w:val="231F20"/>
          <w:spacing w:val="-4"/>
          <w:sz w:val="24"/>
        </w:rPr>
        <w:t>box </w:t>
      </w:r>
      <w:r>
        <w:rPr>
          <w:color w:val="231F20"/>
          <w:sz w:val="24"/>
        </w:rPr>
        <w:t>on pages 14–15 notes, financial markets expect</w:t>
      </w:r>
      <w:r>
        <w:rPr>
          <w:color w:val="231F20"/>
          <w:spacing w:val="-27"/>
          <w:sz w:val="24"/>
        </w:rPr>
        <w:t> </w:t>
      </w:r>
      <w:r>
        <w:rPr>
          <w:color w:val="231F20"/>
          <w:sz w:val="24"/>
        </w:rPr>
        <w:t>industrial countries to adjust macroeconomic policy in response to problems in Asia, and this has been reflected in US and German short-term interest rate expectations. So overseas interest rates are expected to rise by less during the year, relative to UK rates, than the MPC thought likely in November (by some 50 basis</w:t>
      </w:r>
      <w:r>
        <w:rPr>
          <w:color w:val="231F20"/>
          <w:spacing w:val="-4"/>
          <w:sz w:val="24"/>
        </w:rPr>
        <w:t> </w:t>
      </w:r>
      <w:r>
        <w:rPr>
          <w:color w:val="231F20"/>
          <w:sz w:val="24"/>
        </w:rPr>
        <w:t>points).</w:t>
      </w:r>
    </w:p>
    <w:p>
      <w:pPr>
        <w:spacing w:after="0" w:line="242" w:lineRule="auto"/>
        <w:jc w:val="left"/>
        <w:rPr>
          <w:sz w:val="24"/>
        </w:rPr>
        <w:sectPr>
          <w:type w:val="continuous"/>
          <w:pgSz w:w="11880" w:h="16840"/>
          <w:pgMar w:top="1200" w:bottom="280" w:left="620" w:right="620"/>
          <w:cols w:num="3" w:equalWidth="0">
            <w:col w:w="3181" w:space="40"/>
            <w:col w:w="626" w:space="953"/>
            <w:col w:w="5840"/>
          </w:cols>
        </w:sectPr>
      </w:pPr>
    </w:p>
    <w:p>
      <w:pPr>
        <w:pStyle w:val="BodyText"/>
        <w:spacing w:before="1"/>
        <w:rPr>
          <w:sz w:val="10"/>
        </w:rPr>
      </w:pPr>
    </w:p>
    <w:p>
      <w:pPr>
        <w:spacing w:line="208" w:lineRule="auto" w:before="0"/>
        <w:ind w:left="200" w:right="38" w:firstLine="0"/>
        <w:jc w:val="left"/>
        <w:rPr>
          <w:sz w:val="12"/>
        </w:rPr>
      </w:pPr>
      <w:r>
        <w:rPr>
          <w:color w:val="231F20"/>
          <w:sz w:val="12"/>
        </w:rPr>
        <w:t>The chart shows the relative likelihood of possible outcomes. The markets judge that there is a 10% chance of interest rates being within the darkest, central band at any date. The next deepest shade (on both sides of the central band) takes the probability out to 30%, and so on in steps of 20 percentage points. The more uncertainty there is about the interest rate outcome at any particular time horizon, the wider the bands. And if the risks are more on one side than the other, then the bands will be wider on that side of the central</w:t>
      </w:r>
      <w:r>
        <w:rPr>
          <w:color w:val="231F20"/>
          <w:spacing w:val="1"/>
          <w:sz w:val="12"/>
        </w:rPr>
        <w:t> </w:t>
      </w:r>
      <w:r>
        <w:rPr>
          <w:color w:val="231F20"/>
          <w:spacing w:val="-4"/>
          <w:sz w:val="12"/>
        </w:rPr>
        <w:t>band.</w:t>
      </w:r>
    </w:p>
    <w:p>
      <w:pPr>
        <w:pStyle w:val="BodyText"/>
        <w:spacing w:before="9"/>
        <w:rPr>
          <w:sz w:val="16"/>
        </w:rPr>
      </w:pPr>
    </w:p>
    <w:p>
      <w:pPr>
        <w:pStyle w:val="Heading9"/>
        <w:spacing w:before="0"/>
        <w:ind w:left="195"/>
      </w:pPr>
      <w:r>
        <w:rPr>
          <w:color w:val="0093C1"/>
        </w:rPr>
        <w:t>Chart 1.10</w:t>
      </w:r>
    </w:p>
    <w:p>
      <w:pPr>
        <w:spacing w:line="249" w:lineRule="auto" w:before="10"/>
        <w:ind w:left="195" w:right="331" w:firstLine="0"/>
        <w:jc w:val="left"/>
        <w:rPr>
          <w:b/>
          <w:sz w:val="20"/>
        </w:rPr>
      </w:pPr>
      <w:r>
        <w:rPr>
          <w:b/>
          <w:color w:val="0093C1"/>
          <w:sz w:val="20"/>
        </w:rPr>
        <w:t>Implied distributions for German and US three-month interest rates</w:t>
      </w:r>
    </w:p>
    <w:p>
      <w:pPr>
        <w:spacing w:line="154" w:lineRule="exact" w:before="159"/>
        <w:ind w:left="195" w:right="0" w:firstLine="0"/>
        <w:jc w:val="left"/>
        <w:rPr>
          <w:b/>
          <w:sz w:val="16"/>
        </w:rPr>
      </w:pPr>
      <w:r>
        <w:rPr>
          <w:b/>
          <w:color w:val="231F20"/>
          <w:sz w:val="16"/>
        </w:rPr>
        <w:t>Germany</w:t>
      </w:r>
    </w:p>
    <w:p>
      <w:pPr>
        <w:pStyle w:val="Heading6"/>
        <w:spacing w:before="50"/>
        <w:ind w:left="195"/>
        <w:rPr>
          <w:i/>
        </w:rPr>
      </w:pPr>
      <w:r>
        <w:rPr>
          <w:i w:val="0"/>
        </w:rPr>
        <w:br w:type="column"/>
      </w:r>
      <w:r>
        <w:rPr>
          <w:i/>
          <w:color w:val="009483"/>
        </w:rPr>
        <w:t>Long-term interest rates</w:t>
      </w:r>
    </w:p>
    <w:p>
      <w:pPr>
        <w:spacing w:line="242" w:lineRule="auto" w:before="164"/>
        <w:ind w:left="195" w:right="0" w:firstLine="0"/>
        <w:jc w:val="left"/>
        <w:rPr>
          <w:sz w:val="24"/>
        </w:rPr>
      </w:pPr>
      <w:r>
        <w:rPr>
          <w:color w:val="231F20"/>
          <w:sz w:val="24"/>
        </w:rPr>
        <w:t>The long-term interest rate is determined largely by the expected path of future short rates, though it may also be affected by other factors such as changes in risk premia. The nominal yield on ten-year gilts fell by a further</w:t>
      </w:r>
    </w:p>
    <w:p>
      <w:pPr>
        <w:spacing w:before="5"/>
        <w:ind w:left="195" w:right="0" w:firstLine="0"/>
        <w:jc w:val="left"/>
        <w:rPr>
          <w:sz w:val="24"/>
        </w:rPr>
      </w:pPr>
      <w:r>
        <w:rPr>
          <w:color w:val="231F20"/>
          <w:sz w:val="24"/>
        </w:rPr>
        <w:t>50 basis points between the November and February</w:t>
      </w:r>
    </w:p>
    <w:p>
      <w:pPr>
        <w:spacing w:before="4"/>
        <w:ind w:left="195" w:right="0" w:firstLine="0"/>
        <w:jc w:val="left"/>
        <w:rPr>
          <w:sz w:val="24"/>
        </w:rPr>
      </w:pPr>
      <w:r>
        <w:rPr>
          <w:i/>
          <w:color w:val="231F20"/>
          <w:sz w:val="24"/>
        </w:rPr>
        <w:t>Reports</w:t>
      </w:r>
      <w:r>
        <w:rPr>
          <w:color w:val="231F20"/>
          <w:sz w:val="24"/>
        </w:rPr>
        <w:t>, continuing a two-year downward trend, and is</w:t>
      </w:r>
    </w:p>
    <w:p>
      <w:pPr>
        <w:spacing w:after="0"/>
        <w:jc w:val="left"/>
        <w:rPr>
          <w:sz w:val="24"/>
        </w:rPr>
        <w:sectPr>
          <w:type w:val="continuous"/>
          <w:pgSz w:w="11880" w:h="16840"/>
          <w:pgMar w:top="1200" w:bottom="280" w:left="620" w:right="620"/>
          <w:cols w:num="2" w:equalWidth="0">
            <w:col w:w="4079" w:space="726"/>
            <w:col w:w="5835"/>
          </w:cols>
        </w:sectPr>
      </w:pPr>
    </w:p>
    <w:p>
      <w:pPr>
        <w:spacing w:before="82"/>
        <w:ind w:left="275" w:right="0" w:firstLine="0"/>
        <w:jc w:val="left"/>
        <w:rPr>
          <w:sz w:val="12"/>
        </w:rPr>
      </w:pPr>
      <w:r>
        <w:rPr>
          <w:sz w:val="12"/>
        </w:rPr>
        <w:t>Expectations as at c.o.b 4 February 1998</w:t>
      </w:r>
    </w:p>
    <w:p>
      <w:pPr>
        <w:pStyle w:val="BodyText"/>
        <w:spacing w:line="20" w:lineRule="exact"/>
        <w:ind w:left="285"/>
        <w:rPr>
          <w:sz w:val="2"/>
        </w:rPr>
      </w:pPr>
      <w:r>
        <w:rPr>
          <w:sz w:val="2"/>
        </w:rPr>
        <w:pict>
          <v:group style="width:3.15pt;height:.5pt;mso-position-horizontal-relative:char;mso-position-vertical-relative:line" coordorigin="0,0" coordsize="63,10">
            <v:line style="position:absolute" from="62,5" to="0,5" stroked="true" strokeweight=".5pt" strokecolor="#000000">
              <v:stroke dashstyle="solid"/>
            </v:line>
          </v:group>
        </w:pict>
      </w:r>
      <w:r>
        <w:rPr>
          <w:sz w:val="2"/>
        </w:rPr>
      </w:r>
    </w:p>
    <w:p>
      <w:pPr>
        <w:pStyle w:val="BodyText"/>
        <w:rPr>
          <w:sz w:val="20"/>
        </w:rPr>
      </w:pPr>
    </w:p>
    <w:p>
      <w:pPr>
        <w:pStyle w:val="BodyText"/>
        <w:spacing w:before="8"/>
        <w:rPr>
          <w:sz w:val="16"/>
        </w:rPr>
      </w:pPr>
      <w:r>
        <w:rPr/>
        <w:pict>
          <v:shape style="position:absolute;margin-left:45.333pt;margin-top:11.829523pt;width:3.75pt;height:.1pt;mso-position-horizontal-relative:page;mso-position-vertical-relative:paragraph;z-index:-15688192;mso-wrap-distance-left:0;mso-wrap-distance-right:0" coordorigin="907,237" coordsize="75,0" path="m907,237l981,237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5.333pt;margin-top:10.523976pt;width:3.75pt;height:.1pt;mso-position-horizontal-relative:page;mso-position-vertical-relative:paragraph;z-index:-15687680;mso-wrap-distance-left:0;mso-wrap-distance-right:0" coordorigin="907,210" coordsize="75,0" path="m907,210l981,210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5.333pt;margin-top:10.524977pt;width:3.75pt;height:.1pt;mso-position-horizontal-relative:page;mso-position-vertical-relative:paragraph;z-index:-15687168;mso-wrap-distance-left:0;mso-wrap-distance-right:0" coordorigin="907,210" coordsize="75,0" path="m907,210l981,210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5.333pt;margin-top:10.525976pt;width:3.75pt;height:.1pt;mso-position-horizontal-relative:page;mso-position-vertical-relative:paragraph;z-index:-15686656;mso-wrap-distance-left:0;mso-wrap-distance-right:0" coordorigin="907,211" coordsize="75,0" path="m907,211l981,211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5.333pt;margin-top:10.523976pt;width:3.75pt;height:.1pt;mso-position-horizontal-relative:page;mso-position-vertical-relative:paragraph;z-index:-15686144;mso-wrap-distance-left:0;mso-wrap-distance-right:0" coordorigin="907,210" coordsize="75,0" path="m907,210l981,210e" filled="false" stroked="true" strokeweight=".5pt" strokecolor="#000000">
            <v:path arrowok="t"/>
            <v:stroke dashstyle="solid"/>
            <w10:wrap type="topAndBottom"/>
          </v:shape>
        </w:pict>
      </w:r>
    </w:p>
    <w:p>
      <w:pPr>
        <w:spacing w:before="82"/>
        <w:ind w:left="275" w:right="0" w:firstLine="0"/>
        <w:jc w:val="left"/>
        <w:rPr>
          <w:sz w:val="12"/>
        </w:rPr>
      </w:pPr>
      <w:r>
        <w:rPr/>
        <w:br w:type="column"/>
      </w:r>
      <w:r>
        <w:rPr>
          <w:sz w:val="12"/>
        </w:rPr>
        <w:t>Per cent </w:t>
      </w:r>
      <w:r>
        <w:rPr>
          <w:spacing w:val="1"/>
          <w:sz w:val="12"/>
        </w:rPr>
        <w:t> </w:t>
      </w:r>
      <w:r>
        <w:rPr>
          <w:position w:val="-7"/>
          <w:sz w:val="12"/>
        </w:rPr>
        <w:t>5.5</w:t>
      </w:r>
    </w:p>
    <w:p>
      <w:pPr>
        <w:pStyle w:val="BodyText"/>
        <w:spacing w:before="4"/>
        <w:rPr>
          <w:sz w:val="29"/>
        </w:rPr>
      </w:pPr>
    </w:p>
    <w:p>
      <w:pPr>
        <w:spacing w:before="0"/>
        <w:ind w:left="0" w:right="38" w:firstLine="0"/>
        <w:jc w:val="right"/>
        <w:rPr>
          <w:sz w:val="12"/>
        </w:rPr>
      </w:pPr>
      <w:r>
        <w:rPr/>
        <w:pict>
          <v:group style="position:absolute;margin-left:50.167pt;margin-top:-4.357681pt;width:156.1pt;height:97.55pt;mso-position-horizontal-relative:page;mso-position-vertical-relative:paragraph;z-index:15775744" coordorigin="1003,-87" coordsize="3122,1951">
            <v:shape style="position:absolute;left:3283;top:-26;width:707;height:1824" coordorigin="3283,-26" coordsize="707,1824" path="m3990,-26l3907,125,3782,426,3595,748,3283,1421,3595,1699,3907,1782,3990,1798,3990,-26xe" filled="true" fillcolor="#ffe6ca" stroked="false">
              <v:path arrowok="t"/>
              <v:fill type="solid"/>
            </v:shape>
            <v:shape style="position:absolute;left:3283;top:488;width:707;height:1043" coordorigin="3283,488" coordsize="707,1043" path="m3990,488l3907,573,3782,743,3595,949,3283,1417,3595,1531,3782,1522,3907,1478,3990,1456,3990,488xe" filled="true" fillcolor="#fed09e" stroked="false">
              <v:path arrowok="t"/>
              <v:fill type="solid"/>
            </v:shape>
            <v:shape style="position:absolute;left:3283;top:698;width:707;height:730" coordorigin="3283,698" coordsize="707,730" path="m3990,698l3907,765,3782,897,3595,1067,3283,1417,3595,1428,3782,1396,3907,1327,3990,1293,3990,698xe" filled="true" fillcolor="#fcbb75" stroked="false">
              <v:path arrowok="t"/>
              <v:fill type="solid"/>
            </v:shape>
            <v:shape style="position:absolute;left:3283;top:840;width:707;height:579" coordorigin="3283,841" coordsize="707,579" path="m3990,841l3907,898,3782,1013,3595,1161,3283,1419,3302,1419,3614,1343,3595,1343,3782,1296,3907,1213,3990,1172,3990,841xe" filled="true" fillcolor="#faa74a" stroked="false">
              <v:path arrowok="t"/>
              <v:fill type="solid"/>
            </v:shape>
            <v:shape style="position:absolute;left:3283;top:958;width:707;height:462" coordorigin="3284,958" coordsize="707,462" path="m3990,958l3907,1010,3782,1113,3595,1245,3284,1420,3595,1264,3782,1204,3907,1112,3990,1065,3990,958xe" filled="true" fillcolor="#f7941d" stroked="false">
              <v:path arrowok="t"/>
              <v:fill type="solid"/>
            </v:shape>
            <v:shape style="position:absolute;left:4046;top:68;width:78;height:1424" coordorigin="4047,69" coordsize="78,1424" path="m4125,1492l4050,1492m4121,1018l4047,1018m4121,543l4047,543m4121,69l4047,69e" filled="false" stroked="true" strokeweight=".5pt" strokecolor="#000000">
              <v:path arrowok="t"/>
              <v:stroke dashstyle="solid"/>
            </v:shape>
            <v:shape style="position:absolute;left:1013;top:-78;width:811;height:1707" coordorigin="1013,-77" coordsize="811,1707" path="m1076,-25l1013,-77m1138,2l1076,-25m1200,374l1138,2m1263,452l1200,374m1325,516l1263,452m1387,486l1325,516m1450,572l1387,486m1512,833l1450,572m1574,929l1512,833m1637,1009l1574,929m1699,1073l1637,1009m1761,1390l1699,1073m1824,1629l1761,1390e" filled="false" stroked="true" strokeweight="1pt" strokecolor="#f7941d">
              <v:path arrowok="t"/>
              <v:stroke dashstyle="solid"/>
            </v:shape>
            <v:line style="position:absolute" from="1814,1629" to="1896,1629" stroked="true" strokeweight="1.033pt" strokecolor="#f7941d">
              <v:stroke dashstyle="solid"/>
            </v:line>
            <v:shape style="position:absolute;left:1886;top:1602;width:187;height:92" coordorigin="1886,1602" coordsize="187,92" path="m1948,1656l1886,1630m2011,1694l1948,1656m2073,1602l2011,1694e" filled="false" stroked="true" strokeweight="1pt" strokecolor="#f7941d">
              <v:path arrowok="t"/>
              <v:stroke dashstyle="solid"/>
            </v:shape>
            <v:line style="position:absolute" from="2063,1603" to="2145,1603" stroked="true" strokeweight="1.047pt" strokecolor="#f7941d">
              <v:stroke dashstyle="solid"/>
            </v:line>
            <v:shape style="position:absolute;left:2135;top:1603;width:125;height:251" coordorigin="2135,1603" coordsize="125,251" path="m2198,1681l2135,1603m2260,1854l2198,1681e" filled="false" stroked="true" strokeweight="1pt" strokecolor="#f7941d">
              <v:path arrowok="t"/>
              <v:stroke dashstyle="solid"/>
            </v:shape>
            <v:line style="position:absolute" from="2250,1853" to="2332,1853" stroked="true" strokeweight="1.071pt" strokecolor="#f7941d">
              <v:stroke dashstyle="solid"/>
            </v:line>
            <v:shape style="position:absolute;left:2322;top:1263;width:832;height:590" coordorigin="2322,1263" coordsize="832,590" path="m2385,1785l2322,1852m2447,1749l2385,1785m2530,1844l2447,1749m2592,1796l2530,1844m2655,1707l2592,1796m2717,1743l2655,1707m2779,1798l2717,1743m2842,1831l2779,1798m2904,1821l2842,1831m2966,1703l2904,1821m3029,1673l2966,1703m3091,1409l3029,1673m3153,1263l3091,1409e" filled="false" stroked="true" strokeweight="1pt" strokecolor="#f7941d">
              <v:path arrowok="t"/>
              <v:stroke dashstyle="solid"/>
            </v:shape>
            <v:line style="position:absolute" from="3143,1262" to="3226,1262" stroked="true" strokeweight="1.095pt" strokecolor="#f7941d">
              <v:stroke dashstyle="solid"/>
            </v:line>
            <v:line style="position:absolute" from="3278,1422" to="3216,1261" stroked="true" strokeweight="1pt" strokecolor="#f7941d">
              <v:stroke dashstyle="solid"/>
            </v:line>
            <w10:wrap type="none"/>
          </v:group>
        </w:pict>
      </w:r>
      <w:r>
        <w:rPr/>
        <w:pict>
          <v:line style="position:absolute;mso-position-horizontal-relative:page;mso-position-vertical-relative:paragraph;z-index:-20312576" from="206.168003pt,-20.014681pt" to="202.453003pt,-20.014681pt" stroked="true" strokeweight=".5pt" strokecolor="#000000">
            <v:stroke dashstyle="solid"/>
            <w10:wrap type="none"/>
          </v:line>
        </w:pict>
      </w:r>
      <w:r>
        <w:rPr>
          <w:sz w:val="12"/>
        </w:rPr>
        <w:t>5.0</w:t>
      </w:r>
    </w:p>
    <w:p>
      <w:pPr>
        <w:pStyle w:val="BodyText"/>
        <w:rPr>
          <w:sz w:val="12"/>
        </w:rPr>
      </w:pPr>
    </w:p>
    <w:p>
      <w:pPr>
        <w:pStyle w:val="BodyText"/>
        <w:spacing w:before="3"/>
        <w:rPr>
          <w:sz w:val="17"/>
        </w:rPr>
      </w:pPr>
    </w:p>
    <w:p>
      <w:pPr>
        <w:spacing w:before="0"/>
        <w:ind w:left="0" w:right="38" w:firstLine="0"/>
        <w:jc w:val="right"/>
        <w:rPr>
          <w:sz w:val="12"/>
        </w:rPr>
      </w:pPr>
      <w:r>
        <w:rPr>
          <w:sz w:val="12"/>
        </w:rPr>
        <w:t>4.5</w:t>
      </w:r>
    </w:p>
    <w:p>
      <w:pPr>
        <w:pStyle w:val="BodyText"/>
        <w:rPr>
          <w:sz w:val="12"/>
        </w:rPr>
      </w:pPr>
    </w:p>
    <w:p>
      <w:pPr>
        <w:pStyle w:val="BodyText"/>
        <w:spacing w:before="3"/>
        <w:rPr>
          <w:sz w:val="17"/>
        </w:rPr>
      </w:pPr>
    </w:p>
    <w:p>
      <w:pPr>
        <w:spacing w:before="0"/>
        <w:ind w:left="0" w:right="38" w:firstLine="0"/>
        <w:jc w:val="right"/>
        <w:rPr>
          <w:sz w:val="12"/>
        </w:rPr>
      </w:pPr>
      <w:r>
        <w:rPr>
          <w:sz w:val="12"/>
        </w:rPr>
        <w:t>4.0</w:t>
      </w:r>
    </w:p>
    <w:p>
      <w:pPr>
        <w:pStyle w:val="BodyText"/>
        <w:rPr>
          <w:sz w:val="12"/>
        </w:rPr>
      </w:pPr>
    </w:p>
    <w:p>
      <w:pPr>
        <w:pStyle w:val="BodyText"/>
        <w:spacing w:before="3"/>
        <w:rPr>
          <w:sz w:val="17"/>
        </w:rPr>
      </w:pPr>
    </w:p>
    <w:p>
      <w:pPr>
        <w:spacing w:before="0"/>
        <w:ind w:left="0" w:right="38" w:firstLine="0"/>
        <w:jc w:val="right"/>
        <w:rPr>
          <w:sz w:val="12"/>
        </w:rPr>
      </w:pPr>
      <w:r>
        <w:rPr>
          <w:sz w:val="12"/>
        </w:rPr>
        <w:t>3.5</w:t>
      </w:r>
    </w:p>
    <w:p>
      <w:pPr>
        <w:pStyle w:val="BodyText"/>
        <w:rPr>
          <w:sz w:val="12"/>
        </w:rPr>
      </w:pPr>
    </w:p>
    <w:p>
      <w:pPr>
        <w:pStyle w:val="BodyText"/>
        <w:spacing w:before="3"/>
        <w:rPr>
          <w:sz w:val="17"/>
        </w:rPr>
      </w:pPr>
    </w:p>
    <w:p>
      <w:pPr>
        <w:spacing w:before="0"/>
        <w:ind w:left="0" w:right="38" w:firstLine="0"/>
        <w:jc w:val="right"/>
        <w:rPr>
          <w:sz w:val="12"/>
        </w:rPr>
      </w:pPr>
      <w:r>
        <w:rPr/>
        <w:pict>
          <v:line style="position:absolute;mso-position-horizontal-relative:page;mso-position-vertical-relative:paragraph;z-index:15776768" from="206.228008pt,3.423514pt" to="202.514008pt,3.423514pt" stroked="true" strokeweight=".5pt" strokecolor="#000000">
            <v:stroke dashstyle="solid"/>
            <w10:wrap type="none"/>
          </v:line>
        </w:pict>
      </w:r>
      <w:r>
        <w:rPr>
          <w:sz w:val="12"/>
        </w:rPr>
        <w:t>3.0</w:t>
      </w:r>
    </w:p>
    <w:p>
      <w:pPr>
        <w:pStyle w:val="BodyText"/>
        <w:rPr>
          <w:sz w:val="12"/>
        </w:rPr>
      </w:pPr>
    </w:p>
    <w:p>
      <w:pPr>
        <w:pStyle w:val="BodyText"/>
        <w:spacing w:before="3"/>
        <w:rPr>
          <w:sz w:val="17"/>
        </w:rPr>
      </w:pPr>
    </w:p>
    <w:p>
      <w:pPr>
        <w:spacing w:line="70" w:lineRule="exact" w:before="0"/>
        <w:ind w:left="0" w:right="38" w:firstLine="0"/>
        <w:jc w:val="right"/>
        <w:rPr>
          <w:sz w:val="12"/>
        </w:rPr>
      </w:pPr>
      <w:r>
        <w:rPr/>
        <w:pict>
          <v:shape style="position:absolute;margin-left:45.333pt;margin-top:3.237548pt;width:161.950pt;height:7.55pt;mso-position-horizontal-relative:page;mso-position-vertical-relative:paragraph;z-index:15776256" coordorigin="907,65" coordsize="3239,151" path="m908,209l4126,209m1015,205l1015,94m1077,208l1077,137m1139,208l1139,137m1201,208l1201,137m1263,208l1263,137m1325,208l1325,137m1386,208l1386,137m1448,208l1448,137m1510,208l1510,137m1572,208l1572,137m1634,208l1634,137m1696,208l1696,137m1758,203l1758,99m1820,208l1820,137m1882,208l1882,137m1944,208l1944,137m2005,208l2005,137m2067,208l2067,137m2129,208l2129,137m2191,208l2191,137m2253,208l2253,137m2315,208l2315,137m2377,208l2377,137m2510,198l2510,87m2579,203l2579,132m2648,208l2648,137m2710,214l2710,143m2771,208l2771,137m2833,208l2833,137m2902,208l2902,137m2964,208l2964,137m3019,208l3019,137m3081,214l3081,143m3143,214l3143,143m3205,214l3205,143m3275,214l3275,90m3350,208l3350,137m3425,214l3425,143m3487,208l3487,137m3549,208l3549,137m3611,208l3611,137m3673,208l3673,137m3739,208l3739,137m3801,208l3801,137m3862,208l3862,137m3924,208l3924,137m3986,208l3986,137m907,68l977,68m4125,68l4050,68m2432,214l2432,143m4125,66l4125,103,4105,119,4145,133,4105,153,4145,169,4122,179,4121,215m973,65l973,96,953,113,993,126,953,146,993,163,969,173,969,206e" filled="false" stroked="true" strokeweight=".5pt" strokecolor="#000000">
            <v:path arrowok="t"/>
            <v:stroke dashstyle="solid"/>
            <w10:wrap type="none"/>
          </v:shape>
        </w:pict>
      </w:r>
      <w:r>
        <w:rPr>
          <w:sz w:val="12"/>
        </w:rPr>
        <w:t>2.5</w:t>
      </w:r>
    </w:p>
    <w:p>
      <w:pPr>
        <w:pStyle w:val="Heading5"/>
        <w:spacing w:line="242" w:lineRule="auto"/>
        <w:ind w:left="275" w:right="247"/>
      </w:pPr>
      <w:r>
        <w:rPr/>
        <w:br w:type="column"/>
      </w:r>
      <w:r>
        <w:rPr>
          <w:color w:val="231F20"/>
        </w:rPr>
        <w:t>now around 6.1%. This means that implied future short rates </w:t>
      </w:r>
      <w:r>
        <w:rPr>
          <w:color w:val="231F20"/>
          <w:spacing w:val="-3"/>
        </w:rPr>
        <w:t>have </w:t>
      </w:r>
      <w:r>
        <w:rPr>
          <w:color w:val="231F20"/>
        </w:rPr>
        <w:t>fallen steadily. The change in nominal interest rates can be decomposed into changes in expected real interest rates and in inflation </w:t>
      </w:r>
      <w:r>
        <w:rPr>
          <w:color w:val="231F20"/>
          <w:spacing w:val="-3"/>
        </w:rPr>
        <w:t>expectations. </w:t>
      </w:r>
      <w:r>
        <w:rPr>
          <w:color w:val="231F20"/>
        </w:rPr>
        <w:t>Medium-term inflation expectations, as derived from conventional and index-linked gilts, </w:t>
      </w:r>
      <w:r>
        <w:rPr>
          <w:color w:val="231F20"/>
          <w:spacing w:val="-3"/>
        </w:rPr>
        <w:t>have </w:t>
      </w:r>
      <w:r>
        <w:rPr>
          <w:color w:val="231F20"/>
        </w:rPr>
        <w:t>fallen further since the November </w:t>
      </w:r>
      <w:r>
        <w:rPr>
          <w:i/>
          <w:color w:val="231F20"/>
        </w:rPr>
        <w:t>Report </w:t>
      </w:r>
      <w:r>
        <w:rPr>
          <w:color w:val="231F20"/>
        </w:rPr>
        <w:t>(see Chart 1.11). Measures of the real interest rate, calculated from sterling index- linked bonds, </w:t>
      </w:r>
      <w:r>
        <w:rPr>
          <w:color w:val="231F20"/>
          <w:spacing w:val="-3"/>
        </w:rPr>
        <w:t>have </w:t>
      </w:r>
      <w:r>
        <w:rPr>
          <w:color w:val="231F20"/>
        </w:rPr>
        <w:t>also fallen, and account for some of the reduction in nominal rates. Real index-linked yields also fell in Australia and Canada, but by less than in the</w:t>
      </w:r>
    </w:p>
    <w:p>
      <w:pPr>
        <w:spacing w:after="0" w:line="242" w:lineRule="auto"/>
        <w:sectPr>
          <w:type w:val="continuous"/>
          <w:pgSz w:w="11880" w:h="16840"/>
          <w:pgMar w:top="1200" w:bottom="280" w:left="620" w:right="620"/>
          <w:cols w:num="3" w:equalWidth="0">
            <w:col w:w="2269" w:space="570"/>
            <w:col w:w="919" w:space="967"/>
            <w:col w:w="5915"/>
          </w:cols>
        </w:sectPr>
      </w:pPr>
    </w:p>
    <w:p>
      <w:pPr>
        <w:pStyle w:val="BodyText"/>
        <w:spacing w:before="9"/>
        <w:rPr>
          <w:sz w:val="14"/>
        </w:rPr>
      </w:pPr>
    </w:p>
    <w:p>
      <w:pPr>
        <w:tabs>
          <w:tab w:pos="1592" w:val="left" w:leader="none"/>
          <w:tab w:pos="2394" w:val="left" w:leader="none"/>
          <w:tab w:pos="3063" w:val="left" w:leader="none"/>
        </w:tabs>
        <w:spacing w:before="0"/>
        <w:ind w:left="657" w:right="0" w:firstLine="0"/>
        <w:jc w:val="left"/>
        <w:rPr>
          <w:sz w:val="12"/>
        </w:rPr>
      </w:pPr>
      <w:r>
        <w:rPr>
          <w:sz w:val="12"/>
        </w:rPr>
        <w:t>1995</w:t>
        <w:tab/>
        <w:t>96</w:t>
        <w:tab/>
        <w:t>97</w:t>
        <w:tab/>
        <w:t>98</w:t>
      </w:r>
    </w:p>
    <w:p>
      <w:pPr>
        <w:spacing w:before="47"/>
        <w:ind w:left="195" w:right="0" w:firstLine="0"/>
        <w:jc w:val="left"/>
        <w:rPr>
          <w:b/>
          <w:sz w:val="16"/>
        </w:rPr>
      </w:pPr>
      <w:r>
        <w:rPr>
          <w:b/>
          <w:color w:val="231F20"/>
          <w:sz w:val="16"/>
        </w:rPr>
        <w:t>United States</w:t>
      </w:r>
    </w:p>
    <w:p>
      <w:pPr>
        <w:spacing w:before="67"/>
        <w:ind w:left="195" w:right="0" w:firstLine="0"/>
        <w:jc w:val="left"/>
        <w:rPr>
          <w:sz w:val="12"/>
        </w:rPr>
      </w:pPr>
      <w:r>
        <w:rPr/>
        <w:br w:type="column"/>
      </w:r>
      <w:r>
        <w:rPr>
          <w:sz w:val="12"/>
        </w:rPr>
        <w:t>0.0</w:t>
      </w:r>
    </w:p>
    <w:p>
      <w:pPr>
        <w:pStyle w:val="Heading5"/>
        <w:spacing w:line="242" w:lineRule="auto"/>
        <w:ind w:left="195" w:right="175"/>
      </w:pPr>
      <w:r>
        <w:rPr/>
        <w:br w:type="column"/>
      </w:r>
      <w:r>
        <w:rPr>
          <w:color w:val="231F20"/>
        </w:rPr>
        <w:t>United Kingdom. By contrast, US real yields were little changed (see Chart 1.12), though this may partly reflect</w:t>
      </w:r>
    </w:p>
    <w:p>
      <w:pPr>
        <w:spacing w:after="0" w:line="242" w:lineRule="auto"/>
        <w:sectPr>
          <w:type w:val="continuous"/>
          <w:pgSz w:w="11880" w:h="16840"/>
          <w:pgMar w:top="1200" w:bottom="280" w:left="620" w:right="620"/>
          <w:cols w:num="3" w:equalWidth="0">
            <w:col w:w="3224" w:space="139"/>
            <w:col w:w="386" w:space="1057"/>
            <w:col w:w="5834"/>
          </w:cols>
        </w:sectPr>
      </w:pPr>
    </w:p>
    <w:p>
      <w:pPr>
        <w:pStyle w:val="BodyText"/>
        <w:spacing w:before="8"/>
        <w:rPr>
          <w:sz w:val="12"/>
        </w:rPr>
      </w:pPr>
    </w:p>
    <w:p>
      <w:pPr>
        <w:spacing w:before="0"/>
        <w:ind w:left="262" w:right="0" w:firstLine="0"/>
        <w:jc w:val="left"/>
        <w:rPr>
          <w:sz w:val="12"/>
        </w:rPr>
      </w:pPr>
      <w:r>
        <w:rPr/>
        <w:pict>
          <v:group style="position:absolute;margin-left:49.75pt;margin-top:29.34236pt;width:156.050pt;height:91.2pt;mso-position-horizontal-relative:page;mso-position-vertical-relative:paragraph;z-index:15777792" coordorigin="995,587" coordsize="3121,1824">
            <v:shape style="position:absolute;left:3274;top:586;width:707;height:1824" coordorigin="3274,587" coordsize="707,1824" path="m3981,587l3898,673,3773,844,3586,1083,3274,1433,3586,2132,3773,2320,3898,2380,3981,2411,3981,587xe" filled="true" fillcolor="#e1d1e7" stroked="false">
              <v:path arrowok="t"/>
              <v:fill type="solid"/>
            </v:shape>
            <v:shape style="position:absolute;left:3274;top:800;width:707;height:1368" coordorigin="3274,800" coordsize="707,1368" path="m3981,800l3898,884,3773,1051,3586,1261,3274,1429,3586,1951,3773,2105,3898,2147,3981,2168,3981,800xe" filled="true" fillcolor="#caaad1" stroked="false">
              <v:path arrowok="t"/>
              <v:fill type="solid"/>
            </v:shape>
            <v:shape style="position:absolute;left:3274;top:983;width:707;height:1032" coordorigin="3274,983" coordsize="707,1032" path="m3981,983l3898,1057,3773,1205,3586,1365,3274,1429,3586,1792,3773,1963,3898,1997,3981,2015,3981,983xe" filled="true" fillcolor="#b687bc" stroked="false">
              <v:path arrowok="t"/>
              <v:fill type="solid"/>
            </v:shape>
            <v:shape style="position:absolute;left:3274;top:1287;width:707;height:594" coordorigin="3274,1287" coordsize="707,594" path="m3284,1432l3595,1692,3586,1692,3773,1835,3898,1865,3981,1880,3981,1452,3586,1452,3284,1432xm3981,1287l3898,1312,3773,1361,3586,1452,3981,1452,3981,1287xm3283,1432l3274,1432,3284,1432,3283,1432xe" filled="true" fillcolor="#a467ab" stroked="false">
              <v:path arrowok="t"/>
              <v:fill type="solid"/>
            </v:shape>
            <v:shape style="position:absolute;left:3274;top:1430;width:707;height:307" coordorigin="3274,1431" coordsize="707,307" path="m3274,1431l3586,1606,3773,1697,3898,1724,3981,1737,3981,1565,3898,1556,3773,1537,3586,1531,3274,1431xe" filled="true" fillcolor="#95459a" stroked="false">
              <v:path arrowok="t"/>
              <v:fill type="solid"/>
            </v:shape>
            <v:shape style="position:absolute;left:1955;top:629;width:2161;height:1418" coordorigin="1955,629" coordsize="2161,1418" path="m4113,2047l4039,2047m4115,1578l4041,1578m4115,1104l4041,1104m4115,629l4041,629m2017,1573l1955,1573e" filled="false" stroked="true" strokeweight=".5pt" strokecolor="#000000">
              <v:path arrowok="t"/>
              <v:stroke dashstyle="solid"/>
            </v:shape>
            <v:shape style="position:absolute;left:1005;top:775;width:1434;height:1016" coordorigin="1005,776" coordsize="1434,1016" path="m1067,823l1005,776m1130,842l1067,823m1192,871l1130,842m1254,965l1192,871m1317,1089l1254,965m1379,1193l1317,1089m1441,1184l1379,1193m1504,1222l1441,1184m1566,1165l1504,1222m1628,1212l1566,1165m1691,1326l1628,1212m1753,1535l1691,1326m1815,1791l1753,1535m1878,1677l1815,1791m1940,1582l1878,1677m2002,1573l1940,1582m2065,1506l2002,1573m2127,1440l2065,1506m2189,1544l2127,1440m2252,1459l2189,1544m2314,1525l2252,1459m2376,1573l2314,1525m2439,1525l2376,1573e" filled="false" stroked="true" strokeweight="1pt" strokecolor="#95459a">
              <v:path arrowok="t"/>
              <v:stroke dashstyle="solid"/>
            </v:shape>
            <v:line style="position:absolute" from="2429,1521" to="2532,1521" stroked="true" strokeweight="1.475pt" strokecolor="#95459a">
              <v:stroke dashstyle="solid"/>
            </v:line>
            <v:shape style="position:absolute;left:2521;top:1183;width:748;height:380" coordorigin="2522,1184" coordsize="748,380" path="m2584,1563l2522,1516m2646,1459l2584,1563m2709,1260l2646,1459m2771,1269l2709,1260m2833,1298l2771,1269m2896,1336l2833,1298m2958,1355l2896,1336m3020,1355l2958,1355m3083,1317l3020,1355m3145,1260l3083,1317m3207,1184l3145,1260m3270,1431l3207,1184e" filled="false" stroked="true" strokeweight="1pt" strokecolor="#95459a">
              <v:path arrowok="t"/>
              <v:stroke dashstyle="solid"/>
            </v:shape>
            <w10:wrap type="none"/>
          </v:group>
        </w:pict>
      </w:r>
      <w:r>
        <w:rPr>
          <w:sz w:val="12"/>
        </w:rPr>
        <w:t>Expectations as at c.o.b 4 February 1998</w:t>
      </w:r>
    </w:p>
    <w:p>
      <w:pPr>
        <w:pStyle w:val="BodyText"/>
        <w:spacing w:line="20" w:lineRule="exact"/>
        <w:ind w:left="270"/>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8"/>
        <w:rPr>
          <w:sz w:val="16"/>
        </w:rPr>
      </w:pPr>
      <w:r>
        <w:rPr/>
        <w:pict>
          <v:shape style="position:absolute;margin-left:44.75pt;margin-top:11.8279pt;width:3.75pt;height:.1pt;mso-position-horizontal-relative:page;mso-position-vertical-relative:paragraph;z-index:-15685120;mso-wrap-distance-left:0;mso-wrap-distance-right:0" coordorigin="895,237" coordsize="75,0" path="m895,237l969,237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4.75pt;margin-top:10.523976pt;width:3.75pt;height:.1pt;mso-position-horizontal-relative:page;mso-position-vertical-relative:paragraph;z-index:-15684608;mso-wrap-distance-left:0;mso-wrap-distance-right:0" coordorigin="895,210" coordsize="75,0" path="m895,210l969,210e" filled="false" stroked="true" strokeweight=".5pt" strokecolor="#000000">
            <v:path arrowok="t"/>
            <v:stroke dashstyle="solid"/>
            <w10:wrap type="topAndBottom"/>
          </v:shape>
        </w:pict>
      </w:r>
    </w:p>
    <w:p>
      <w:pPr>
        <w:pStyle w:val="BodyText"/>
        <w:rPr>
          <w:sz w:val="20"/>
        </w:rPr>
      </w:pPr>
    </w:p>
    <w:p>
      <w:pPr>
        <w:pStyle w:val="BodyText"/>
        <w:spacing w:before="10"/>
        <w:rPr>
          <w:sz w:val="14"/>
        </w:rPr>
      </w:pPr>
      <w:r>
        <w:rPr/>
        <w:pict>
          <v:shape style="position:absolute;margin-left:44.875pt;margin-top:10.774977pt;width:3.15pt;height:.1pt;mso-position-horizontal-relative:page;mso-position-vertical-relative:paragraph;z-index:-15684096;mso-wrap-distance-left:0;mso-wrap-distance-right:0" coordorigin="898,215" coordsize="63,0" path="m960,215l898,215e" filled="false" stroked="true" strokeweight=".5pt" strokecolor="#000000">
            <v:path arrowok="t"/>
            <v:stroke dashstyle="solid"/>
            <w10:wrap type="topAndBottom"/>
          </v:shape>
        </w:pict>
      </w:r>
    </w:p>
    <w:p>
      <w:pPr>
        <w:pStyle w:val="BodyText"/>
        <w:rPr>
          <w:sz w:val="20"/>
        </w:rPr>
      </w:pPr>
    </w:p>
    <w:p>
      <w:pPr>
        <w:pStyle w:val="BodyText"/>
        <w:rPr>
          <w:sz w:val="14"/>
        </w:rPr>
      </w:pPr>
      <w:r>
        <w:rPr/>
        <w:pict>
          <v:shape style="position:absolute;margin-left:44.75pt;margin-top:10.275976pt;width:3.75pt;height:.1pt;mso-position-horizontal-relative:page;mso-position-vertical-relative:paragraph;z-index:-15683584;mso-wrap-distance-left:0;mso-wrap-distance-right:0" coordorigin="895,206" coordsize="75,0" path="m895,206l969,206e" filled="false" stroked="true" strokeweight=".5pt" strokecolor="#000000">
            <v:path arrowok="t"/>
            <v:stroke dashstyle="solid"/>
            <w10:wrap type="topAndBottom"/>
          </v:shape>
        </w:pict>
      </w:r>
    </w:p>
    <w:p>
      <w:pPr>
        <w:pStyle w:val="BodyText"/>
        <w:rPr>
          <w:sz w:val="20"/>
        </w:rPr>
      </w:pPr>
    </w:p>
    <w:p>
      <w:pPr>
        <w:pStyle w:val="BodyText"/>
        <w:spacing w:before="5"/>
        <w:rPr>
          <w:sz w:val="14"/>
        </w:rPr>
      </w:pPr>
      <w:r>
        <w:rPr/>
        <w:pict>
          <v:shape style="position:absolute;margin-left:44.75pt;margin-top:10.522977pt;width:3.75pt;height:.1pt;mso-position-horizontal-relative:page;mso-position-vertical-relative:paragraph;z-index:-15683072;mso-wrap-distance-left:0;mso-wrap-distance-right:0" coordorigin="895,210" coordsize="75,0" path="m895,210l969,210e" filled="false" stroked="true" strokeweight=".5pt" strokecolor="#000000">
            <v:path arrowok="t"/>
            <v:stroke dashstyle="solid"/>
            <w10:wrap type="topAndBottom"/>
          </v:shape>
        </w:pict>
      </w:r>
    </w:p>
    <w:p>
      <w:pPr>
        <w:pStyle w:val="BodyText"/>
        <w:spacing w:before="8"/>
        <w:rPr>
          <w:sz w:val="12"/>
        </w:rPr>
      </w:pPr>
      <w:r>
        <w:rPr/>
        <w:br w:type="column"/>
      </w:r>
      <w:r>
        <w:rPr>
          <w:sz w:val="12"/>
        </w:rPr>
      </w:r>
    </w:p>
    <w:p>
      <w:pPr>
        <w:spacing w:before="0"/>
        <w:ind w:left="262" w:right="0" w:firstLine="0"/>
        <w:jc w:val="left"/>
        <w:rPr>
          <w:sz w:val="12"/>
        </w:rPr>
      </w:pPr>
      <w:r>
        <w:rPr>
          <w:sz w:val="12"/>
        </w:rPr>
        <w:t>Per cent</w:t>
      </w:r>
    </w:p>
    <w:p>
      <w:pPr>
        <w:pStyle w:val="BodyText"/>
        <w:spacing w:line="20" w:lineRule="exact"/>
        <w:ind w:left="571" w:right="-72"/>
        <w:rPr>
          <w:sz w:val="2"/>
        </w:rPr>
      </w:pPr>
      <w:r>
        <w:rPr>
          <w:sz w:val="2"/>
        </w:rPr>
        <w:pict>
          <v:group style="width:3.75pt;height:.5pt;mso-position-horizontal-relative:char;mso-position-vertical-relative:line" coordorigin="0,0" coordsize="75,10">
            <v:line style="position:absolute" from="74,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line="20" w:lineRule="exact"/>
        <w:ind w:left="569" w:right="-58"/>
        <w:rPr>
          <w:sz w:val="2"/>
        </w:rPr>
      </w:pPr>
      <w:r>
        <w:rPr>
          <w:sz w:val="2"/>
        </w:rPr>
        <w:pict>
          <v:group style="width:3.75pt;height:.5pt;mso-position-horizontal-relative:char;mso-position-vertical-relative:line" coordorigin="0,0" coordsize="75,10">
            <v:line style="position:absolute" from="74,5" to="0,5" stroked="true" strokeweight=".5pt" strokecolor="#000000">
              <v:stroke dashstyle="solid"/>
            </v:line>
          </v:group>
        </w:pict>
      </w:r>
      <w:r>
        <w:rPr>
          <w:sz w:val="2"/>
        </w:rPr>
      </w:r>
    </w:p>
    <w:p>
      <w:pPr>
        <w:pStyle w:val="BodyText"/>
        <w:rPr>
          <w:sz w:val="12"/>
        </w:rPr>
      </w:pPr>
      <w:r>
        <w:rPr/>
        <w:br w:type="column"/>
      </w:r>
      <w:r>
        <w:rPr>
          <w:sz w:val="12"/>
        </w:rPr>
      </w:r>
    </w:p>
    <w:p>
      <w:pPr>
        <w:spacing w:before="89"/>
        <w:ind w:left="16" w:right="0" w:firstLine="0"/>
        <w:jc w:val="left"/>
        <w:rPr>
          <w:sz w:val="12"/>
        </w:rPr>
      </w:pPr>
      <w:r>
        <w:rPr>
          <w:w w:val="105"/>
          <w:sz w:val="12"/>
        </w:rPr>
        <w:t>7.0</w:t>
      </w:r>
    </w:p>
    <w:p>
      <w:pPr>
        <w:pStyle w:val="BodyText"/>
        <w:rPr>
          <w:sz w:val="12"/>
        </w:rPr>
      </w:pPr>
    </w:p>
    <w:p>
      <w:pPr>
        <w:pStyle w:val="BodyText"/>
        <w:spacing w:before="3"/>
        <w:rPr>
          <w:sz w:val="17"/>
        </w:rPr>
      </w:pPr>
    </w:p>
    <w:p>
      <w:pPr>
        <w:spacing w:before="0"/>
        <w:ind w:left="16" w:right="0" w:firstLine="0"/>
        <w:jc w:val="left"/>
        <w:rPr>
          <w:sz w:val="12"/>
        </w:rPr>
      </w:pPr>
      <w:r>
        <w:rPr>
          <w:w w:val="105"/>
          <w:sz w:val="12"/>
        </w:rPr>
        <w:t>6.5</w:t>
      </w:r>
    </w:p>
    <w:p>
      <w:pPr>
        <w:pStyle w:val="BodyText"/>
        <w:rPr>
          <w:sz w:val="12"/>
        </w:rPr>
      </w:pPr>
    </w:p>
    <w:p>
      <w:pPr>
        <w:pStyle w:val="BodyText"/>
        <w:spacing w:before="3"/>
        <w:rPr>
          <w:sz w:val="17"/>
        </w:rPr>
      </w:pPr>
    </w:p>
    <w:p>
      <w:pPr>
        <w:spacing w:before="0"/>
        <w:ind w:left="16" w:right="0" w:firstLine="0"/>
        <w:jc w:val="left"/>
        <w:rPr>
          <w:sz w:val="12"/>
        </w:rPr>
      </w:pPr>
      <w:r>
        <w:rPr>
          <w:w w:val="105"/>
          <w:sz w:val="12"/>
        </w:rPr>
        <w:t>6.0</w:t>
      </w:r>
    </w:p>
    <w:p>
      <w:pPr>
        <w:pStyle w:val="BodyText"/>
        <w:rPr>
          <w:sz w:val="12"/>
        </w:rPr>
      </w:pPr>
    </w:p>
    <w:p>
      <w:pPr>
        <w:pStyle w:val="BodyText"/>
        <w:spacing w:before="3"/>
        <w:rPr>
          <w:sz w:val="17"/>
        </w:rPr>
      </w:pPr>
    </w:p>
    <w:p>
      <w:pPr>
        <w:spacing w:before="0"/>
        <w:ind w:left="16" w:right="0" w:firstLine="0"/>
        <w:jc w:val="left"/>
        <w:rPr>
          <w:sz w:val="12"/>
        </w:rPr>
      </w:pPr>
      <w:r>
        <w:rPr>
          <w:w w:val="105"/>
          <w:sz w:val="12"/>
        </w:rPr>
        <w:t>5.5</w:t>
      </w:r>
    </w:p>
    <w:p>
      <w:pPr>
        <w:pStyle w:val="BodyText"/>
        <w:rPr>
          <w:sz w:val="12"/>
        </w:rPr>
      </w:pPr>
    </w:p>
    <w:p>
      <w:pPr>
        <w:pStyle w:val="BodyText"/>
        <w:spacing w:before="3"/>
        <w:rPr>
          <w:sz w:val="17"/>
        </w:rPr>
      </w:pPr>
    </w:p>
    <w:p>
      <w:pPr>
        <w:spacing w:before="0"/>
        <w:ind w:left="16" w:right="0" w:firstLine="0"/>
        <w:jc w:val="left"/>
        <w:rPr>
          <w:sz w:val="12"/>
        </w:rPr>
      </w:pPr>
      <w:r>
        <w:rPr>
          <w:w w:val="105"/>
          <w:sz w:val="12"/>
        </w:rPr>
        <w:t>5.0</w:t>
      </w:r>
    </w:p>
    <w:p>
      <w:pPr>
        <w:pStyle w:val="BodyText"/>
        <w:rPr>
          <w:sz w:val="12"/>
        </w:rPr>
      </w:pPr>
    </w:p>
    <w:p>
      <w:pPr>
        <w:pStyle w:val="BodyText"/>
        <w:spacing w:before="3"/>
        <w:rPr>
          <w:sz w:val="17"/>
        </w:rPr>
      </w:pPr>
    </w:p>
    <w:p>
      <w:pPr>
        <w:spacing w:before="0"/>
        <w:ind w:left="16" w:right="0" w:firstLine="0"/>
        <w:jc w:val="left"/>
        <w:rPr>
          <w:sz w:val="12"/>
        </w:rPr>
      </w:pPr>
      <w:r>
        <w:rPr>
          <w:w w:val="105"/>
          <w:sz w:val="12"/>
        </w:rPr>
        <w:t>4.5</w:t>
      </w:r>
    </w:p>
    <w:p>
      <w:pPr>
        <w:pStyle w:val="BodyText"/>
        <w:rPr>
          <w:sz w:val="12"/>
        </w:rPr>
      </w:pPr>
    </w:p>
    <w:p>
      <w:pPr>
        <w:pStyle w:val="BodyText"/>
        <w:spacing w:before="3"/>
        <w:rPr>
          <w:sz w:val="17"/>
        </w:rPr>
      </w:pPr>
    </w:p>
    <w:p>
      <w:pPr>
        <w:spacing w:line="129" w:lineRule="exact" w:before="0"/>
        <w:ind w:left="16" w:right="0" w:firstLine="0"/>
        <w:jc w:val="left"/>
        <w:rPr>
          <w:sz w:val="12"/>
        </w:rPr>
      </w:pPr>
      <w:r>
        <w:rPr>
          <w:w w:val="105"/>
          <w:sz w:val="12"/>
        </w:rPr>
        <w:t>4.0</w:t>
      </w:r>
    </w:p>
    <w:p>
      <w:pPr>
        <w:spacing w:line="115" w:lineRule="exact" w:before="0"/>
        <w:ind w:left="30" w:right="0" w:firstLine="0"/>
        <w:jc w:val="left"/>
        <w:rPr>
          <w:sz w:val="12"/>
        </w:rPr>
      </w:pPr>
      <w:r>
        <w:rPr>
          <w:sz w:val="12"/>
        </w:rPr>
        <w:t>0.0</w:t>
      </w:r>
    </w:p>
    <w:p>
      <w:pPr>
        <w:pStyle w:val="Heading5"/>
        <w:spacing w:line="242" w:lineRule="auto"/>
        <w:ind w:left="262" w:right="89"/>
      </w:pPr>
      <w:r>
        <w:rPr/>
        <w:br w:type="column"/>
      </w:r>
      <w:r>
        <w:rPr>
          <w:color w:val="231F20"/>
        </w:rPr>
        <w:t>the fact that the US inflation-indexed market has only been in operation since January 1997. Real UK interest rates fell sharply in mid October and again in December, ending the year at around 3%.</w:t>
      </w:r>
    </w:p>
    <w:p>
      <w:pPr>
        <w:pStyle w:val="BodyText"/>
        <w:spacing w:before="2"/>
        <w:rPr>
          <w:sz w:val="24"/>
        </w:rPr>
      </w:pPr>
    </w:p>
    <w:p>
      <w:pPr>
        <w:spacing w:line="242" w:lineRule="auto" w:before="0"/>
        <w:ind w:left="262" w:right="89" w:firstLine="0"/>
        <w:jc w:val="left"/>
        <w:rPr>
          <w:sz w:val="24"/>
        </w:rPr>
      </w:pPr>
      <w:r>
        <w:rPr>
          <w:color w:val="231F20"/>
          <w:sz w:val="24"/>
        </w:rPr>
        <w:t>It is difficult to attribute changes in the real interest rate solely to structural factors, such as a change in productivity, or to institutional factors in domestic or overseas markets. The fall in UK real rates relative to overseas rates may reflect expectations of a real sterling appreciation. But there are few reasons to expect sterling’s rise to continue, and it is unlikely that domestic</w:t>
      </w:r>
    </w:p>
    <w:p>
      <w:pPr>
        <w:spacing w:after="0" w:line="242" w:lineRule="auto"/>
        <w:jc w:val="left"/>
        <w:rPr>
          <w:sz w:val="24"/>
        </w:rPr>
        <w:sectPr>
          <w:type w:val="continuous"/>
          <w:pgSz w:w="11880" w:h="16840"/>
          <w:pgMar w:top="1200" w:bottom="280" w:left="620" w:right="620"/>
          <w:cols w:num="4" w:equalWidth="0">
            <w:col w:w="2256" w:space="588"/>
            <w:col w:w="653" w:space="39"/>
            <w:col w:w="221" w:space="980"/>
            <w:col w:w="5903"/>
          </w:cols>
        </w:sectPr>
      </w:pPr>
    </w:p>
    <w:p>
      <w:pPr>
        <w:tabs>
          <w:tab w:pos="1584" w:val="left" w:leader="none"/>
          <w:tab w:pos="2386" w:val="left" w:leader="none"/>
          <w:tab w:pos="3055" w:val="left" w:leader="none"/>
        </w:tabs>
        <w:spacing w:line="108" w:lineRule="exact" w:before="0"/>
        <w:ind w:left="648" w:right="0" w:firstLine="0"/>
        <w:jc w:val="left"/>
        <w:rPr>
          <w:sz w:val="12"/>
        </w:rPr>
      </w:pPr>
      <w:r>
        <w:rPr/>
        <w:pict>
          <v:shape style="position:absolute;margin-left:44.75pt;margin-top:-10.223058pt;width:162pt;height:7.5pt;mso-position-horizontal-relative:page;mso-position-vertical-relative:paragraph;z-index:15778304" coordorigin="895,-204" coordsize="3240,150" path="m895,-60l4113,-60m1007,-59l1007,-176m1069,-62l1069,-133m1131,-62l1131,-133m1192,-62l1192,-133m1254,-62l1254,-133m1316,-62l1316,-133m1378,-62l1378,-133m1440,-62l1440,-133m1502,-62l1502,-133m1564,-62l1564,-133m1626,-62l1626,-133m1688,-62l1688,-133m1750,-60l1750,-171m1811,-62l1811,-133m1873,-62l1873,-133m1935,-62l1935,-133m1997,-62l1997,-133m2059,-62l2059,-133m2121,-62l2121,-133m2183,-62l2183,-133m2245,-62l2245,-133m2307,-62l2307,-133m2369,-62l2369,-133m2510,-62l2510,-183m2587,-65l2587,-136m2649,-62l2649,-133m2721,-62l2721,-133m2783,-62l2783,-133m2845,-62l2845,-133m2907,-62l2907,-133m2969,-62l2969,-133m3031,-62l3031,-133m3093,-62l3093,-133m3154,-62l3154,-133m3216,-62l3216,-133m3268,-62l3268,-173m3343,-62l3343,-134m3417,-62l3417,-133m3479,-62l3479,-133m3541,-62l3541,-133m3603,-62l3603,-133m3665,-62l3665,-133m3730,-62l3730,-133m3792,-62l3792,-133m3854,-62l3854,-133m3916,-62l3916,-133m3978,-62l3978,-133m895,-201l969,-201m4113,-201l4039,-201m2450,-62l2450,-133m4114,-204l4114,-168,4094,-152,4134,-138,4094,-118,4134,-101,4111,-91,4111,-55m968,-203l968,-168,948,-152,988,-138,948,-118,988,-101,965,-91,964,-58e" filled="false" stroked="true" strokeweight=".5pt" strokecolor="#000000">
            <v:path arrowok="t"/>
            <v:stroke dashstyle="solid"/>
            <w10:wrap type="none"/>
          </v:shape>
        </w:pict>
      </w:r>
      <w:r>
        <w:rPr>
          <w:sz w:val="12"/>
        </w:rPr>
        <w:t>1995</w:t>
        <w:tab/>
        <w:t>96</w:t>
        <w:tab/>
        <w:t>97</w:t>
        <w:tab/>
        <w:t>98</w:t>
      </w:r>
    </w:p>
    <w:p>
      <w:pPr>
        <w:spacing w:before="9"/>
        <w:ind w:left="180" w:right="0" w:firstLine="0"/>
        <w:jc w:val="left"/>
        <w:rPr>
          <w:sz w:val="12"/>
        </w:rPr>
      </w:pPr>
      <w:r>
        <w:rPr>
          <w:color w:val="231F20"/>
          <w:sz w:val="12"/>
        </w:rPr>
        <w:t>Sources: LIFFE and Bank of England.</w:t>
      </w:r>
    </w:p>
    <w:p>
      <w:pPr>
        <w:pStyle w:val="Heading5"/>
        <w:spacing w:line="242" w:lineRule="auto" w:before="9"/>
        <w:ind w:left="180" w:right="255"/>
      </w:pPr>
      <w:r>
        <w:rPr/>
        <w:br w:type="column"/>
      </w:r>
      <w:r>
        <w:rPr>
          <w:color w:val="231F20"/>
        </w:rPr>
        <w:t>factors alone account for the decline in UK real rates. So the fall in real rates may also reflect shifts in global savings and investment patterns, namely lower </w:t>
      </w:r>
      <w:r>
        <w:rPr>
          <w:color w:val="231F20"/>
          <w:spacing w:val="-3"/>
        </w:rPr>
        <w:t>expected</w:t>
      </w:r>
    </w:p>
    <w:p>
      <w:pPr>
        <w:spacing w:after="0" w:line="242" w:lineRule="auto"/>
        <w:sectPr>
          <w:type w:val="continuous"/>
          <w:pgSz w:w="11880" w:h="16840"/>
          <w:pgMar w:top="1200" w:bottom="280" w:left="620" w:right="620"/>
          <w:cols w:num="2" w:equalWidth="0">
            <w:col w:w="3216" w:space="1604"/>
            <w:col w:w="5820"/>
          </w:cols>
        </w:sectPr>
      </w:pPr>
    </w:p>
    <w:p>
      <w:pPr>
        <w:pStyle w:val="BodyText"/>
        <w:rPr>
          <w:sz w:val="20"/>
        </w:rPr>
      </w:pPr>
    </w:p>
    <w:p>
      <w:pPr>
        <w:spacing w:after="0"/>
        <w:rPr>
          <w:sz w:val="20"/>
        </w:rPr>
        <w:sectPr>
          <w:pgSz w:w="11880" w:h="16840"/>
          <w:pgMar w:header="586" w:footer="597" w:top="780" w:bottom="780" w:left="620" w:right="620"/>
        </w:sectPr>
      </w:pPr>
    </w:p>
    <w:p>
      <w:pPr>
        <w:pStyle w:val="BodyText"/>
        <w:spacing w:before="10"/>
        <w:rPr>
          <w:sz w:val="19"/>
        </w:rPr>
      </w:pPr>
    </w:p>
    <w:p>
      <w:pPr>
        <w:pStyle w:val="Heading9"/>
        <w:spacing w:before="0"/>
      </w:pPr>
      <w:bookmarkStart w:name="Exchange rates" w:id="25"/>
      <w:bookmarkEnd w:id="25"/>
      <w:r>
        <w:rPr>
          <w:b w:val="0"/>
        </w:rPr>
      </w:r>
      <w:bookmarkStart w:name="_bookmark7" w:id="26"/>
      <w:bookmarkEnd w:id="26"/>
      <w:r>
        <w:rPr>
          <w:b w:val="0"/>
        </w:rPr>
      </w:r>
      <w:r>
        <w:rPr>
          <w:color w:val="0093C1"/>
        </w:rPr>
        <w:t>Chart 1.11</w:t>
      </w:r>
    </w:p>
    <w:p>
      <w:pPr>
        <w:spacing w:before="10"/>
        <w:ind w:left="200" w:right="0" w:firstLine="0"/>
        <w:jc w:val="left"/>
        <w:rPr>
          <w:b/>
          <w:sz w:val="20"/>
        </w:rPr>
      </w:pPr>
      <w:r>
        <w:rPr>
          <w:b/>
          <w:color w:val="0093C1"/>
          <w:sz w:val="20"/>
        </w:rPr>
        <w:t>Implied forward inflation rates</w:t>
      </w:r>
    </w:p>
    <w:p>
      <w:pPr>
        <w:pStyle w:val="BodyText"/>
        <w:spacing w:before="9"/>
        <w:rPr>
          <w:b/>
          <w:sz w:val="26"/>
        </w:rPr>
      </w:pPr>
      <w:r>
        <w:rPr/>
        <w:pict>
          <v:shape style="position:absolute;margin-left:41pt;margin-top:17.628389pt;width:5pt;height:.1pt;mso-position-horizontal-relative:page;mso-position-vertical-relative:paragraph;z-index:-15676928;mso-wrap-distance-left:0;mso-wrap-distance-right:0" coordorigin="820,353" coordsize="100,0" path="m820,353l920,353e" filled="false" stroked="true" strokeweight=".5pt" strokecolor="#000000">
            <v:path arrowok="t"/>
            <v:stroke dashstyle="solid"/>
            <w10:wrap type="topAndBottom"/>
          </v:shape>
        </w:pict>
      </w:r>
    </w:p>
    <w:p>
      <w:pPr>
        <w:pStyle w:val="BodyText"/>
        <w:rPr>
          <w:b/>
          <w:sz w:val="22"/>
        </w:rPr>
      </w:pPr>
    </w:p>
    <w:p>
      <w:pPr>
        <w:pStyle w:val="BodyText"/>
        <w:rPr>
          <w:b/>
          <w:sz w:val="22"/>
        </w:rPr>
      </w:pPr>
    </w:p>
    <w:p>
      <w:pPr>
        <w:spacing w:before="128"/>
        <w:ind w:left="1596" w:right="0" w:firstLine="0"/>
        <w:jc w:val="left"/>
        <w:rPr>
          <w:sz w:val="12"/>
        </w:rPr>
      </w:pPr>
      <w:r>
        <w:rPr/>
        <w:pict>
          <v:group style="position:absolute;margin-left:67.5pt;margin-top:13.501568pt;width:137.5pt;height:35pt;mso-position-horizontal-relative:page;mso-position-vertical-relative:paragraph;z-index:15789568" coordorigin="1350,270" coordsize="2750,700">
            <v:shape style="position:absolute;left:1360;top:280;width:2620;height:300" coordorigin="1360,280" coordsize="2620,300" path="m1560,520l1660,500m1360,580l1460,560m1460,560l1560,520m1660,500l1760,460m1760,460l1860,440m1860,440l1960,400m1960,400l2060,380m2060,380l2260,340m2260,340l2360,340m2360,340l2460,320m2460,320l2560,320m2560,320l2660,300m3060,300l3160,300m2660,300l3060,300m3260,280l3360,280m3160,300l3260,280m3360,280l3980,280e" filled="false" stroked="true" strokeweight="1pt" strokecolor="#faab54">
              <v:path arrowok="t"/>
              <v:stroke dashstyle="solid"/>
            </v:shape>
            <v:shape style="position:absolute;left:1360;top:320;width:2620;height:640" coordorigin="1360,320" coordsize="2620,640" path="m1360,320l1460,360,1560,460,1660,580,1860,780,2060,900,2160,940,2260,960,2560,960,2960,880,3260,760,3360,740,3460,700,3580,660,3880,540,3980,520e" filled="false" stroked="true" strokeweight="1pt" strokecolor="#0066a5">
              <v:path arrowok="t"/>
              <v:stroke dashstyle="solid"/>
            </v:shape>
            <v:line style="position:absolute" from="4000,460" to="4100,460" stroked="true" strokeweight=".5pt" strokecolor="#000000">
              <v:stroke dashstyle="solid"/>
            </v:line>
            <v:shape style="position:absolute;left:1350;top:270;width:2750;height:700" type="#_x0000_t202" filled="false" stroked="false">
              <v:textbox inset="0,0,0,0">
                <w:txbxContent>
                  <w:p>
                    <w:pPr>
                      <w:spacing w:line="240" w:lineRule="auto" w:before="0"/>
                      <w:rPr>
                        <w:sz w:val="12"/>
                      </w:rPr>
                    </w:pPr>
                  </w:p>
                  <w:p>
                    <w:pPr>
                      <w:spacing w:line="240" w:lineRule="auto" w:before="0"/>
                      <w:rPr>
                        <w:sz w:val="12"/>
                      </w:rPr>
                    </w:pPr>
                  </w:p>
                  <w:p>
                    <w:pPr>
                      <w:spacing w:line="240" w:lineRule="auto" w:before="11"/>
                      <w:rPr>
                        <w:sz w:val="14"/>
                      </w:rPr>
                    </w:pPr>
                  </w:p>
                  <w:p>
                    <w:pPr>
                      <w:spacing w:before="0"/>
                      <w:ind w:left="756" w:right="0" w:firstLine="0"/>
                      <w:jc w:val="left"/>
                      <w:rPr>
                        <w:sz w:val="12"/>
                      </w:rPr>
                    </w:pPr>
                    <w:r>
                      <w:rPr>
                        <w:sz w:val="12"/>
                      </w:rPr>
                      <w:t>5 November 1997</w:t>
                    </w:r>
                  </w:p>
                </w:txbxContent>
              </v:textbox>
              <w10:wrap type="none"/>
            </v:shape>
            <w10:wrap type="none"/>
          </v:group>
        </w:pict>
      </w:r>
      <w:r>
        <w:rPr>
          <w:sz w:val="12"/>
        </w:rPr>
        <w:t>8 August 1997</w:t>
      </w:r>
    </w:p>
    <w:p>
      <w:pPr>
        <w:pStyle w:val="BodyText"/>
        <w:spacing w:after="40"/>
        <w:rPr>
          <w:sz w:val="13"/>
        </w:rPr>
      </w:pPr>
    </w:p>
    <w:p>
      <w:pPr>
        <w:pStyle w:val="BodyText"/>
        <w:spacing w:line="20" w:lineRule="exact"/>
        <w:ind w:left="195"/>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9"/>
        <w:rPr>
          <w:sz w:val="21"/>
        </w:rPr>
      </w:pPr>
      <w:r>
        <w:rPr/>
        <w:pict>
          <v:shape style="position:absolute;margin-left:41pt;margin-top:14.75293pt;width:5pt;height:.1pt;mso-position-horizontal-relative:page;mso-position-vertical-relative:paragraph;z-index:-15675904;mso-wrap-distance-left:0;mso-wrap-distance-right:0" coordorigin="820,295" coordsize="100,0" path="m820,295l920,295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spacing w:before="0"/>
        <w:ind w:left="194" w:right="0" w:firstLine="0"/>
        <w:jc w:val="left"/>
        <w:rPr>
          <w:sz w:val="12"/>
        </w:rPr>
      </w:pPr>
      <w:r>
        <w:rPr>
          <w:sz w:val="12"/>
        </w:rPr>
        <w:t>Per cent</w:t>
      </w:r>
    </w:p>
    <w:p>
      <w:pPr>
        <w:pStyle w:val="BodyText"/>
        <w:spacing w:before="3"/>
        <w:rPr>
          <w:sz w:val="4"/>
        </w:rPr>
      </w:pPr>
    </w:p>
    <w:p>
      <w:pPr>
        <w:pStyle w:val="BodyText"/>
        <w:spacing w:line="20" w:lineRule="exact"/>
        <w:ind w:left="474" w:right="-7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spacing w:before="0"/>
        <w:ind w:left="10" w:right="0" w:firstLine="0"/>
        <w:jc w:val="left"/>
        <w:rPr>
          <w:sz w:val="12"/>
        </w:rPr>
      </w:pPr>
      <w:r>
        <w:rPr>
          <w:sz w:val="12"/>
        </w:rPr>
        <w:t>4.0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0" w:right="0" w:firstLine="0"/>
        <w:jc w:val="left"/>
        <w:rPr>
          <w:sz w:val="12"/>
        </w:rPr>
      </w:pPr>
      <w:r>
        <w:rPr>
          <w:sz w:val="12"/>
        </w:rPr>
        <w:t>3.5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4"/>
        </w:rPr>
      </w:pPr>
    </w:p>
    <w:p>
      <w:pPr>
        <w:spacing w:before="0"/>
        <w:ind w:left="10" w:right="0" w:firstLine="0"/>
        <w:jc w:val="left"/>
        <w:rPr>
          <w:sz w:val="12"/>
        </w:rPr>
      </w:pPr>
      <w:r>
        <w:rPr>
          <w:sz w:val="12"/>
        </w:rPr>
        <w:t>3.0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4"/>
        </w:rPr>
      </w:pPr>
    </w:p>
    <w:p>
      <w:pPr>
        <w:spacing w:before="0"/>
        <w:ind w:left="10" w:right="0" w:firstLine="0"/>
        <w:jc w:val="left"/>
        <w:rPr>
          <w:sz w:val="12"/>
        </w:rPr>
      </w:pPr>
      <w:r>
        <w:rPr>
          <w:sz w:val="12"/>
        </w:rPr>
        <w:t>2.5</w:t>
      </w:r>
    </w:p>
    <w:p>
      <w:pPr>
        <w:pStyle w:val="Heading5"/>
        <w:spacing w:line="242" w:lineRule="auto" w:before="207"/>
        <w:ind w:left="200" w:right="188"/>
        <w:rPr>
          <w:sz w:val="16"/>
        </w:rPr>
      </w:pPr>
      <w:r>
        <w:rPr/>
        <w:br w:type="column"/>
      </w:r>
      <w:r>
        <w:rPr>
          <w:color w:val="231F20"/>
        </w:rPr>
        <w:t>investment profitability and lower expected aggregate fiscal deficits in industrial countries as a whole.</w:t>
      </w:r>
      <w:r>
        <w:rPr>
          <w:color w:val="231F20"/>
          <w:position w:val="5"/>
          <w:sz w:val="16"/>
        </w:rPr>
        <w:t>(1)</w:t>
      </w:r>
    </w:p>
    <w:p>
      <w:pPr>
        <w:pStyle w:val="BodyText"/>
        <w:spacing w:before="1"/>
        <w:rPr>
          <w:sz w:val="21"/>
        </w:rPr>
      </w:pPr>
    </w:p>
    <w:p>
      <w:pPr>
        <w:pStyle w:val="Heading6"/>
        <w:ind w:left="200"/>
        <w:rPr>
          <w:i/>
        </w:rPr>
      </w:pPr>
      <w:r>
        <w:rPr>
          <w:i/>
          <w:color w:val="009483"/>
        </w:rPr>
        <w:t>Exchange rates</w:t>
      </w:r>
    </w:p>
    <w:p>
      <w:pPr>
        <w:spacing w:line="242" w:lineRule="auto" w:before="164"/>
        <w:ind w:left="200" w:right="505" w:firstLine="0"/>
        <w:jc w:val="left"/>
        <w:rPr>
          <w:sz w:val="24"/>
        </w:rPr>
      </w:pPr>
      <w:r>
        <w:rPr>
          <w:color w:val="231F20"/>
          <w:sz w:val="24"/>
        </w:rPr>
        <w:t>The nominal effective exchange rate used as the starting-point in the inflation projection—based on its average in the 15 working days to 4 February—was</w:t>
      </w:r>
    </w:p>
    <w:p>
      <w:pPr>
        <w:spacing w:line="242" w:lineRule="auto" w:before="4"/>
        <w:ind w:left="200" w:right="188" w:firstLine="0"/>
        <w:jc w:val="left"/>
        <w:rPr>
          <w:sz w:val="24"/>
        </w:rPr>
      </w:pPr>
      <w:r>
        <w:rPr>
          <w:color w:val="231F20"/>
          <w:sz w:val="24"/>
        </w:rPr>
        <w:t>104.9. This was 2.8% higher than the exchange rate </w:t>
      </w:r>
      <w:r>
        <w:rPr>
          <w:color w:val="231F20"/>
          <w:spacing w:val="-4"/>
          <w:sz w:val="24"/>
        </w:rPr>
        <w:t>used </w:t>
      </w:r>
      <w:r>
        <w:rPr>
          <w:color w:val="231F20"/>
          <w:sz w:val="24"/>
        </w:rPr>
        <w:t>in the November </w:t>
      </w:r>
      <w:r>
        <w:rPr>
          <w:i/>
          <w:color w:val="231F20"/>
          <w:sz w:val="24"/>
        </w:rPr>
        <w:t>Report</w:t>
      </w:r>
      <w:r>
        <w:rPr>
          <w:color w:val="231F20"/>
          <w:sz w:val="24"/>
        </w:rPr>
        <w:t>. Sterling has appreciated by 25% since August 1996 (see Chart 1.13). In the year to January, sterling had appreciated by 12% against the Deutsche Mark and was roughly stable against the US dollar.</w:t>
      </w:r>
    </w:p>
    <w:p>
      <w:pPr>
        <w:spacing w:after="0" w:line="242" w:lineRule="auto"/>
        <w:jc w:val="left"/>
        <w:rPr>
          <w:sz w:val="24"/>
        </w:rPr>
        <w:sectPr>
          <w:type w:val="continuous"/>
          <w:pgSz w:w="11880" w:h="16840"/>
          <w:pgMar w:top="1200" w:bottom="280" w:left="620" w:right="620"/>
          <w:cols w:num="4" w:equalWidth="0">
            <w:col w:w="2861" w:space="40"/>
            <w:col w:w="585" w:space="39"/>
            <w:col w:w="201" w:space="1034"/>
            <w:col w:w="5880"/>
          </w:cols>
        </w:sectPr>
      </w:pPr>
    </w:p>
    <w:p>
      <w:pPr>
        <w:spacing w:before="32"/>
        <w:ind w:left="313" w:right="0" w:firstLine="0"/>
        <w:jc w:val="left"/>
        <w:rPr>
          <w:sz w:val="12"/>
        </w:rPr>
      </w:pPr>
      <w:r>
        <w:rPr/>
        <w:pict>
          <v:group style="position:absolute;margin-left:67.5pt;margin-top:-64.798431pt;width:137.5pt;height:37pt;mso-position-horizontal-relative:page;mso-position-vertical-relative:paragraph;z-index:15788544" coordorigin="1350,-1296" coordsize="2750,740">
            <v:shape style="position:absolute;left:1360;top:-1286;width:2620;height:720" coordorigin="1360,-1286" coordsize="2620,720" path="m1360,-1286l1460,-1046,1560,-866,1660,-746,1760,-666,1960,-586,2060,-566,2160,-566,2260,-586,2360,-586,2460,-626,2660,-666,2760,-706,2860,-726,3160,-846,3260,-866,3460,-946,3580,-986,3680,-1026,3780,-1046,3980,-1126e" filled="false" stroked="true" strokeweight="1pt" strokecolor="#ed1b2d">
              <v:path arrowok="t"/>
              <v:stroke dashstyle="solid"/>
            </v:shape>
            <v:line style="position:absolute" from="4000,-1066" to="4100,-1066" stroked="true" strokeweight=".5pt" strokecolor="#000000">
              <v:stroke dashstyle="solid"/>
            </v:line>
            <v:shape style="position:absolute;left:1350;top:-1296;width:2750;height:740" type="#_x0000_t202" filled="false" stroked="false">
              <v:textbox inset="0,0,0,0">
                <w:txbxContent>
                  <w:p>
                    <w:pPr>
                      <w:spacing w:line="240" w:lineRule="auto" w:before="0"/>
                      <w:rPr>
                        <w:sz w:val="12"/>
                      </w:rPr>
                    </w:pPr>
                  </w:p>
                  <w:p>
                    <w:pPr>
                      <w:spacing w:line="240" w:lineRule="auto" w:before="0"/>
                      <w:rPr>
                        <w:sz w:val="12"/>
                      </w:rPr>
                    </w:pPr>
                  </w:p>
                  <w:p>
                    <w:pPr>
                      <w:spacing w:line="240" w:lineRule="auto" w:before="4"/>
                      <w:rPr>
                        <w:sz w:val="12"/>
                      </w:rPr>
                    </w:pPr>
                  </w:p>
                  <w:p>
                    <w:pPr>
                      <w:spacing w:before="0"/>
                      <w:ind w:left="588" w:right="0" w:firstLine="0"/>
                      <w:jc w:val="left"/>
                      <w:rPr>
                        <w:sz w:val="12"/>
                      </w:rPr>
                    </w:pPr>
                    <w:r>
                      <w:rPr>
                        <w:sz w:val="12"/>
                      </w:rPr>
                      <w:t>4 February 1998</w:t>
                    </w:r>
                  </w:p>
                </w:txbxContent>
              </v:textbox>
              <w10:wrap type="none"/>
            </v:shape>
            <w10:wrap type="none"/>
          </v:group>
        </w:pict>
      </w:r>
      <w:r>
        <w:rPr/>
        <w:pict>
          <v:group style="position:absolute;margin-left:41pt;margin-top:-3.548433pt;width:165.7pt;height:8.5pt;mso-position-horizontal-relative:page;mso-position-vertical-relative:paragraph;z-index:-20299776" coordorigin="820,-71" coordsize="3314,170">
            <v:shape style="position:absolute;left:820;top:-66;width:3284;height:160" coordorigin="820,-66" coordsize="3284,160" path="m820,-66l920,-66m4000,-66l4100,-66m960,94l960,34m1060,94l1060,34m1160,94l1160,34m1260,94l1260,34m1360,94l1360,34m1460,94l1460,34m1560,94l1560,34m1660,94l1660,34m1760,94l1760,34m1860,94l1860,34m1960,94l1960,34m2060,94l2060,34m2160,94l2160,34m2260,94l2260,34m2360,94l2360,34m2460,94l2460,34m2560,94l2560,34m2660,94l2660,34m2760,94l2760,34m2860,94l2860,34m2960,94l2960,34m3060,94l3060,34m3160,94l3160,34m3260,94l3260,34m3360,94l3360,34m3460,94l3460,34m3560,94l3560,34m3660,94l3660,34m3760,94l3760,34m3860,94l3860,34m3960,94l3960,34m820,94l4103,94e" filled="false" stroked="true" strokeweight=".5pt" strokecolor="#000000">
              <v:path arrowok="t"/>
              <v:stroke dashstyle="solid"/>
            </v:shape>
            <v:shape style="position:absolute;left:900;top:-59;width:3228;height:144" coordorigin="901,-59" coordsize="3228,144" path="m4106,-59l4106,-29,4084,-11,4128,4,4084,26,4128,44,4103,55,4102,81m923,-54l923,-25,901,-7,945,8,901,30,945,48,919,59,919,85e" filled="false" stroked="true" strokeweight=".550pt" strokecolor="#000000">
              <v:path arrowok="t"/>
              <v:stroke dashstyle="solid"/>
            </v:shape>
            <w10:wrap type="none"/>
          </v:group>
        </w:pict>
      </w:r>
      <w:r>
        <w:rPr>
          <w:sz w:val="12"/>
        </w:rPr>
        <w:t>0 1 2 3 4 5 6 7 8 9 10 11 12 13 14 15 </w:t>
      </w:r>
      <w:r>
        <w:rPr>
          <w:position w:val="8"/>
          <w:sz w:val="12"/>
        </w:rPr>
        <w:t>0.0</w:t>
      </w:r>
    </w:p>
    <w:p>
      <w:pPr>
        <w:spacing w:before="42"/>
        <w:ind w:left="1645" w:right="0" w:firstLine="0"/>
        <w:jc w:val="left"/>
        <w:rPr>
          <w:sz w:val="12"/>
        </w:rPr>
      </w:pPr>
      <w:r>
        <w:rPr>
          <w:sz w:val="12"/>
        </w:rPr>
        <w:t>Years ahead</w:t>
      </w:r>
    </w:p>
    <w:p>
      <w:pPr>
        <w:spacing w:before="26"/>
        <w:ind w:left="180" w:right="0" w:firstLine="0"/>
        <w:jc w:val="left"/>
        <w:rPr>
          <w:sz w:val="12"/>
        </w:rPr>
      </w:pPr>
      <w:r>
        <w:rPr>
          <w:color w:val="231F20"/>
          <w:sz w:val="12"/>
        </w:rPr>
        <w:t>Source: Bank of England.</w:t>
      </w:r>
    </w:p>
    <w:p>
      <w:pPr>
        <w:pStyle w:val="BodyText"/>
        <w:spacing w:before="4"/>
        <w:rPr>
          <w:sz w:val="11"/>
        </w:rPr>
      </w:pPr>
    </w:p>
    <w:p>
      <w:pPr>
        <w:pStyle w:val="Heading9"/>
        <w:spacing w:before="0"/>
        <w:ind w:left="195"/>
      </w:pPr>
      <w:r>
        <w:rPr>
          <w:color w:val="0093C1"/>
        </w:rPr>
        <w:t>Chart 1.12</w:t>
      </w:r>
    </w:p>
    <w:p>
      <w:pPr>
        <w:spacing w:before="10"/>
        <w:ind w:left="195" w:right="0" w:firstLine="0"/>
        <w:jc w:val="left"/>
        <w:rPr>
          <w:b/>
          <w:sz w:val="20"/>
        </w:rPr>
      </w:pPr>
      <w:r>
        <w:rPr>
          <w:b/>
          <w:color w:val="0093C1"/>
          <w:sz w:val="20"/>
        </w:rPr>
        <w:t>US and UK real index-linked yields</w:t>
      </w:r>
    </w:p>
    <w:p>
      <w:pPr>
        <w:pStyle w:val="BodyText"/>
        <w:spacing w:before="10"/>
        <w:rPr>
          <w:b/>
          <w:sz w:val="20"/>
        </w:rPr>
      </w:pPr>
    </w:p>
    <w:p>
      <w:pPr>
        <w:spacing w:before="0"/>
        <w:ind w:left="0" w:right="39" w:firstLine="0"/>
        <w:jc w:val="right"/>
        <w:rPr>
          <w:sz w:val="12"/>
        </w:rPr>
      </w:pPr>
      <w:r>
        <w:rPr>
          <w:sz w:val="12"/>
        </w:rPr>
        <w:t>Per cent</w:t>
      </w:r>
    </w:p>
    <w:p>
      <w:pPr>
        <w:pStyle w:val="BodyText"/>
        <w:spacing w:before="5"/>
        <w:rPr>
          <w:sz w:val="3"/>
        </w:rPr>
      </w:pPr>
    </w:p>
    <w:p>
      <w:pPr>
        <w:tabs>
          <w:tab w:pos="3550" w:val="left" w:leader="none"/>
        </w:tabs>
        <w:spacing w:line="20" w:lineRule="exact"/>
        <w:ind w:left="330" w:right="-44"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3"/>
        <w:rPr>
          <w:sz w:val="8"/>
        </w:rPr>
      </w:pPr>
    </w:p>
    <w:p>
      <w:pPr>
        <w:pStyle w:val="BodyText"/>
        <w:ind w:left="330" w:right="-15"/>
        <w:rPr>
          <w:sz w:val="20"/>
        </w:rPr>
      </w:pPr>
      <w:r>
        <w:rPr>
          <w:sz w:val="20"/>
        </w:rPr>
        <w:pict>
          <v:group style="width:166pt;height:126pt;mso-position-horizontal-relative:char;mso-position-vertical-relative:line" coordorigin="0,0" coordsize="3320,2520">
            <v:shape style="position:absolute;left:0;top:490;width:100;height:1800" coordorigin="0,490" coordsize="100,1800" path="m100,2290l0,2290m100,1690l0,1690m100,1090l0,1090m100,490l0,490e" filled="false" stroked="true" strokeweight=".5pt" strokecolor="#000000">
              <v:path arrowok="t"/>
              <v:stroke dashstyle="solid"/>
            </v:shape>
            <v:line style="position:absolute" from="3180,270" to="3180,270" stroked="true" strokeweight="1pt" strokecolor="#000000">
              <v:stroke dashstyle="solid"/>
            </v:line>
            <v:shape style="position:absolute;left:130;top:0;width:3190;height:2520" type="#_x0000_t75" stroked="false">
              <v:imagedata r:id="rId19" o:title=""/>
            </v:shape>
            <v:shape style="position:absolute;left:170;top:13;width:710;height:253" type="#_x0000_t202" filled="false" stroked="false">
              <v:textbox inset="0,0,0,0">
                <w:txbxContent>
                  <w:p>
                    <w:pPr>
                      <w:spacing w:line="208" w:lineRule="auto" w:before="9"/>
                      <w:ind w:left="99" w:right="1" w:hanging="100"/>
                      <w:jc w:val="left"/>
                      <w:rPr>
                        <w:sz w:val="12"/>
                      </w:rPr>
                    </w:pPr>
                    <w:r>
                      <w:rPr>
                        <w:sz w:val="12"/>
                      </w:rPr>
                      <w:t>UK real bond yield (2006)</w:t>
                    </w:r>
                  </w:p>
                </w:txbxContent>
              </v:textbox>
              <w10:wrap type="none"/>
            </v:shape>
            <v:shape style="position:absolute;left:2090;top:133;width:690;height:253" type="#_x0000_t202" filled="false" stroked="false">
              <v:textbox inset="0,0,0,0">
                <w:txbxContent>
                  <w:p>
                    <w:pPr>
                      <w:spacing w:line="208" w:lineRule="auto" w:before="9"/>
                      <w:ind w:left="80" w:right="0" w:hanging="80"/>
                      <w:jc w:val="left"/>
                      <w:rPr>
                        <w:sz w:val="12"/>
                      </w:rPr>
                    </w:pPr>
                    <w:r>
                      <w:rPr>
                        <w:sz w:val="12"/>
                      </w:rPr>
                      <w:t>US real bond yield (2007)</w:t>
                    </w:r>
                  </w:p>
                </w:txbxContent>
              </v:textbox>
              <w10:wrap type="none"/>
            </v:shape>
            <v:shape style="position:absolute;left:600;top:1803;width:710;height:273" type="#_x0000_t202" filled="false" stroked="false">
              <v:textbox inset="0,0,0,0">
                <w:txbxContent>
                  <w:p>
                    <w:pPr>
                      <w:spacing w:line="242" w:lineRule="auto" w:before="0"/>
                      <w:ind w:left="99" w:right="1" w:hanging="100"/>
                      <w:jc w:val="left"/>
                      <w:rPr>
                        <w:sz w:val="12"/>
                      </w:rPr>
                    </w:pPr>
                    <w:r>
                      <w:rPr>
                        <w:sz w:val="12"/>
                      </w:rPr>
                      <w:t>UK real bond yield (2003)</w:t>
                    </w:r>
                  </w:p>
                </w:txbxContent>
              </v:textbox>
              <w10:wrap type="none"/>
            </v:shape>
          </v:group>
        </w:pict>
      </w:r>
      <w:r>
        <w:rPr>
          <w:sz w:val="20"/>
        </w:rPr>
      </w:r>
    </w:p>
    <w:p>
      <w:pPr>
        <w:pStyle w:val="BodyText"/>
        <w:rPr>
          <w:sz w:val="27"/>
        </w:rPr>
      </w:pPr>
      <w:r>
        <w:rPr/>
        <w:pict>
          <v:group style="position:absolute;margin-left:47.779999pt;margin-top:17.504238pt;width:167.6pt;height:7.75pt;mso-position-horizontal-relative:page;mso-position-vertical-relative:paragraph;z-index:-15671808;mso-wrap-distance-left:0;mso-wrap-distance-right:0" coordorigin="956,350" coordsize="3352,155">
            <v:shape style="position:absolute;left:955;top:355;width:3325;height:140" coordorigin="956,355" coordsize="3325,140" path="m1056,355l956,355m961,495l4281,495m1336,495l1336,455m1556,495l1556,455m1756,495l1756,455m1996,495l1996,455m2236,495l2236,455m2456,495l2456,455m2716,495l2716,455m2936,495l2936,455m3176,495l3176,455m3416,495l3416,455m3636,495l3636,455m4116,495l4116,455m1096,495l1096,435m3876,495l3876,435m4276,355l4176,355e" filled="false" stroked="true" strokeweight=".5pt" strokecolor="#000000">
              <v:path arrowok="t"/>
              <v:stroke dashstyle="solid"/>
            </v:shape>
            <v:shape style="position:absolute;left:1038;top:355;width:3264;height:145" coordorigin="1039,356" coordsize="3264,145" path="m4282,356l4282,382,4262,398,4302,412,4262,432,4302,449,4279,459,4278,482m1059,373l1059,400,1039,416,1079,430,1039,450,1079,466,1055,476,1055,500e" filled="false" stroked="true" strokeweight=".5pt" strokecolor="#000000">
              <v:path arrowok="t"/>
              <v:stroke dashstyle="solid"/>
            </v:shape>
            <w10:wrap type="topAndBottom"/>
          </v:group>
        </w:pict>
      </w:r>
    </w:p>
    <w:p>
      <w:pPr>
        <w:tabs>
          <w:tab w:pos="3365" w:val="left" w:leader="none"/>
        </w:tabs>
        <w:spacing w:before="19"/>
        <w:ind w:left="1705" w:right="0" w:firstLine="0"/>
        <w:jc w:val="left"/>
        <w:rPr>
          <w:sz w:val="12"/>
        </w:rPr>
      </w:pPr>
      <w:r>
        <w:rPr>
          <w:sz w:val="12"/>
        </w:rPr>
        <w:t>1997</w:t>
        <w:tab/>
        <w:t>98</w:t>
      </w:r>
    </w:p>
    <w:p>
      <w:pPr>
        <w:pStyle w:val="BodyText"/>
        <w:spacing w:before="11"/>
        <w:rPr>
          <w:sz w:val="10"/>
        </w:rPr>
      </w:pPr>
    </w:p>
    <w:p>
      <w:pPr>
        <w:spacing w:line="417" w:lineRule="auto" w:before="0"/>
        <w:ind w:left="175" w:right="786" w:firstLine="0"/>
        <w:jc w:val="left"/>
        <w:rPr>
          <w:sz w:val="12"/>
        </w:rPr>
      </w:pPr>
      <w:r>
        <w:rPr>
          <w:color w:val="231F20"/>
          <w:sz w:val="12"/>
        </w:rPr>
        <w:t>Note: Daily data. Final observation is 4 February. Source: Bank of England.</w:t>
      </w:r>
    </w:p>
    <w:p>
      <w:pPr>
        <w:pStyle w:val="Heading9"/>
        <w:spacing w:before="26"/>
        <w:ind w:left="185"/>
      </w:pPr>
      <w:r>
        <w:rPr>
          <w:color w:val="0093C1"/>
        </w:rPr>
        <w:t>Chart 1.13</w:t>
      </w:r>
    </w:p>
    <w:p>
      <w:pPr>
        <w:spacing w:before="10"/>
        <w:ind w:left="185" w:right="0" w:firstLine="0"/>
        <w:jc w:val="left"/>
        <w:rPr>
          <w:b/>
          <w:sz w:val="20"/>
        </w:rPr>
      </w:pPr>
      <w:r>
        <w:rPr>
          <w:b/>
          <w:color w:val="0093C1"/>
          <w:sz w:val="20"/>
        </w:rPr>
        <w:t>Sterling effective exchange rate</w:t>
      </w:r>
    </w:p>
    <w:p>
      <w:pPr>
        <w:spacing w:before="93"/>
        <w:ind w:left="2923" w:right="0" w:firstLine="0"/>
        <w:jc w:val="left"/>
        <w:rPr>
          <w:sz w:val="12"/>
        </w:rPr>
      </w:pPr>
      <w:r>
        <w:rPr>
          <w:sz w:val="12"/>
        </w:rPr>
        <w:t>1990 = 100</w:t>
      </w:r>
    </w:p>
    <w:p>
      <w:pPr>
        <w:spacing w:before="9"/>
        <w:ind w:left="3510" w:right="0" w:firstLine="0"/>
        <w:jc w:val="left"/>
        <w:rPr>
          <w:sz w:val="12"/>
        </w:rPr>
      </w:pPr>
      <w:r>
        <w:rPr/>
        <w:pict>
          <v:line style="position:absolute;mso-position-horizontal-relative:page;mso-position-vertical-relative:paragraph;z-index:15787008" from="45pt,2.551563pt" to="41pt,2.551563pt" stroked="true" strokeweight=".5pt" strokecolor="#000000">
            <v:stroke dashstyle="solid"/>
            <w10:wrap type="none"/>
          </v:line>
        </w:pict>
      </w:r>
      <w:r>
        <w:rPr/>
        <w:pict>
          <v:line style="position:absolute;mso-position-horizontal-relative:page;mso-position-vertical-relative:paragraph;z-index:15787520" from="205pt,2.551563pt" to="200pt,2.551563pt" stroked="true" strokeweight=".5pt" strokecolor="#000000">
            <v:stroke dashstyle="solid"/>
            <w10:wrap type="none"/>
          </v:line>
        </w:pict>
      </w:r>
      <w:r>
        <w:rPr>
          <w:sz w:val="12"/>
        </w:rPr>
        <w:t>108</w:t>
      </w:r>
    </w:p>
    <w:p>
      <w:pPr>
        <w:spacing w:before="62"/>
        <w:ind w:left="3510" w:right="0" w:firstLine="0"/>
        <w:jc w:val="left"/>
        <w:rPr>
          <w:sz w:val="12"/>
        </w:rPr>
      </w:pPr>
      <w:r>
        <w:rPr/>
        <w:pict>
          <v:group style="position:absolute;margin-left:41pt;margin-top:2.701562pt;width:164pt;height:132.75pt;mso-position-horizontal-relative:page;mso-position-vertical-relative:paragraph;z-index:15786496" coordorigin="820,54" coordsize="3280,2655">
            <v:shape style="position:absolute;left:820;top:124;width:3280;height:2580" coordorigin="820,124" coordsize="3280,2580" path="m900,2704l820,2704m900,2484l820,2484m900,2264l820,2264m900,2064l820,2064m900,1844l820,1844m900,1624l820,1624m900,1404l820,1404m900,1204l820,1204m900,544l820,544m900,344l820,344m900,124l820,124m4100,2704l4000,2704m4100,2484l4000,2484m4100,2264l4000,2264m4100,2064l4000,2064m4100,1844l4000,1844m4100,1624l4000,1624m4100,1404l4000,1404m4100,1204l4000,1204m4100,984l4000,984m4100,764l4000,764e" filled="false" stroked="true" strokeweight=".5pt" strokecolor="#000000">
              <v:path arrowok="t"/>
              <v:stroke dashstyle="solid"/>
            </v:shape>
            <v:shape style="position:absolute;left:820;top:54;width:3280;height:2640" type="#_x0000_t75" stroked="false">
              <v:imagedata r:id="rId20" o:title=""/>
            </v:shape>
            <w10:wrap type="none"/>
          </v:group>
        </w:pict>
      </w:r>
      <w:r>
        <w:rPr>
          <w:sz w:val="12"/>
        </w:rPr>
        <w:t>106</w:t>
      </w:r>
    </w:p>
    <w:p>
      <w:pPr>
        <w:spacing w:before="82"/>
        <w:ind w:left="3510" w:right="0" w:firstLine="0"/>
        <w:jc w:val="left"/>
        <w:rPr>
          <w:sz w:val="12"/>
        </w:rPr>
      </w:pPr>
      <w:r>
        <w:rPr>
          <w:sz w:val="12"/>
        </w:rPr>
        <w:t>104</w:t>
      </w:r>
    </w:p>
    <w:p>
      <w:pPr>
        <w:spacing w:before="82"/>
        <w:ind w:left="3510" w:right="0" w:firstLine="0"/>
        <w:jc w:val="left"/>
        <w:rPr>
          <w:sz w:val="12"/>
        </w:rPr>
      </w:pPr>
      <w:r>
        <w:rPr>
          <w:sz w:val="12"/>
        </w:rPr>
        <w:t>102</w:t>
      </w:r>
    </w:p>
    <w:p>
      <w:pPr>
        <w:spacing w:before="82"/>
        <w:ind w:left="3510" w:right="0" w:firstLine="0"/>
        <w:jc w:val="left"/>
        <w:rPr>
          <w:sz w:val="12"/>
        </w:rPr>
      </w:pPr>
      <w:r>
        <w:rPr>
          <w:sz w:val="12"/>
        </w:rPr>
        <w:t>100</w:t>
      </w:r>
    </w:p>
    <w:p>
      <w:pPr>
        <w:spacing w:before="62"/>
        <w:ind w:left="3570" w:right="0" w:firstLine="0"/>
        <w:jc w:val="left"/>
        <w:rPr>
          <w:sz w:val="12"/>
        </w:rPr>
      </w:pPr>
      <w:r>
        <w:rPr>
          <w:sz w:val="12"/>
        </w:rPr>
        <w:t>98</w:t>
      </w:r>
    </w:p>
    <w:p>
      <w:pPr>
        <w:spacing w:before="82"/>
        <w:ind w:left="3570" w:right="0" w:firstLine="0"/>
        <w:jc w:val="left"/>
        <w:rPr>
          <w:sz w:val="12"/>
        </w:rPr>
      </w:pPr>
      <w:r>
        <w:rPr>
          <w:sz w:val="12"/>
        </w:rPr>
        <w:t>96</w:t>
      </w:r>
    </w:p>
    <w:p>
      <w:pPr>
        <w:spacing w:before="82"/>
        <w:ind w:left="3570" w:right="0" w:firstLine="0"/>
        <w:jc w:val="left"/>
        <w:rPr>
          <w:sz w:val="12"/>
        </w:rPr>
      </w:pPr>
      <w:r>
        <w:rPr>
          <w:sz w:val="12"/>
        </w:rPr>
        <w:t>94</w:t>
      </w:r>
    </w:p>
    <w:p>
      <w:pPr>
        <w:spacing w:before="62"/>
        <w:ind w:left="3570" w:right="0" w:firstLine="0"/>
        <w:jc w:val="left"/>
        <w:rPr>
          <w:sz w:val="12"/>
        </w:rPr>
      </w:pPr>
      <w:r>
        <w:rPr>
          <w:sz w:val="12"/>
        </w:rPr>
        <w:t>92</w:t>
      </w:r>
    </w:p>
    <w:p>
      <w:pPr>
        <w:spacing w:before="82"/>
        <w:ind w:left="3570" w:right="0" w:firstLine="0"/>
        <w:jc w:val="left"/>
        <w:rPr>
          <w:sz w:val="12"/>
        </w:rPr>
      </w:pPr>
      <w:r>
        <w:rPr>
          <w:sz w:val="12"/>
        </w:rPr>
        <w:t>90</w:t>
      </w:r>
    </w:p>
    <w:p>
      <w:pPr>
        <w:spacing w:before="82"/>
        <w:ind w:left="3570" w:right="0" w:firstLine="0"/>
        <w:jc w:val="left"/>
        <w:rPr>
          <w:sz w:val="12"/>
        </w:rPr>
      </w:pPr>
      <w:r>
        <w:rPr>
          <w:sz w:val="12"/>
        </w:rPr>
        <w:t>88</w:t>
      </w:r>
    </w:p>
    <w:p>
      <w:pPr>
        <w:spacing w:before="82"/>
        <w:ind w:left="3570" w:right="0" w:firstLine="0"/>
        <w:jc w:val="left"/>
        <w:rPr>
          <w:sz w:val="12"/>
        </w:rPr>
      </w:pPr>
      <w:r>
        <w:rPr>
          <w:sz w:val="12"/>
        </w:rPr>
        <w:t>86</w:t>
      </w:r>
    </w:p>
    <w:p>
      <w:pPr>
        <w:spacing w:before="82"/>
        <w:ind w:left="3570" w:right="0" w:firstLine="0"/>
        <w:jc w:val="left"/>
        <w:rPr>
          <w:sz w:val="12"/>
        </w:rPr>
      </w:pPr>
      <w:r>
        <w:rPr>
          <w:sz w:val="12"/>
        </w:rPr>
        <w:t>84</w:t>
      </w:r>
    </w:p>
    <w:p>
      <w:pPr>
        <w:spacing w:before="62"/>
        <w:ind w:left="3570" w:right="0" w:firstLine="0"/>
        <w:jc w:val="left"/>
        <w:rPr>
          <w:sz w:val="12"/>
        </w:rPr>
      </w:pPr>
      <w:r>
        <w:rPr>
          <w:sz w:val="12"/>
        </w:rPr>
        <w:t>82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3"/>
        </w:rPr>
      </w:pPr>
    </w:p>
    <w:p>
      <w:pPr>
        <w:spacing w:before="0"/>
        <w:ind w:left="-25" w:right="0" w:firstLine="0"/>
        <w:jc w:val="left"/>
        <w:rPr>
          <w:sz w:val="12"/>
        </w:rPr>
      </w:pPr>
      <w:r>
        <w:rPr>
          <w:sz w:val="12"/>
        </w:rPr>
        <w:t>3.8</w:t>
      </w:r>
    </w:p>
    <w:p>
      <w:pPr>
        <w:pStyle w:val="BodyText"/>
        <w:rPr>
          <w:sz w:val="12"/>
        </w:rPr>
      </w:pPr>
    </w:p>
    <w:p>
      <w:pPr>
        <w:pStyle w:val="BodyText"/>
        <w:rPr>
          <w:sz w:val="12"/>
        </w:rPr>
      </w:pPr>
    </w:p>
    <w:p>
      <w:pPr>
        <w:pStyle w:val="BodyText"/>
        <w:spacing w:before="2"/>
        <w:rPr>
          <w:sz w:val="16"/>
        </w:rPr>
      </w:pPr>
    </w:p>
    <w:p>
      <w:pPr>
        <w:spacing w:before="0"/>
        <w:ind w:left="-25" w:right="0" w:firstLine="0"/>
        <w:jc w:val="left"/>
        <w:rPr>
          <w:sz w:val="12"/>
        </w:rPr>
      </w:pPr>
      <w:r>
        <w:rPr>
          <w:sz w:val="12"/>
        </w:rPr>
        <w:t>3.6</w:t>
      </w:r>
    </w:p>
    <w:p>
      <w:pPr>
        <w:pStyle w:val="BodyText"/>
        <w:rPr>
          <w:sz w:val="12"/>
        </w:rPr>
      </w:pPr>
    </w:p>
    <w:p>
      <w:pPr>
        <w:pStyle w:val="BodyText"/>
        <w:rPr>
          <w:sz w:val="12"/>
        </w:rPr>
      </w:pPr>
    </w:p>
    <w:p>
      <w:pPr>
        <w:pStyle w:val="BodyText"/>
        <w:spacing w:before="2"/>
        <w:rPr>
          <w:sz w:val="16"/>
        </w:rPr>
      </w:pPr>
    </w:p>
    <w:p>
      <w:pPr>
        <w:spacing w:before="0"/>
        <w:ind w:left="-25" w:right="0" w:firstLine="0"/>
        <w:jc w:val="left"/>
        <w:rPr>
          <w:sz w:val="12"/>
        </w:rPr>
      </w:pPr>
      <w:r>
        <w:rPr>
          <w:sz w:val="12"/>
        </w:rPr>
        <w:t>3.4</w:t>
      </w:r>
    </w:p>
    <w:p>
      <w:pPr>
        <w:pStyle w:val="BodyText"/>
        <w:rPr>
          <w:sz w:val="12"/>
        </w:rPr>
      </w:pPr>
    </w:p>
    <w:p>
      <w:pPr>
        <w:pStyle w:val="BodyText"/>
        <w:rPr>
          <w:sz w:val="12"/>
        </w:rPr>
      </w:pPr>
    </w:p>
    <w:p>
      <w:pPr>
        <w:pStyle w:val="BodyText"/>
        <w:spacing w:before="2"/>
        <w:rPr>
          <w:sz w:val="16"/>
        </w:rPr>
      </w:pPr>
    </w:p>
    <w:p>
      <w:pPr>
        <w:spacing w:before="0"/>
        <w:ind w:left="-25" w:right="0" w:firstLine="0"/>
        <w:jc w:val="left"/>
        <w:rPr>
          <w:sz w:val="12"/>
        </w:rPr>
      </w:pPr>
      <w:r>
        <w:rPr>
          <w:sz w:val="12"/>
        </w:rPr>
        <w:t>3.2</w:t>
      </w:r>
    </w:p>
    <w:p>
      <w:pPr>
        <w:pStyle w:val="BodyText"/>
        <w:rPr>
          <w:sz w:val="12"/>
        </w:rPr>
      </w:pPr>
    </w:p>
    <w:p>
      <w:pPr>
        <w:pStyle w:val="BodyText"/>
        <w:rPr>
          <w:sz w:val="12"/>
        </w:rPr>
      </w:pPr>
    </w:p>
    <w:p>
      <w:pPr>
        <w:pStyle w:val="BodyText"/>
        <w:spacing w:before="2"/>
        <w:rPr>
          <w:sz w:val="16"/>
        </w:rPr>
      </w:pPr>
    </w:p>
    <w:p>
      <w:pPr>
        <w:spacing w:before="0"/>
        <w:ind w:left="-25" w:right="0" w:firstLine="0"/>
        <w:jc w:val="left"/>
        <w:rPr>
          <w:sz w:val="12"/>
        </w:rPr>
      </w:pPr>
      <w:r>
        <w:rPr>
          <w:sz w:val="12"/>
        </w:rPr>
        <w:t>3.0</w:t>
      </w:r>
    </w:p>
    <w:p>
      <w:pPr>
        <w:pStyle w:val="BodyText"/>
        <w:rPr>
          <w:sz w:val="12"/>
        </w:rPr>
      </w:pPr>
    </w:p>
    <w:p>
      <w:pPr>
        <w:pStyle w:val="BodyText"/>
        <w:rPr>
          <w:sz w:val="12"/>
        </w:rPr>
      </w:pPr>
    </w:p>
    <w:p>
      <w:pPr>
        <w:pStyle w:val="BodyText"/>
        <w:spacing w:before="2"/>
        <w:rPr>
          <w:sz w:val="16"/>
        </w:rPr>
      </w:pPr>
    </w:p>
    <w:p>
      <w:pPr>
        <w:spacing w:before="1"/>
        <w:ind w:left="-25" w:right="0" w:firstLine="0"/>
        <w:jc w:val="left"/>
        <w:rPr>
          <w:sz w:val="12"/>
        </w:rPr>
      </w:pPr>
      <w:r>
        <w:rPr>
          <w:sz w:val="12"/>
        </w:rPr>
        <w:t>2.8</w:t>
      </w:r>
    </w:p>
    <w:p>
      <w:pPr>
        <w:spacing w:before="22"/>
        <w:ind w:left="-25" w:right="0" w:firstLine="0"/>
        <w:jc w:val="left"/>
        <w:rPr>
          <w:sz w:val="12"/>
        </w:rPr>
      </w:pPr>
      <w:r>
        <w:rPr>
          <w:sz w:val="12"/>
        </w:rPr>
        <w:t>0.0</w:t>
      </w:r>
    </w:p>
    <w:p>
      <w:pPr>
        <w:pStyle w:val="Heading5"/>
        <w:spacing w:line="242" w:lineRule="auto" w:before="130"/>
        <w:ind w:left="175" w:right="173"/>
      </w:pPr>
      <w:r>
        <w:rPr/>
        <w:br w:type="column"/>
      </w:r>
      <w:r>
        <w:rPr>
          <w:color w:val="231F20"/>
        </w:rPr>
        <w:t>The rise in overseas short-term forward interest rates relative to UK rates has been smaller than market expectations in November. This implies that the nominal effective exchange rate is likely to depreciate more slowly than assumed in the November </w:t>
      </w:r>
      <w:r>
        <w:rPr>
          <w:i/>
          <w:color w:val="231F20"/>
        </w:rPr>
        <w:t>Report</w:t>
      </w:r>
      <w:r>
        <w:rPr>
          <w:color w:val="231F20"/>
        </w:rPr>
        <w:t>.</w:t>
      </w:r>
    </w:p>
    <w:p>
      <w:pPr>
        <w:spacing w:line="242" w:lineRule="auto" w:before="7"/>
        <w:ind w:left="175" w:right="276" w:firstLine="0"/>
        <w:jc w:val="left"/>
        <w:rPr>
          <w:sz w:val="24"/>
        </w:rPr>
      </w:pPr>
      <w:r>
        <w:rPr>
          <w:color w:val="231F20"/>
          <w:sz w:val="24"/>
        </w:rPr>
        <w:t>Chart 1.14 identifies the Bank’s estimate of the contribution made by monetary policy factors to recent changes in the nominal effective exchange rate.</w:t>
      </w:r>
      <w:r>
        <w:rPr>
          <w:color w:val="231F20"/>
          <w:position w:val="5"/>
          <w:sz w:val="16"/>
        </w:rPr>
        <w:t>(2) </w:t>
      </w:r>
      <w:r>
        <w:rPr>
          <w:color w:val="231F20"/>
          <w:sz w:val="24"/>
        </w:rPr>
        <w:t>This contribution has been relatively constant and small in recent months. But a comparison of certain bilateral interest rate differentials points to a more pronounced effect of monetary policy factors: the expected bilateral exchange rate depreciation implied by the difference between UK interest rates and German interest rates has quickened since the November </w:t>
      </w:r>
      <w:r>
        <w:rPr>
          <w:i/>
          <w:color w:val="231F20"/>
          <w:sz w:val="24"/>
        </w:rPr>
        <w:t>Report</w:t>
      </w:r>
      <w:r>
        <w:rPr>
          <w:color w:val="231F20"/>
          <w:sz w:val="24"/>
        </w:rPr>
        <w:t>. So news about overseas and domestic monetary policy has probably played an important role in explaining the recent behaviour of sterling.</w:t>
      </w:r>
    </w:p>
    <w:p>
      <w:pPr>
        <w:pStyle w:val="BodyText"/>
        <w:spacing w:before="9"/>
        <w:rPr>
          <w:sz w:val="25"/>
        </w:rPr>
      </w:pPr>
    </w:p>
    <w:p>
      <w:pPr>
        <w:spacing w:line="242" w:lineRule="auto" w:before="0"/>
        <w:ind w:left="175" w:right="282" w:firstLine="0"/>
        <w:jc w:val="left"/>
        <w:rPr>
          <w:sz w:val="24"/>
        </w:rPr>
      </w:pPr>
      <w:r>
        <w:rPr>
          <w:color w:val="231F20"/>
          <w:sz w:val="24"/>
        </w:rPr>
        <w:t>Part of sterling’s appreciation since August 1996 has been ascribed to portfolio and erratic factors. This may be related to perceptions about Economic and Monetary Union, namely expectations about membership and policy uncertainty within the prospective euro area.</w:t>
      </w:r>
    </w:p>
    <w:p>
      <w:pPr>
        <w:spacing w:line="242" w:lineRule="auto" w:before="6"/>
        <w:ind w:left="175" w:right="173" w:firstLine="0"/>
        <w:jc w:val="left"/>
        <w:rPr>
          <w:sz w:val="24"/>
        </w:rPr>
      </w:pPr>
      <w:r>
        <w:rPr>
          <w:color w:val="231F20"/>
          <w:sz w:val="24"/>
        </w:rPr>
        <w:t>There is still a risk that these portfolio effects could unwind rapidly, leading to a faster depreciation than implied by interest rate differentials. For the current projection, the MPC has assumed that the most likely scenario is that the exchange rate will depreciate in line with the difference implied by the constant UK interest rate and market expectations of overseas interest rates. The central projection is consistent with a bilateral</w:t>
      </w:r>
    </w:p>
    <w:p>
      <w:pPr>
        <w:spacing w:after="0" w:line="242" w:lineRule="auto"/>
        <w:jc w:val="left"/>
        <w:rPr>
          <w:sz w:val="24"/>
        </w:rPr>
        <w:sectPr>
          <w:type w:val="continuous"/>
          <w:pgSz w:w="11880" w:h="16840"/>
          <w:pgMar w:top="1200" w:bottom="280" w:left="620" w:right="620"/>
          <w:cols w:num="3" w:equalWidth="0">
            <w:col w:w="3691" w:space="40"/>
            <w:col w:w="166" w:space="887"/>
            <w:col w:w="5856"/>
          </w:cols>
        </w:sectPr>
      </w:pPr>
    </w:p>
    <w:p>
      <w:pPr>
        <w:pStyle w:val="BodyText"/>
        <w:spacing w:before="4"/>
        <w:rPr>
          <w:sz w:val="12"/>
        </w:rPr>
      </w:pPr>
    </w:p>
    <w:p>
      <w:pPr>
        <w:tabs>
          <w:tab w:pos="1009" w:val="left" w:leader="none"/>
          <w:tab w:pos="1489" w:val="left" w:leader="none"/>
          <w:tab w:pos="1989" w:val="left" w:leader="none"/>
          <w:tab w:pos="2489" w:val="left" w:leader="none"/>
          <w:tab w:pos="2989" w:val="left" w:leader="none"/>
        </w:tabs>
        <w:spacing w:before="0"/>
        <w:ind w:left="429" w:right="0" w:firstLine="0"/>
        <w:jc w:val="left"/>
        <w:rPr>
          <w:sz w:val="12"/>
        </w:rPr>
      </w:pPr>
      <w:r>
        <w:rPr>
          <w:sz w:val="12"/>
        </w:rPr>
        <w:t>1992</w:t>
        <w:tab/>
        <w:t>93</w:t>
        <w:tab/>
        <w:t>94</w:t>
        <w:tab/>
        <w:t>95</w:t>
        <w:tab/>
        <w:t>96</w:t>
        <w:tab/>
        <w:t>97</w:t>
      </w:r>
      <w:r>
        <w:rPr>
          <w:spacing w:val="29"/>
          <w:sz w:val="12"/>
        </w:rPr>
        <w:t> </w:t>
      </w:r>
      <w:r>
        <w:rPr>
          <w:spacing w:val="-9"/>
          <w:sz w:val="12"/>
        </w:rPr>
        <w:t>98</w:t>
      </w:r>
    </w:p>
    <w:p>
      <w:pPr>
        <w:pStyle w:val="BodyText"/>
        <w:rPr>
          <w:sz w:val="17"/>
        </w:rPr>
      </w:pPr>
    </w:p>
    <w:p>
      <w:pPr>
        <w:spacing w:line="417" w:lineRule="auto" w:before="0"/>
        <w:ind w:left="180" w:right="501" w:firstLine="0"/>
        <w:jc w:val="left"/>
        <w:rPr>
          <w:sz w:val="12"/>
        </w:rPr>
      </w:pPr>
      <w:r>
        <w:rPr>
          <w:color w:val="231F20"/>
          <w:sz w:val="12"/>
        </w:rPr>
        <w:t>Note: Daily data. Final observation is 4 February. Source: Bank of England.</w:t>
      </w:r>
    </w:p>
    <w:p>
      <w:pPr>
        <w:tabs>
          <w:tab w:pos="1509" w:val="left" w:leader="none"/>
          <w:tab w:pos="7089" w:val="left" w:leader="none"/>
        </w:tabs>
        <w:spacing w:line="136" w:lineRule="exact" w:before="82"/>
        <w:ind w:left="119" w:right="0" w:firstLine="0"/>
        <w:jc w:val="left"/>
        <w:rPr>
          <w:sz w:val="12"/>
        </w:rPr>
      </w:pPr>
      <w:r>
        <w:rPr/>
        <w:br w:type="column"/>
      </w:r>
      <w:r>
        <w:rPr>
          <w:sz w:val="12"/>
        </w:rPr>
        <w:t>80</w:t>
        <w:tab/>
      </w:r>
      <w:r>
        <w:rPr>
          <w:sz w:val="12"/>
          <w:u w:val="single" w:color="231F20"/>
        </w:rPr>
        <w:t> </w:t>
        <w:tab/>
      </w:r>
    </w:p>
    <w:p>
      <w:pPr>
        <w:pStyle w:val="ListParagraph"/>
        <w:numPr>
          <w:ilvl w:val="0"/>
          <w:numId w:val="6"/>
        </w:numPr>
        <w:tabs>
          <w:tab w:pos="1771" w:val="left" w:leader="none"/>
        </w:tabs>
        <w:spacing w:line="208" w:lineRule="auto" w:before="18" w:after="0"/>
        <w:ind w:left="1769" w:right="841" w:hanging="240"/>
        <w:jc w:val="left"/>
        <w:rPr>
          <w:sz w:val="16"/>
        </w:rPr>
      </w:pPr>
      <w:r>
        <w:rPr/>
        <w:pict>
          <v:shape style="position:absolute;margin-left:41pt;margin-top:-6.692184pt;width:164pt;height:3pt;mso-position-horizontal-relative:page;mso-position-vertical-relative:paragraph;z-index:15785984" coordorigin="820,-134" coordsize="3280,60" path="m900,-74l820,-74m4100,-74l4000,-74m940,-74l3960,-74m1440,-74l1440,-134m1940,-74l1940,-134m2420,-74l2420,-134m2920,-74l2920,-134m3420,-74l3420,-134m3920,-74l3920,-134m940,-74l940,-134e" filled="false" stroked="true" strokeweight=".5pt" strokecolor="#000000">
            <v:path arrowok="t"/>
            <v:stroke dashstyle="solid"/>
            <w10:wrap type="none"/>
          </v:shape>
        </w:pict>
      </w:r>
      <w:r>
        <w:rPr>
          <w:color w:val="231F20"/>
          <w:sz w:val="16"/>
        </w:rPr>
        <w:t>For a detailed examination of the determinants of real interest rates, </w:t>
      </w:r>
      <w:r>
        <w:rPr>
          <w:color w:val="231F20"/>
          <w:spacing w:val="-6"/>
          <w:sz w:val="16"/>
        </w:rPr>
        <w:t>see </w:t>
      </w:r>
      <w:r>
        <w:rPr>
          <w:color w:val="231F20"/>
          <w:sz w:val="16"/>
        </w:rPr>
        <w:t>Jenkinson, N (1996), ‘Saving, investment and real interest rates’, </w:t>
      </w:r>
      <w:r>
        <w:rPr>
          <w:i/>
          <w:color w:val="231F20"/>
          <w:sz w:val="16"/>
        </w:rPr>
        <w:t>Quarterly Bulletin</w:t>
      </w:r>
      <w:r>
        <w:rPr>
          <w:color w:val="231F20"/>
          <w:sz w:val="16"/>
        </w:rPr>
        <w:t>, February, pages</w:t>
      </w:r>
      <w:r>
        <w:rPr>
          <w:color w:val="231F20"/>
          <w:spacing w:val="-1"/>
          <w:sz w:val="16"/>
        </w:rPr>
        <w:t> </w:t>
      </w:r>
      <w:r>
        <w:rPr>
          <w:color w:val="231F20"/>
          <w:sz w:val="16"/>
        </w:rPr>
        <w:t>51–62.</w:t>
      </w:r>
    </w:p>
    <w:p>
      <w:pPr>
        <w:pStyle w:val="ListParagraph"/>
        <w:numPr>
          <w:ilvl w:val="0"/>
          <w:numId w:val="6"/>
        </w:numPr>
        <w:tabs>
          <w:tab w:pos="1771" w:val="left" w:leader="none"/>
        </w:tabs>
        <w:spacing w:line="208" w:lineRule="auto" w:before="0" w:after="0"/>
        <w:ind w:left="1769" w:right="926" w:hanging="240"/>
        <w:jc w:val="left"/>
        <w:rPr>
          <w:sz w:val="16"/>
        </w:rPr>
      </w:pPr>
      <w:r>
        <w:rPr>
          <w:color w:val="231F20"/>
          <w:sz w:val="16"/>
        </w:rPr>
        <w:t>See Brigden, A </w:t>
      </w:r>
      <w:r>
        <w:rPr>
          <w:i/>
          <w:color w:val="231F20"/>
          <w:sz w:val="16"/>
        </w:rPr>
        <w:t>et al </w:t>
      </w:r>
      <w:r>
        <w:rPr>
          <w:color w:val="231F20"/>
          <w:sz w:val="16"/>
        </w:rPr>
        <w:t>(1997), ‘Decomposing exchange rate</w:t>
      </w:r>
      <w:r>
        <w:rPr>
          <w:color w:val="231F20"/>
          <w:spacing w:val="-16"/>
          <w:sz w:val="16"/>
        </w:rPr>
        <w:t> </w:t>
      </w:r>
      <w:r>
        <w:rPr>
          <w:color w:val="231F20"/>
          <w:sz w:val="16"/>
        </w:rPr>
        <w:t>movements according to the uncovered interest rate parity condition’, </w:t>
      </w:r>
      <w:r>
        <w:rPr>
          <w:i/>
          <w:color w:val="231F20"/>
          <w:sz w:val="16"/>
        </w:rPr>
        <w:t>Quarterly </w:t>
      </w:r>
      <w:r>
        <w:rPr>
          <w:i/>
          <w:color w:val="231F20"/>
          <w:sz w:val="16"/>
        </w:rPr>
        <w:t>Bulletin</w:t>
      </w:r>
      <w:r>
        <w:rPr>
          <w:color w:val="231F20"/>
          <w:sz w:val="16"/>
        </w:rPr>
        <w:t>, November, pages 377–89.</w:t>
      </w:r>
    </w:p>
    <w:p>
      <w:pPr>
        <w:spacing w:after="0" w:line="208" w:lineRule="auto"/>
        <w:jc w:val="left"/>
        <w:rPr>
          <w:sz w:val="16"/>
        </w:rPr>
        <w:sectPr>
          <w:type w:val="continuous"/>
          <w:pgSz w:w="11880" w:h="16840"/>
          <w:pgMar w:top="1200" w:bottom="280" w:left="620" w:right="620"/>
          <w:cols w:num="2" w:equalWidth="0">
            <w:col w:w="3411" w:space="40"/>
            <w:col w:w="7189"/>
          </w:cols>
        </w:sectPr>
      </w:pPr>
    </w:p>
    <w:p>
      <w:pPr>
        <w:pStyle w:val="BodyText"/>
        <w:rPr>
          <w:sz w:val="20"/>
        </w:rPr>
      </w:pPr>
    </w:p>
    <w:p>
      <w:pPr>
        <w:spacing w:after="0"/>
        <w:rPr>
          <w:sz w:val="20"/>
        </w:rPr>
        <w:sectPr>
          <w:headerReference w:type="default" r:id="rId21"/>
          <w:footerReference w:type="default" r:id="rId22"/>
          <w:footerReference w:type="even" r:id="rId23"/>
          <w:pgSz w:w="11880" w:h="16840"/>
          <w:pgMar w:header="586" w:footer="617" w:top="780" w:bottom="800" w:left="620" w:right="620"/>
          <w:pgNumType w:start="11"/>
        </w:sectPr>
      </w:pPr>
    </w:p>
    <w:p>
      <w:pPr>
        <w:pStyle w:val="BodyText"/>
        <w:spacing w:before="6"/>
        <w:rPr>
          <w:sz w:val="20"/>
        </w:rPr>
      </w:pPr>
    </w:p>
    <w:p>
      <w:pPr>
        <w:pStyle w:val="Heading9"/>
        <w:spacing w:before="0"/>
      </w:pPr>
      <w:bookmarkStart w:name="Summary" w:id="27"/>
      <w:bookmarkEnd w:id="27"/>
      <w:r>
        <w:rPr>
          <w:b w:val="0"/>
        </w:rPr>
      </w:r>
      <w:bookmarkStart w:name="_bookmark8" w:id="28"/>
      <w:bookmarkEnd w:id="28"/>
      <w:r>
        <w:rPr>
          <w:b w:val="0"/>
        </w:rPr>
      </w:r>
      <w:r>
        <w:rPr>
          <w:color w:val="0093C1"/>
        </w:rPr>
        <w:t>Chart 1.14</w:t>
      </w:r>
    </w:p>
    <w:p>
      <w:pPr>
        <w:spacing w:line="249" w:lineRule="auto" w:before="10"/>
        <w:ind w:left="200" w:right="199" w:firstLine="0"/>
        <w:jc w:val="left"/>
        <w:rPr>
          <w:b/>
          <w:sz w:val="20"/>
        </w:rPr>
      </w:pPr>
      <w:r>
        <w:rPr>
          <w:b/>
          <w:color w:val="0093C1"/>
          <w:sz w:val="20"/>
        </w:rPr>
        <w:t>The exchange rate and monetary policy news since August 1996</w:t>
      </w:r>
    </w:p>
    <w:p>
      <w:pPr>
        <w:spacing w:before="7"/>
        <w:ind w:left="3140" w:right="0" w:firstLine="0"/>
        <w:jc w:val="left"/>
        <w:rPr>
          <w:sz w:val="12"/>
        </w:rPr>
      </w:pPr>
      <w:r>
        <w:rPr/>
        <w:pict>
          <v:group style="position:absolute;margin-left:44.5pt;margin-top:7.201562pt;width:166.55pt;height:151.5pt;mso-position-horizontal-relative:page;mso-position-vertical-relative:paragraph;z-index:-20297728" coordorigin="890,144" coordsize="3331,3030">
            <v:shape style="position:absolute;left:1005;top:2304;width:3020;height:720" coordorigin="1005,2304" coordsize="3020,720" path="m1165,2984l1105,2984,1125,3004,1125,3024,1165,2984xm1125,2964l1085,2964,1085,2984,1105,3004,1105,2984,1125,2984,1125,2964xm1185,2984l1165,2984,1165,3004,1185,3004,1185,2984xm1185,2944l1145,2944,1145,2984,1205,2984,1205,3004,1225,2964,1185,2964,1185,2944xm1025,2944l1025,2984,1045,2964,1025,2944xm1065,2924l1045,2924,1045,2964,1065,2984,1065,2964,1125,2964,1125,2944,1065,2944,1065,2924xm1085,2964l1065,2964,1085,2984,1085,2964xm1225,2924l1225,2964,1245,2984,1245,2964,1265,2964,1265,2944,1245,2944,1225,2924xm1325,2884l1285,2884,1285,2904,1265,2904,1265,2924,1245,2924,1245,2944,1265,2944,1265,2984,1285,2924,1325,2884xm1205,2904l1205,2964,1225,2964,1225,2944,1205,2904xm1025,2924l1005,2944,1025,2944,1025,2924xm1385,2864l1365,2884,1365,2924,1385,2924,1385,2944,1395,2904,1385,2904,1385,2864xm1345,2884l1325,2904,1325,2924,1345,2904,1345,2884xm1365,2884l1345,2904,1345,2924,1365,2884xm1405,2844l1385,2904,1395,2904,1405,2864,1405,2844xm1445,2804l1425,2804,1425,2844,1405,2864,1405,2884,1425,2904,1425,2864,1445,2824,1445,2804xm2265,2784l2205,2784,2205,2824,2225,2824,2225,2844,2245,2824,2245,2804,2265,2804,2265,2784xm3385,2584l3365,2664,3365,2684,3305,2744,3305,2824,3325,2804,3325,2744,3345,2744,3345,2724,3365,2724,3385,2644,3385,2584xm1505,2784l1485,2784,1505,2804,1505,2784xm2265,2664l2245,2704,2245,2724,2225,2744,2125,2744,2125,2764,2165,2764,2185,2804,2205,2784,2265,2784,2265,2744,2285,2724,2305,2724,2305,2684,2265,2684,2265,2664xm3445,2724l3425,2784,3425,2804,3445,2764,3465,2764,3445,2744,3445,2724xm1465,2744l1445,2744,1445,2784,1465,2764,1465,2744xm1465,2744l1465,2784,1485,2784,1485,2764,1465,2744xm2165,2764l2145,2764,2145,2784,2165,2784,2165,2764xm3465,2764l3445,2764,3465,2784,3465,2764xm1585,2684l1565,2684,1565,2764,1585,2684xm2505,2704l2385,2704,2385,2744,2405,2764,2405,2744,2425,2744,2445,2724,2495,2724,2505,2704xm2425,2744l2405,2744,2405,2764,2425,2764,2425,2744xm2505,2584l2505,2604,2485,2644,2505,2644,2525,2724,2545,2744,2545,2764,2565,2724,2545,2724,2545,2684,2525,2684,2505,2584xm3405,2684l3385,2704,3385,2744,3405,2744,3425,2764,3425,2744,3405,2724,3405,2684xm1525,2604l1525,2644,1505,2704,1505,2744,1525,2724,1545,2724,1545,2704,1565,2704,1565,2684,1585,2684,1585,2644,1605,2624,1545,2624,1525,2604xm2225,2684l2205,2724,2105,2724,2105,2744,2225,2744,2225,2684xm2305,2724l2285,2724,2305,2744,2305,2724xm2495,2724l2465,2724,2485,2744,2495,2724xm2585,2724l2565,2724,2565,2744,2585,2724xm2605,2724l2585,2724,2585,2744,2605,2724xm2625,2724l2605,2724,2605,2744,2625,2744,2625,2724xm2645,2724l2625,2724,2645,2744,2645,2724xm3225,2704l3185,2704,3185,2744,3225,2704xm3285,2704l3245,2704,3245,2744,3265,2724,3285,2724,3285,2704xm3365,2724l3345,2724,3345,2744,3365,2744,3365,2724xm3505,2724l3485,2724,3485,2744,3505,2724xm3525,2724l3505,2724,3505,2744,3525,2724xm3905,2664l3885,2684,3885,2744,3905,2704,3905,2664xm2065,2704l2045,2704,2045,2724,2065,2704xm2205,2644l2185,2644,2165,2664,2165,2684,1985,2684,2005,2704,2065,2704,2085,2724,2205,2724,2205,2644xm2385,2624l2325,2624,2325,2724,2345,2724,2365,2704,2505,2704,2505,2664,2385,2664,2385,2624xm2385,2704l2365,2704,2365,2724,2385,2704xm2705,2684l2565,2684,2545,2724,2665,2724,2665,2704,2685,2704,2705,2684xm2685,2704l2665,2704,2685,2724,2685,2704xm3285,2584l3285,2604,3265,2624,3245,2664,3005,2664,3005,2684,3025,2684,3025,2704,3045,2724,3065,2724,3065,2704,3285,2704,3305,2684,3305,2604,3285,2584xm3085,2704l3065,2704,3085,2724,3085,2704xm3125,2704l3105,2704,3125,2724,3125,2704xm3145,2704l3125,2704,3145,2724,3145,2704xm3245,2704l3225,2704,3225,2724,3245,2724,3245,2704xm3525,2644l3525,2704,3465,2704,3465,2724,3545,2724,3545,2684,3585,2684,3585,2664,3545,2664,3525,2644xm3785,2704l3765,2704,3765,2724,3785,2704xm3825,2684l3745,2684,3745,2704,3785,2704,3805,2724,3805,2704,3825,2684xm3945,2544l3945,2624,3965,2724,3965,2684,3945,2544xm1705,2644l1625,2644,1625,2664,1645,2684,1645,2704,1665,2704,1665,2684,1685,2684,1705,2664,1705,2644xm1805,2644l1705,2644,1725,2664,1725,2704,1745,2684,1745,2664,1785,2664,1805,2644xm1865,2644l1825,2644,1845,2684,1845,2704,1865,2644xm1985,2684l1945,2684,1965,2704,1985,2684xm2765,2644l2645,2644,2645,2684,2725,2684,2725,2704,2745,2684,2745,2664,2765,2664,2765,2644xm3485,2684l3485,2704,3505,2704,3485,2684xm3505,2684l3505,2704,3525,2704,3505,2684xm3565,2684l3545,2684,3545,2704,3565,2704,3565,2684xm3585,2684l3565,2684,3585,2704,3585,2684xm3665,2564l3665,2584,3645,2604,3645,2664,3625,2664,3625,2684,3645,2704,3645,2684,3665,2624,3725,2624,3705,2604,3685,2604,3685,2584,3665,2564xm3725,2664l3705,2664,3705,2704,3725,2704,3745,2684,3725,2684,3725,2664xm3745,2604l3725,2684,3825,2684,3845,2704,3845,2664,3765,2664,3765,2644,3745,2644,3745,2604xm3885,2644l3865,2664,3845,2664,3865,2684,3865,2704,3885,2684,3885,2644xm3945,2604l3925,2604,3925,2704,3945,2644,3945,2604xm3965,2564l3965,2644,3985,2684,4005,2704,4025,2704,4025,2684,4005,2684,4005,2644,3965,2564xm1785,2664l1745,2664,1765,2684,1785,2684,1785,2664xm2125,2644l1885,2644,1885,2664,1925,2664,1925,2684,2125,2684,2125,2644xm2145,2644l2125,2684,2165,2684,2145,2644xm2285,2584l2265,2624,2265,2684,2305,2684,2305,2664,2325,2624,2385,2624,2385,2604,2305,2604,2285,2584xm2605,2604l2605,2664,2585,2664,2585,2684,2645,2684,2625,2664,2605,2664,2605,2644,2625,2644,2605,2604xm2765,2664l2745,2664,2765,2684,2765,2664xm3185,2644l2985,2644,2985,2684,3005,2664,3185,2664,3185,2644xm3725,2624l3665,2624,3665,2644,3685,2684,3685,2664,3725,2664,3725,2624xm3705,2664l3685,2664,3685,2684,3705,2664xm4025,2624l4005,2644,4005,2684,4025,2684,4025,2624xm1825,2644l1805,2644,1825,2664,1825,2644xm2385,2584l2385,2664,2425,2664,2385,2584xm2425,2604l2425,2664,2505,2664,2505,2644,2485,2644,2485,2624,2445,2624,2425,2604xm3115,2604l2925,2604,2945,2624,2965,2664,2985,2664,2985,2644,3185,2644,3185,2624,3125,2624,3115,2604xm3225,2564l3205,2564,3205,2604,3185,2664,3245,2664,3245,2584,3225,2584,3225,2564xm3545,2644l3545,2664,3565,2664,3545,2644xm3605,2524l3585,2564,3585,2584,3565,2584,3565,2664,3585,2664,3585,2644,3595,2644,3605,2624,3625,2624,3625,2604,3605,2604,3605,2524xm3595,2644l3585,2644,3585,2664,3595,2644xm3625,2624l3605,2624,3605,2664,3645,2664,3625,2624xm3785,2604l3785,2644,3765,2664,3865,2664,3865,2644,3805,2644,3785,2604xm2065,2564l2065,2604,2045,2624,1605,2624,1605,2644,2085,2644,2065,2564xm2105,2604l2085,2604,2085,2644,2105,2644,2105,2604xm2785,2624l2665,2624,2665,2644,2785,2644,2785,2624xm2705,2564l2685,2604,2685,2624,2805,2624,2805,2644,2825,2644,2838,2604,2725,2604,2705,2584,2705,2564xm3825,2584l3825,2604,3805,2624,3805,2644,3845,2644,3825,2584xm3845,2584l3845,2644,3865,2644,3865,2624,3845,2584xm3905,2524l3905,2644,3925,2604,3945,2604,3945,2564,3925,2564,3925,2544,3905,2524xm1565,2484l1565,2584,1545,2584,1545,2624,1645,2624,1645,2604,1585,2604,1582,2584,1565,2584,1565,2564,1578,2564,1565,2484xm1725,2504l1725,2524,1685,2524,1685,2564,1665,2564,1665,2604,1645,2624,2025,2624,2025,2604,1965,2604,1945,2564,1945,2544,1745,2544,1745,2524,1725,2504xm2445,2604l2445,2624,2465,2624,2445,2604xm3045,2544l3045,2584,2905,2584,2905,2624,2925,2604,3115,2604,3105,2584,3105,2564,3065,2564,3045,2544xm3125,2564l3125,2624,3185,2624,3185,2604,3145,2604,3125,2564xm1605,2544l1585,2564,1585,2604,1605,2604,1605,2544xm1625,2584l1605,2584,1605,2604,1625,2604,1625,2584xm1985,2544l1965,2564,1965,2604,2025,2604,2018,2584,1985,2584,1985,2544xm2325,2464l2305,2544,2305,2604,2345,2604,2325,2584,2325,2464xm2365,2584l2345,2584,2345,2604,2365,2604,2365,2584xm2385,2584l2365,2604,2385,2604,2385,2584xm2865,2544l2745,2544,2745,2604,2838,2604,2845,2584,2865,2584,2865,2544xm2865,2584l2845,2584,2845,2604,2865,2584xm2785,2484l2765,2524,2765,2544,2865,2544,2885,2584,2885,2604,2905,2584,3045,2584,3025,2544,3025,2524,3015,2504,2785,2504,2785,2484xm3165,2564l3145,2564,3145,2604,3185,2604,3185,2584,3165,2564xm2005,2524l1985,2584,2018,2584,2012,2564,2005,2564,2005,2524xm2005,2544l2005,2564,2012,2564,2005,2544xm3085,2544l3065,2544,3065,2564,3085,2564,3085,2544xm3085,2524l3085,2564,3105,2564,3105,2544,3085,2524xm1925,2504l1905,2504,1905,2524,1745,2524,1745,2544,1925,2544,1925,2524,1785,2524,1765,2504,1925,2504xm1725,2464l1705,2464,1705,2524,1725,2524,1725,2464xm1805,2484l1785,2484,1785,2524,1825,2524,1805,2484xm1845,2444l1845,2484,1825,2484,1825,2524,1905,2524,1865,2484,1865,2464,1845,2444xm2805,2484l2785,2504,2805,2504,2805,2484xm2865,2304l2865,2364,2845,2384,2825,2484,2825,2504,3015,2504,3005,2484,2985,2484,2985,2464,2965,2464,2965,2444,2960,2424,2905,2424,2905,2404,2885,2384,2885,2344,2865,2304xm2985,2444l2965,2464,2985,2464,2985,2444xm2945,2364l2945,2384,2925,2384,2905,2424,2960,2424,2950,2384,2945,2384,2925,2364,2945,2364xe" filled="true" fillcolor="#b5e1e1" stroked="false">
              <v:path arrowok="t"/>
              <v:fill type="solid"/>
            </v:shape>
            <v:shape style="position:absolute;left:890;top:2309;width:3140;height:640" coordorigin="890,2309" coordsize="3140,640" path="m1010,2949l4030,2949m990,2949l890,2949m990,2729l890,2729m990,2509l890,2509m990,2309l890,2309e" filled="false" stroked="true" strokeweight=".5pt" strokecolor="#000000">
              <v:path arrowok="t"/>
              <v:stroke dashstyle="solid"/>
            </v:shape>
            <v:shape style="position:absolute;left:3330;top:2689;width:20;height:40" coordorigin="3330,2689" coordsize="20,40" path="m3330,2729l3330,2709,3350,2709,3350,2689e" filled="false" stroked="true" strokeweight="1pt" strokecolor="#000000">
              <v:path arrowok="t"/>
              <v:stroke dashstyle="solid"/>
            </v:shape>
            <v:shape style="position:absolute;left:890;top:149;width:3300;height:3020" coordorigin="890,149" coordsize="3300,3020" path="m4190,2949l4090,2949m4190,2729l4090,2729m4190,2509l4090,2509m4190,2309l4090,2309m990,3169l890,3169m4190,3169l4090,3169m1010,3169l4030,3169m1170,3169l1170,3109m1350,3169l1350,3109m1530,3169l1530,3109m1690,3169l1690,3109m2010,3169l2010,3109m2170,3169l2170,3109m2330,3169l2330,3109m2510,3169l2510,3109m2650,3169l2650,3109m2830,3169l2830,3109m3010,3169l3010,3109m3170,3169l3170,3109m3330,3169l3330,3109m3510,3169l3510,3109m3670,3169l3670,3109m3830,3169l3830,3109m4010,3169l4010,3109m3830,3169l3830,3069m990,2089l890,2089m990,1869l890,1869m990,1649l890,1649m990,1449l890,1449m990,1229l890,1229m990,1009l890,1009m990,809l890,809m990,589l890,589m990,369l890,369m990,149l890,149m4190,2089l4090,2089m4190,1869l4090,1869m4190,1649l4090,1649m4190,1449l4090,1449m4190,1229l4090,1229m4190,1009l4090,1009m4190,809l4090,809m4190,589l4090,589m4190,369l4090,369e" filled="false" stroked="true" strokeweight=".5pt" strokecolor="#000000">
              <v:path arrowok="t"/>
              <v:stroke dashstyle="solid"/>
            </v:shape>
            <v:shape style="position:absolute;left:1000;top:159;width:3040;height:3010" type="#_x0000_t75" stroked="false">
              <v:imagedata r:id="rId24" o:title=""/>
            </v:shape>
            <v:shape style="position:absolute;left:1660;top:672;width:1047;height:233" type="#_x0000_t202" filled="false" stroked="false">
              <v:textbox inset="0,0,0,0">
                <w:txbxContent>
                  <w:p>
                    <w:pPr>
                      <w:spacing w:line="114" w:lineRule="exact" w:before="0"/>
                      <w:ind w:left="0" w:right="0" w:firstLine="0"/>
                      <w:jc w:val="left"/>
                      <w:rPr>
                        <w:sz w:val="12"/>
                      </w:rPr>
                    </w:pPr>
                    <w:r>
                      <w:rPr>
                        <w:sz w:val="12"/>
                      </w:rPr>
                      <w:t>Actual exchange</w:t>
                    </w:r>
                  </w:p>
                  <w:p>
                    <w:pPr>
                      <w:spacing w:line="119" w:lineRule="exact" w:before="0"/>
                      <w:ind w:left="99" w:right="0" w:firstLine="0"/>
                      <w:jc w:val="left"/>
                      <w:rPr>
                        <w:sz w:val="12"/>
                      </w:rPr>
                    </w:pPr>
                    <w:r>
                      <w:rPr>
                        <w:sz w:val="12"/>
                      </w:rPr>
                      <w:t>rate movements (a)</w:t>
                    </w:r>
                  </w:p>
                </w:txbxContent>
              </v:textbox>
              <w10:wrap type="none"/>
            </v:shape>
            <v:shape style="position:absolute;left:2140;top:2052;width:1270;height:233" type="#_x0000_t202" filled="false" stroked="false">
              <v:textbox inset="0,0,0,0">
                <w:txbxContent>
                  <w:p>
                    <w:pPr>
                      <w:spacing w:line="114" w:lineRule="exact" w:before="0"/>
                      <w:ind w:left="0" w:right="0" w:firstLine="0"/>
                      <w:jc w:val="left"/>
                      <w:rPr>
                        <w:sz w:val="12"/>
                      </w:rPr>
                    </w:pPr>
                    <w:r>
                      <w:rPr>
                        <w:sz w:val="12"/>
                      </w:rPr>
                      <w:t>Movements predicted</w:t>
                    </w:r>
                  </w:p>
                  <w:p>
                    <w:pPr>
                      <w:spacing w:line="119" w:lineRule="exact" w:before="0"/>
                      <w:ind w:left="120" w:right="0" w:firstLine="0"/>
                      <w:jc w:val="left"/>
                      <w:rPr>
                        <w:sz w:val="12"/>
                      </w:rPr>
                    </w:pPr>
                    <w:r>
                      <w:rPr>
                        <w:sz w:val="12"/>
                      </w:rPr>
                      <w:t>by monetary factors (b)</w:t>
                    </w:r>
                  </w:p>
                </w:txbxContent>
              </v:textbox>
              <w10:wrap type="none"/>
            </v:shape>
            <v:shape style="position:absolute;left:4110;top:2726;width:111;height:358" type="#_x0000_t202" filled="false" stroked="false">
              <v:textbox inset="0,0,0,0">
                <w:txbxContent>
                  <w:p>
                    <w:pPr>
                      <w:spacing w:line="175" w:lineRule="exact" w:before="0"/>
                      <w:ind w:left="0" w:right="0" w:firstLine="0"/>
                      <w:jc w:val="left"/>
                      <w:rPr>
                        <w:sz w:val="16"/>
                      </w:rPr>
                    </w:pPr>
                    <w:r>
                      <w:rPr>
                        <w:sz w:val="16"/>
                      </w:rPr>
                      <w:t>+</w:t>
                    </w:r>
                  </w:p>
                  <w:p>
                    <w:pPr>
                      <w:spacing w:line="182" w:lineRule="exact" w:before="0"/>
                      <w:ind w:left="0" w:right="0" w:firstLine="0"/>
                      <w:jc w:val="left"/>
                      <w:rPr>
                        <w:sz w:val="16"/>
                      </w:rPr>
                    </w:pPr>
                    <w:r>
                      <w:rPr>
                        <w:sz w:val="16"/>
                      </w:rPr>
                      <w:t>_</w:t>
                    </w:r>
                  </w:p>
                </w:txbxContent>
              </v:textbox>
              <w10:wrap type="none"/>
            </v:shape>
            <w10:wrap type="none"/>
          </v:group>
        </w:pict>
      </w:r>
      <w:r>
        <w:rPr>
          <w:sz w:val="12"/>
        </w:rPr>
        <w:t>Per ce</w:t>
      </w:r>
      <w:r>
        <w:rPr>
          <w:sz w:val="12"/>
          <w:u w:val="single"/>
        </w:rPr>
        <w:t>nt </w:t>
      </w:r>
      <w:r>
        <w:rPr>
          <w:sz w:val="12"/>
        </w:rPr>
        <w:t> </w:t>
      </w:r>
      <w:r>
        <w:rPr>
          <w:spacing w:val="10"/>
          <w:sz w:val="12"/>
        </w:rPr>
        <w:t> </w:t>
      </w:r>
      <w:r>
        <w:rPr>
          <w:position w:val="-6"/>
          <w:sz w:val="12"/>
        </w:rPr>
        <w:t>26</w:t>
      </w:r>
    </w:p>
    <w:p>
      <w:pPr>
        <w:spacing w:before="82"/>
        <w:ind w:left="3630" w:right="0" w:firstLine="0"/>
        <w:jc w:val="left"/>
        <w:rPr>
          <w:sz w:val="12"/>
        </w:rPr>
      </w:pPr>
      <w:r>
        <w:rPr>
          <w:sz w:val="12"/>
        </w:rPr>
        <w:t>24</w:t>
      </w:r>
    </w:p>
    <w:p>
      <w:pPr>
        <w:spacing w:before="82"/>
        <w:ind w:left="3630" w:right="0" w:firstLine="0"/>
        <w:jc w:val="left"/>
        <w:rPr>
          <w:sz w:val="12"/>
        </w:rPr>
      </w:pPr>
      <w:r>
        <w:rPr>
          <w:sz w:val="12"/>
        </w:rPr>
        <w:t>22</w:t>
      </w:r>
    </w:p>
    <w:p>
      <w:pPr>
        <w:spacing w:before="62"/>
        <w:ind w:left="3630" w:right="0" w:firstLine="0"/>
        <w:jc w:val="left"/>
        <w:rPr>
          <w:sz w:val="12"/>
        </w:rPr>
      </w:pPr>
      <w:r>
        <w:rPr>
          <w:sz w:val="12"/>
        </w:rPr>
        <w:t>20</w:t>
      </w:r>
    </w:p>
    <w:p>
      <w:pPr>
        <w:spacing w:before="82"/>
        <w:ind w:left="3630" w:right="0" w:firstLine="0"/>
        <w:jc w:val="left"/>
        <w:rPr>
          <w:sz w:val="12"/>
        </w:rPr>
      </w:pPr>
      <w:r>
        <w:rPr>
          <w:sz w:val="12"/>
        </w:rPr>
        <w:t>18</w:t>
      </w:r>
    </w:p>
    <w:p>
      <w:pPr>
        <w:spacing w:before="82"/>
        <w:ind w:left="3630" w:right="0" w:firstLine="0"/>
        <w:jc w:val="left"/>
        <w:rPr>
          <w:sz w:val="12"/>
        </w:rPr>
      </w:pPr>
      <w:r>
        <w:rPr>
          <w:sz w:val="12"/>
        </w:rPr>
        <w:t>16</w:t>
      </w:r>
    </w:p>
    <w:p>
      <w:pPr>
        <w:spacing w:before="82"/>
        <w:ind w:left="3630" w:right="0" w:firstLine="0"/>
        <w:jc w:val="left"/>
        <w:rPr>
          <w:sz w:val="12"/>
        </w:rPr>
      </w:pPr>
      <w:r>
        <w:rPr>
          <w:sz w:val="12"/>
        </w:rPr>
        <w:t>14</w:t>
      </w:r>
    </w:p>
    <w:p>
      <w:pPr>
        <w:spacing w:before="62"/>
        <w:ind w:left="3630" w:right="0" w:firstLine="0"/>
        <w:jc w:val="left"/>
        <w:rPr>
          <w:sz w:val="12"/>
        </w:rPr>
      </w:pPr>
      <w:r>
        <w:rPr>
          <w:sz w:val="12"/>
        </w:rPr>
        <w:t>12</w:t>
      </w:r>
    </w:p>
    <w:p>
      <w:pPr>
        <w:spacing w:before="82"/>
        <w:ind w:left="3630" w:right="0" w:firstLine="0"/>
        <w:jc w:val="left"/>
        <w:rPr>
          <w:sz w:val="12"/>
        </w:rPr>
      </w:pPr>
      <w:r>
        <w:rPr>
          <w:sz w:val="12"/>
        </w:rPr>
        <w:t>10</w:t>
      </w:r>
    </w:p>
    <w:p>
      <w:pPr>
        <w:spacing w:before="82"/>
        <w:ind w:left="3690" w:right="0" w:firstLine="0"/>
        <w:jc w:val="left"/>
        <w:rPr>
          <w:sz w:val="12"/>
        </w:rPr>
      </w:pPr>
      <w:r>
        <w:rPr>
          <w:sz w:val="12"/>
        </w:rPr>
        <w:t>8</w:t>
      </w:r>
    </w:p>
    <w:p>
      <w:pPr>
        <w:spacing w:before="82"/>
        <w:ind w:left="3690" w:right="0" w:firstLine="0"/>
        <w:jc w:val="left"/>
        <w:rPr>
          <w:sz w:val="12"/>
        </w:rPr>
      </w:pPr>
      <w:r>
        <w:rPr>
          <w:sz w:val="12"/>
        </w:rPr>
        <w:t>6</w:t>
      </w:r>
    </w:p>
    <w:p>
      <w:pPr>
        <w:spacing w:before="62"/>
        <w:ind w:left="3690" w:right="0" w:firstLine="0"/>
        <w:jc w:val="left"/>
        <w:rPr>
          <w:sz w:val="12"/>
        </w:rPr>
      </w:pPr>
      <w:r>
        <w:rPr>
          <w:sz w:val="12"/>
        </w:rPr>
        <w:t>4</w:t>
      </w:r>
    </w:p>
    <w:p>
      <w:pPr>
        <w:spacing w:before="82"/>
        <w:ind w:left="3690" w:right="0" w:firstLine="0"/>
        <w:jc w:val="left"/>
        <w:rPr>
          <w:sz w:val="12"/>
        </w:rPr>
      </w:pPr>
      <w:r>
        <w:rPr>
          <w:sz w:val="12"/>
        </w:rPr>
        <w:t>2</w:t>
      </w:r>
    </w:p>
    <w:p>
      <w:pPr>
        <w:spacing w:before="82"/>
        <w:ind w:left="3690" w:right="0" w:firstLine="0"/>
        <w:jc w:val="left"/>
        <w:rPr>
          <w:sz w:val="12"/>
        </w:rPr>
      </w:pPr>
      <w:r>
        <w:rPr>
          <w:sz w:val="12"/>
        </w:rPr>
        <w:t>0</w:t>
      </w:r>
    </w:p>
    <w:p>
      <w:pPr>
        <w:spacing w:line="86" w:lineRule="exact" w:before="82"/>
        <w:ind w:left="3690" w:right="0" w:firstLine="0"/>
        <w:jc w:val="left"/>
        <w:rPr>
          <w:sz w:val="12"/>
        </w:rPr>
      </w:pPr>
      <w:r>
        <w:rPr>
          <w:sz w:val="12"/>
        </w:rPr>
        <w:t>2</w:t>
      </w:r>
    </w:p>
    <w:p>
      <w:pPr>
        <w:pStyle w:val="Heading5"/>
        <w:spacing w:before="207"/>
        <w:ind w:left="200"/>
      </w:pPr>
      <w:r>
        <w:rPr/>
        <w:br w:type="column"/>
      </w:r>
      <w:r>
        <w:rPr>
          <w:color w:val="231F20"/>
        </w:rPr>
        <w:t>exchange rate, two years hence, of 1.62 and 2.86</w:t>
      </w:r>
    </w:p>
    <w:p>
      <w:pPr>
        <w:spacing w:line="242" w:lineRule="auto" w:before="4"/>
        <w:ind w:left="200" w:right="316" w:firstLine="0"/>
        <w:jc w:val="left"/>
        <w:rPr>
          <w:sz w:val="24"/>
        </w:rPr>
      </w:pPr>
      <w:r>
        <w:rPr>
          <w:i/>
          <w:color w:val="231F20"/>
          <w:sz w:val="24"/>
        </w:rPr>
        <w:t>vis à vis </w:t>
      </w:r>
      <w:r>
        <w:rPr>
          <w:color w:val="231F20"/>
          <w:sz w:val="24"/>
        </w:rPr>
        <w:t>the US dollar and the Deutsche Mark respectively. The level of the effective exchange rate in two years time implied by the projection is 101. The risk of the erratic factors unwinding more quickly than expected is reflected in an upward skew to the inflation projection.</w:t>
      </w:r>
    </w:p>
    <w:p>
      <w:pPr>
        <w:pStyle w:val="BodyText"/>
        <w:spacing w:before="9"/>
        <w:rPr>
          <w:sz w:val="21"/>
        </w:rPr>
      </w:pPr>
    </w:p>
    <w:p>
      <w:pPr>
        <w:pStyle w:val="Heading3"/>
        <w:numPr>
          <w:ilvl w:val="1"/>
          <w:numId w:val="2"/>
        </w:numPr>
        <w:tabs>
          <w:tab w:pos="4297" w:val="left" w:leader="none"/>
          <w:tab w:pos="4299" w:val="left" w:leader="none"/>
          <w:tab w:pos="5699" w:val="left" w:leader="none"/>
        </w:tabs>
        <w:spacing w:line="240" w:lineRule="auto" w:before="0" w:after="0"/>
        <w:ind w:left="4298" w:right="0" w:hanging="4099"/>
        <w:jc w:val="left"/>
      </w:pPr>
      <w:r>
        <w:rPr>
          <w:color w:val="009483"/>
          <w:u w:val="thick" w:color="0093C1"/>
        </w:rPr>
        <w:t>Summary</w:t>
        <w:tab/>
      </w:r>
    </w:p>
    <w:p>
      <w:pPr>
        <w:pStyle w:val="BodyText"/>
        <w:spacing w:before="11"/>
        <w:rPr>
          <w:b/>
          <w:sz w:val="23"/>
        </w:rPr>
      </w:pPr>
    </w:p>
    <w:p>
      <w:pPr>
        <w:spacing w:line="242" w:lineRule="auto" w:before="0"/>
        <w:ind w:left="200" w:right="193" w:firstLine="0"/>
        <w:jc w:val="left"/>
        <w:rPr>
          <w:sz w:val="24"/>
        </w:rPr>
      </w:pPr>
      <w:r>
        <w:rPr>
          <w:color w:val="231F20"/>
          <w:sz w:val="24"/>
        </w:rPr>
        <w:t>Though signs of moderation are emerging, the pace of monetary growth remains rapid. Aggregate lending activity has already slowed and may foreshadow slower domestic demand growth. The MPC’s projection for</w:t>
      </w:r>
    </w:p>
    <w:p>
      <w:pPr>
        <w:spacing w:after="0" w:line="242" w:lineRule="auto"/>
        <w:jc w:val="left"/>
        <w:rPr>
          <w:sz w:val="24"/>
        </w:rPr>
        <w:sectPr>
          <w:type w:val="continuous"/>
          <w:pgSz w:w="11880" w:h="16840"/>
          <w:pgMar w:top="1200" w:bottom="280" w:left="620" w:right="620"/>
          <w:cols w:num="2" w:equalWidth="0">
            <w:col w:w="3791" w:space="989"/>
            <w:col w:w="5860"/>
          </w:cols>
        </w:sectPr>
      </w:pPr>
    </w:p>
    <w:p>
      <w:pPr>
        <w:spacing w:before="24"/>
        <w:ind w:left="0" w:right="38" w:firstLine="0"/>
        <w:jc w:val="right"/>
        <w:rPr>
          <w:sz w:val="12"/>
        </w:rPr>
      </w:pPr>
      <w:r>
        <w:rPr>
          <w:sz w:val="12"/>
        </w:rPr>
        <w:t>1996</w:t>
      </w:r>
    </w:p>
    <w:p>
      <w:pPr>
        <w:tabs>
          <w:tab w:pos="1759" w:val="left" w:leader="none"/>
        </w:tabs>
        <w:spacing w:before="24"/>
        <w:ind w:left="659" w:right="0" w:firstLine="0"/>
        <w:jc w:val="left"/>
        <w:rPr>
          <w:sz w:val="12"/>
        </w:rPr>
      </w:pPr>
      <w:r>
        <w:rPr/>
        <w:br w:type="column"/>
      </w:r>
      <w:r>
        <w:rPr>
          <w:sz w:val="12"/>
        </w:rPr>
        <w:t>97</w:t>
        <w:tab/>
        <w:t>98</w:t>
      </w:r>
    </w:p>
    <w:p>
      <w:pPr>
        <w:pStyle w:val="Heading5"/>
        <w:spacing w:line="233" w:lineRule="exact"/>
        <w:ind w:left="659"/>
      </w:pPr>
      <w:r>
        <w:rPr/>
        <w:br w:type="column"/>
      </w:r>
      <w:r>
        <w:rPr>
          <w:color w:val="231F20"/>
        </w:rPr>
        <w:t>inflation assumes that aggregate broad money velocity</w:t>
      </w:r>
    </w:p>
    <w:p>
      <w:pPr>
        <w:spacing w:after="0" w:line="233" w:lineRule="exact"/>
        <w:sectPr>
          <w:type w:val="continuous"/>
          <w:pgSz w:w="11880" w:h="16840"/>
          <w:pgMar w:top="1200" w:bottom="280" w:left="620" w:right="620"/>
          <w:cols w:num="3" w:equalWidth="0">
            <w:col w:w="940" w:space="560"/>
            <w:col w:w="1921" w:space="899"/>
            <w:col w:w="6320"/>
          </w:cols>
        </w:sectPr>
      </w:pPr>
    </w:p>
    <w:p>
      <w:pPr>
        <w:spacing w:line="417" w:lineRule="auto" w:before="0"/>
        <w:ind w:left="190" w:right="1032" w:firstLine="0"/>
        <w:jc w:val="left"/>
        <w:rPr>
          <w:sz w:val="12"/>
        </w:rPr>
      </w:pPr>
      <w:r>
        <w:rPr>
          <w:color w:val="231F20"/>
          <w:sz w:val="12"/>
        </w:rPr>
        <w:t>Note: Daily data. Final observation is 4 February. Source: Bank of England.</w:t>
      </w:r>
    </w:p>
    <w:p>
      <w:pPr>
        <w:pStyle w:val="ListParagraph"/>
        <w:numPr>
          <w:ilvl w:val="0"/>
          <w:numId w:val="7"/>
        </w:numPr>
        <w:tabs>
          <w:tab w:pos="430" w:val="left" w:leader="none"/>
        </w:tabs>
        <w:spacing w:line="129" w:lineRule="exact" w:before="0" w:after="0"/>
        <w:ind w:left="429" w:right="0" w:hanging="240"/>
        <w:jc w:val="left"/>
        <w:rPr>
          <w:sz w:val="12"/>
        </w:rPr>
      </w:pPr>
      <w:r>
        <w:rPr>
          <w:color w:val="231F20"/>
          <w:sz w:val="12"/>
        </w:rPr>
        <w:t>The effective exchange rate index for sterling against the G7 economies.</w:t>
      </w:r>
    </w:p>
    <w:p>
      <w:pPr>
        <w:pStyle w:val="ListParagraph"/>
        <w:numPr>
          <w:ilvl w:val="0"/>
          <w:numId w:val="7"/>
        </w:numPr>
        <w:tabs>
          <w:tab w:pos="431" w:val="left" w:leader="none"/>
        </w:tabs>
        <w:spacing w:line="208" w:lineRule="auto" w:before="0" w:after="0"/>
        <w:ind w:left="430" w:right="244" w:hanging="240"/>
        <w:jc w:val="left"/>
        <w:rPr>
          <w:sz w:val="12"/>
        </w:rPr>
      </w:pPr>
      <w:r>
        <w:rPr>
          <w:color w:val="231F20"/>
          <w:sz w:val="12"/>
        </w:rPr>
        <w:t>The band shows the estimated range of exchange rate movement predicted by monetary factors. The range is calculated by varying the time from which it is assumed that monetary policy no longer influences real interest rates. This is taken to vary between four </w:t>
      </w:r>
      <w:r>
        <w:rPr>
          <w:color w:val="231F20"/>
          <w:spacing w:val="-6"/>
          <w:sz w:val="12"/>
        </w:rPr>
        <w:t>and </w:t>
      </w:r>
      <w:r>
        <w:rPr>
          <w:color w:val="231F20"/>
          <w:sz w:val="12"/>
        </w:rPr>
        <w:t>eight years.</w:t>
      </w:r>
    </w:p>
    <w:p>
      <w:pPr>
        <w:pStyle w:val="Heading5"/>
        <w:spacing w:line="242" w:lineRule="auto" w:before="37"/>
        <w:ind w:left="190" w:right="148"/>
      </w:pPr>
      <w:r>
        <w:rPr/>
        <w:br w:type="column"/>
      </w:r>
      <w:r>
        <w:rPr>
          <w:color w:val="231F20"/>
        </w:rPr>
        <w:t>will decline gradually during the next two years, consistent with the inflation forecast so long as broad money continues to slow. But the recent rapid growth of broad money remains a threat to meeting the inflation target in the medium term. The Bank’s repo rate has remained unchanged since the rise in official rates on</w:t>
      </w:r>
    </w:p>
    <w:p>
      <w:pPr>
        <w:spacing w:line="242" w:lineRule="auto" w:before="7"/>
        <w:ind w:left="190" w:right="148" w:firstLine="0"/>
        <w:jc w:val="left"/>
        <w:rPr>
          <w:sz w:val="24"/>
        </w:rPr>
      </w:pPr>
      <w:r>
        <w:rPr>
          <w:color w:val="231F20"/>
          <w:sz w:val="24"/>
        </w:rPr>
        <w:t>6 </w:t>
      </w:r>
      <w:r>
        <w:rPr>
          <w:color w:val="231F20"/>
          <w:spacing w:val="-3"/>
          <w:sz w:val="24"/>
        </w:rPr>
        <w:t>November. </w:t>
      </w:r>
      <w:r>
        <w:rPr>
          <w:color w:val="231F20"/>
          <w:sz w:val="24"/>
        </w:rPr>
        <w:t>Overseas short-term interest rates are expected to rise less relative to UK rates than the MPC thought in November, probably reflecting the impact of Asian developments since then. The nominal effective exchange rate used as the starting-point in the inflation forecast, based on the average in the 15 working days to 4 February, was 104.9—some 2.8% higher than that </w:t>
      </w:r>
      <w:r>
        <w:rPr>
          <w:color w:val="231F20"/>
          <w:spacing w:val="-5"/>
          <w:sz w:val="24"/>
        </w:rPr>
        <w:t>used </w:t>
      </w:r>
      <w:r>
        <w:rPr>
          <w:color w:val="231F20"/>
          <w:sz w:val="24"/>
        </w:rPr>
        <w:t>as the starting-point in the November </w:t>
      </w:r>
      <w:r>
        <w:rPr>
          <w:i/>
          <w:color w:val="231F20"/>
          <w:sz w:val="24"/>
        </w:rPr>
        <w:t>Report</w:t>
      </w:r>
      <w:r>
        <w:rPr>
          <w:color w:val="231F20"/>
          <w:sz w:val="24"/>
        </w:rPr>
        <w:t>.</w:t>
      </w:r>
    </w:p>
    <w:p>
      <w:pPr>
        <w:spacing w:after="0" w:line="242" w:lineRule="auto"/>
        <w:jc w:val="left"/>
        <w:rPr>
          <w:sz w:val="24"/>
        </w:rPr>
        <w:sectPr>
          <w:type w:val="continuous"/>
          <w:pgSz w:w="11880" w:h="16840"/>
          <w:pgMar w:top="1200" w:bottom="280" w:left="620" w:right="620"/>
          <w:cols w:num="2" w:equalWidth="0">
            <w:col w:w="3952" w:space="838"/>
            <w:col w:w="5850"/>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664128;mso-wrap-distance-left:0;mso-wrap-distance-right:0" type="#_x0000_t202" filled="true" fillcolor="#b5dad6" stroked="false">
            <v:textbox inset="0,0,0,0">
              <w:txbxContent>
                <w:p>
                  <w:pPr>
                    <w:tabs>
                      <w:tab w:pos="5993" w:val="left" w:leader="none"/>
                    </w:tabs>
                    <w:spacing w:before="31"/>
                    <w:ind w:left="260" w:right="0" w:firstLine="0"/>
                    <w:jc w:val="left"/>
                    <w:rPr>
                      <w:b/>
                      <w:sz w:val="48"/>
                    </w:rPr>
                  </w:pPr>
                  <w:bookmarkStart w:name="Demand and output" w:id="29"/>
                  <w:bookmarkEnd w:id="29"/>
                  <w:r>
                    <w:rPr/>
                  </w:r>
                  <w:bookmarkStart w:name="External demand" w:id="30"/>
                  <w:bookmarkEnd w:id="30"/>
                  <w:r>
                    <w:rPr/>
                  </w:r>
                  <w:bookmarkStart w:name="_bookmark9" w:id="31"/>
                  <w:bookmarkEnd w:id="31"/>
                  <w:r>
                    <w:rPr/>
                  </w:r>
                  <w:r>
                    <w:rPr>
                      <w:b/>
                      <w:color w:val="009483"/>
                      <w:position w:val="2"/>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line="242" w:lineRule="auto" w:before="231"/>
        <w:ind w:left="5002" w:right="201" w:firstLine="0"/>
        <w:jc w:val="left"/>
        <w:rPr>
          <w:sz w:val="24"/>
        </w:rPr>
      </w:pPr>
      <w:r>
        <w:rPr>
          <w:color w:val="231F20"/>
          <w:sz w:val="24"/>
        </w:rPr>
        <w:t>Real GDP grew by an estimated 3.3% in 1997, significantly faster than its long-term trend rate of growth. This was the sixth year of economic expansion in the United Kingdom. Growth was fastest during the first half of the year; it slowed during the second half of the year, leaving the estimated level of GDP below that expected by the MPC at the time of the November </w:t>
      </w:r>
      <w:r>
        <w:rPr>
          <w:i/>
          <w:color w:val="231F20"/>
          <w:sz w:val="24"/>
        </w:rPr>
        <w:t>Report</w:t>
      </w:r>
      <w:r>
        <w:rPr>
          <w:color w:val="231F20"/>
          <w:sz w:val="24"/>
        </w:rPr>
        <w:t>.</w:t>
      </w:r>
    </w:p>
    <w:p>
      <w:pPr>
        <w:pStyle w:val="BodyText"/>
        <w:spacing w:before="3"/>
        <w:rPr>
          <w:sz w:val="25"/>
        </w:rPr>
      </w:pPr>
    </w:p>
    <w:p>
      <w:pPr>
        <w:spacing w:line="242" w:lineRule="auto" w:before="0"/>
        <w:ind w:left="5002" w:right="53" w:firstLine="0"/>
        <w:jc w:val="left"/>
        <w:rPr>
          <w:sz w:val="16"/>
        </w:rPr>
      </w:pPr>
      <w:r>
        <w:rPr>
          <w:color w:val="231F20"/>
          <w:sz w:val="24"/>
        </w:rPr>
        <w:t>Recent developments in Asia provide the main international economic news since the November </w:t>
      </w:r>
      <w:r>
        <w:rPr>
          <w:i/>
          <w:color w:val="231F20"/>
          <w:sz w:val="24"/>
        </w:rPr>
        <w:t>Report</w:t>
      </w:r>
      <w:r>
        <w:rPr>
          <w:color w:val="231F20"/>
          <w:sz w:val="24"/>
        </w:rPr>
        <w:t>, and are likely to reduce the growth of world trade and GDP and inflation during the next two years.</w:t>
      </w:r>
      <w:r>
        <w:rPr>
          <w:color w:val="231F20"/>
          <w:position w:val="5"/>
          <w:sz w:val="16"/>
        </w:rPr>
        <w:t>(1)</w:t>
      </w:r>
    </w:p>
    <w:p>
      <w:pPr>
        <w:spacing w:line="242" w:lineRule="auto" w:before="5"/>
        <w:ind w:left="5002" w:right="519" w:firstLine="0"/>
        <w:jc w:val="left"/>
        <w:rPr>
          <w:sz w:val="24"/>
        </w:rPr>
      </w:pPr>
      <w:r>
        <w:rPr>
          <w:color w:val="231F20"/>
          <w:sz w:val="24"/>
        </w:rPr>
        <w:t>Financial markets have already reacted. In Asia, currencies have depreciated, bond yields have risen and stock markets have fallen. Short-term interest rate expectations in the United States and continental Europe have fallen by almost 50 basis points, partly</w:t>
      </w:r>
    </w:p>
    <w:p>
      <w:pPr>
        <w:spacing w:line="242" w:lineRule="auto" w:before="6"/>
        <w:ind w:left="5002" w:right="0" w:firstLine="0"/>
        <w:jc w:val="left"/>
        <w:rPr>
          <w:sz w:val="24"/>
        </w:rPr>
      </w:pPr>
      <w:r>
        <w:rPr>
          <w:color w:val="231F20"/>
          <w:sz w:val="24"/>
        </w:rPr>
        <w:t>reflecting expectations that policy would be looser than otherwise.</w:t>
      </w:r>
    </w:p>
    <w:p>
      <w:pPr>
        <w:pStyle w:val="BodyText"/>
        <w:spacing w:before="7"/>
        <w:rPr>
          <w:sz w:val="24"/>
        </w:rPr>
      </w:pPr>
    </w:p>
    <w:p>
      <w:pPr>
        <w:spacing w:line="242" w:lineRule="auto" w:before="0"/>
        <w:ind w:left="5002" w:right="154" w:firstLine="0"/>
        <w:jc w:val="left"/>
        <w:rPr>
          <w:sz w:val="24"/>
        </w:rPr>
      </w:pPr>
      <w:r>
        <w:rPr>
          <w:color w:val="231F20"/>
          <w:sz w:val="24"/>
        </w:rPr>
        <w:t>Recent UK trade figures and revisions to past data provide evidence of a worsening trade performance. Net trade in goods, excluding oil and erratics, made a negative contribution of 0.5 percentage points, and</w:t>
      </w:r>
    </w:p>
    <w:p>
      <w:pPr>
        <w:spacing w:before="5"/>
        <w:ind w:left="5002" w:right="0" w:firstLine="0"/>
        <w:jc w:val="left"/>
        <w:rPr>
          <w:sz w:val="24"/>
        </w:rPr>
      </w:pPr>
      <w:r>
        <w:rPr>
          <w:color w:val="231F20"/>
          <w:sz w:val="24"/>
        </w:rPr>
        <w:t>trade in services made a negative contribution of</w:t>
      </w:r>
    </w:p>
    <w:p>
      <w:pPr>
        <w:spacing w:line="242" w:lineRule="auto" w:before="4"/>
        <w:ind w:left="5002" w:right="158" w:firstLine="0"/>
        <w:jc w:val="both"/>
        <w:rPr>
          <w:sz w:val="24"/>
        </w:rPr>
      </w:pPr>
      <w:r>
        <w:rPr>
          <w:color w:val="231F20"/>
          <w:sz w:val="24"/>
        </w:rPr>
        <w:t>0.2 percentage points to GDP growth in 1997 Q3. There is evidence that this worsening performance continued </w:t>
      </w:r>
      <w:r>
        <w:rPr>
          <w:color w:val="231F20"/>
          <w:spacing w:val="-8"/>
          <w:sz w:val="24"/>
        </w:rPr>
        <w:t>in </w:t>
      </w:r>
      <w:r>
        <w:rPr>
          <w:color w:val="231F20"/>
          <w:sz w:val="24"/>
        </w:rPr>
        <w:t>1997 Q4. It appears that the effects of the exchange rate appreciation on trade flows are materialising.</w:t>
      </w:r>
    </w:p>
    <w:p>
      <w:pPr>
        <w:pStyle w:val="BodyText"/>
        <w:spacing w:before="6"/>
        <w:rPr>
          <w:sz w:val="21"/>
        </w:rPr>
      </w:pPr>
    </w:p>
    <w:p>
      <w:pPr>
        <w:pStyle w:val="Heading3"/>
        <w:numPr>
          <w:ilvl w:val="1"/>
          <w:numId w:val="8"/>
        </w:numPr>
        <w:tabs>
          <w:tab w:pos="8210" w:val="left" w:leader="none"/>
          <w:tab w:pos="8211" w:val="left" w:leader="none"/>
          <w:tab w:pos="10502" w:val="left" w:leader="none"/>
        </w:tabs>
        <w:spacing w:line="240" w:lineRule="auto" w:before="0" w:after="0"/>
        <w:ind w:left="8210" w:right="0" w:hanging="3209"/>
        <w:jc w:val="left"/>
      </w:pPr>
      <w:r>
        <w:rPr>
          <w:color w:val="009483"/>
          <w:u w:val="thick" w:color="0093C1"/>
        </w:rPr>
        <w:t>External</w:t>
      </w:r>
      <w:r>
        <w:rPr>
          <w:color w:val="009483"/>
          <w:spacing w:val="-4"/>
          <w:u w:val="thick" w:color="0093C1"/>
        </w:rPr>
        <w:t> </w:t>
      </w:r>
      <w:r>
        <w:rPr>
          <w:color w:val="009483"/>
          <w:u w:val="thick" w:color="0093C1"/>
        </w:rPr>
        <w:t>demand</w:t>
        <w:tab/>
      </w:r>
    </w:p>
    <w:p>
      <w:pPr>
        <w:spacing w:line="242" w:lineRule="auto" w:before="264"/>
        <w:ind w:left="5002" w:right="145" w:firstLine="0"/>
        <w:jc w:val="left"/>
        <w:rPr>
          <w:sz w:val="24"/>
        </w:rPr>
      </w:pPr>
      <w:r>
        <w:rPr>
          <w:color w:val="231F20"/>
          <w:sz w:val="24"/>
        </w:rPr>
        <w:t>Events in Asia provide the main international news since November</w:t>
      </w:r>
      <w:r>
        <w:rPr>
          <w:i/>
          <w:color w:val="231F20"/>
          <w:sz w:val="24"/>
        </w:rPr>
        <w:t>. </w:t>
      </w:r>
      <w:r>
        <w:rPr>
          <w:color w:val="231F20"/>
          <w:sz w:val="24"/>
        </w:rPr>
        <w:t>Problems were initially concentrated in Indonesia, Malaysia, the Philippines and Thailand (the A</w:t>
      </w:r>
      <w:r>
        <w:rPr>
          <w:color w:val="231F20"/>
          <w:sz w:val="20"/>
        </w:rPr>
        <w:t>SEAN</w:t>
      </w:r>
      <w:r>
        <w:rPr>
          <w:color w:val="231F20"/>
          <w:sz w:val="24"/>
        </w:rPr>
        <w:t>-4). All had experienced rapid, investment-led growth in recent years, with large capital inflows and strong credit growth. The moral hazard implied by the expectation that domestic governments were underwriting the return to domestic and international lenders, exacerbated by underdeveloped banking</w:t>
      </w:r>
    </w:p>
    <w:p>
      <w:pPr>
        <w:pStyle w:val="BodyText"/>
        <w:spacing w:before="10"/>
        <w:rPr>
          <w:sz w:val="10"/>
        </w:rPr>
      </w:pPr>
      <w:r>
        <w:rPr/>
        <w:pict>
          <v:shape style="position:absolute;margin-left:280.119995pt;margin-top:8.332520pt;width:277.150pt;height:.1pt;mso-position-horizontal-relative:page;mso-position-vertical-relative:paragraph;z-index:-15663616;mso-wrap-distance-left:0;mso-wrap-distance-right:0" coordorigin="5602,167" coordsize="5543,0" path="m5602,167l11145,167e" filled="false" stroked="true" strokeweight=".125pt" strokecolor="#231f20">
            <v:path arrowok="t"/>
            <v:stroke dashstyle="solid"/>
            <w10:wrap type="topAndBottom"/>
          </v:shape>
        </w:pict>
      </w:r>
    </w:p>
    <w:p>
      <w:pPr>
        <w:spacing w:line="208" w:lineRule="auto" w:before="0"/>
        <w:ind w:left="5252" w:right="693" w:hanging="240"/>
        <w:jc w:val="left"/>
        <w:rPr>
          <w:sz w:val="16"/>
        </w:rPr>
      </w:pPr>
      <w:r>
        <w:rPr>
          <w:color w:val="231F20"/>
          <w:sz w:val="16"/>
        </w:rPr>
        <w:t>(1) For a more detailed discussion of the impact of events in Asia on the world economy, see ‘The international environment’, </w:t>
      </w:r>
      <w:r>
        <w:rPr>
          <w:i/>
          <w:color w:val="231F20"/>
          <w:sz w:val="16"/>
        </w:rPr>
        <w:t>Quarterly Bulletin</w:t>
      </w:r>
      <w:r>
        <w:rPr>
          <w:color w:val="231F20"/>
          <w:sz w:val="16"/>
        </w:rPr>
        <w:t>, February 1998, pages 20–9. The Asian economies focused on include Hong Kong, Indonesia, Japan, Korea, Malaysia, the Philippines, Singapore, Taiwan and Thailand.</w:t>
      </w:r>
    </w:p>
    <w:p>
      <w:pPr>
        <w:spacing w:after="0" w:line="208" w:lineRule="auto"/>
        <w:jc w:val="left"/>
        <w:rPr>
          <w:sz w:val="16"/>
        </w:rPr>
        <w:sectPr>
          <w:headerReference w:type="even" r:id="rId25"/>
          <w:pgSz w:w="11880" w:h="16840"/>
          <w:pgMar w:header="0" w:footer="597" w:top="780" w:bottom="780" w:left="620" w:right="620"/>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Heading5"/>
        <w:spacing w:line="242" w:lineRule="auto" w:before="210"/>
        <w:ind w:left="4982" w:right="183"/>
      </w:pPr>
      <w:r>
        <w:rPr>
          <w:color w:val="231F20"/>
        </w:rPr>
        <w:t>supervision, contributed to imprudent lending and overinvestment. And firms undertook large, generally unhedged, foreign currency borrowings on the assumption that the pegged exchange rate regimes </w:t>
      </w:r>
      <w:r>
        <w:rPr>
          <w:color w:val="231F20"/>
          <w:spacing w:val="-4"/>
        </w:rPr>
        <w:t>would </w:t>
      </w:r>
      <w:r>
        <w:rPr>
          <w:color w:val="231F20"/>
        </w:rPr>
        <w:t>be maintained. The cyclical slowing in activity during 1996 and 1997, increasing corporate bankruptcies, falling asset prices and widening current account deficits put the exchange rate pegs against the US dollar under pressure, and they were eventually abandoned. The situation deteriorated further in mid October, when Korea became </w:t>
      </w:r>
      <w:r>
        <w:rPr>
          <w:color w:val="231F20"/>
          <w:spacing w:val="-3"/>
        </w:rPr>
        <w:t>involved.  </w:t>
      </w:r>
      <w:r>
        <w:rPr>
          <w:color w:val="231F20"/>
        </w:rPr>
        <w:t>Rising bankruptcies and Korean banks’ difficulties in meeting short-term debt obligations led to liquidity problems, and a loss of confidence in the banking sector. The Korean won, which was linked to the US dollar, came under</w:t>
      </w:r>
      <w:r>
        <w:rPr>
          <w:color w:val="231F20"/>
          <w:spacing w:val="-15"/>
        </w:rPr>
        <w:t> </w:t>
      </w:r>
      <w:r>
        <w:rPr>
          <w:color w:val="231F20"/>
        </w:rPr>
        <w:t>pressure.</w:t>
      </w:r>
    </w:p>
    <w:p>
      <w:pPr>
        <w:pStyle w:val="BodyText"/>
        <w:spacing w:before="11"/>
        <w:rPr>
          <w:sz w:val="32"/>
        </w:rPr>
      </w:pPr>
    </w:p>
    <w:p>
      <w:pPr>
        <w:spacing w:line="242" w:lineRule="auto" w:before="0"/>
        <w:ind w:left="4982" w:right="201" w:firstLine="0"/>
        <w:jc w:val="left"/>
        <w:rPr>
          <w:sz w:val="24"/>
        </w:rPr>
      </w:pPr>
      <w:r>
        <w:rPr>
          <w:color w:val="231F20"/>
          <w:sz w:val="24"/>
        </w:rPr>
        <w:t>The box on pages 14–15 examines three channels through which these events could affect the world economy. First, the fall in aggregate demand and the rebalancing towards net trade and lower domestic demand in Asia will reduce demand for UK goods and services. Second, Asia’s economies have become much more competitive following exchange rate devaluations. The United Kingdom’s share of trade with Asia is relatively small, and though UK exporters’ competitiveness in third-country markets such as</w:t>
      </w:r>
    </w:p>
    <w:p>
      <w:pPr>
        <w:spacing w:line="242" w:lineRule="auto" w:before="13"/>
        <w:ind w:left="4982" w:right="519" w:firstLine="0"/>
        <w:jc w:val="left"/>
        <w:rPr>
          <w:sz w:val="24"/>
        </w:rPr>
      </w:pPr>
      <w:r>
        <w:rPr>
          <w:color w:val="231F20"/>
          <w:sz w:val="24"/>
        </w:rPr>
        <w:t>the United States will also be affected, the overall effect is unlikely to be large. Third, there are risks</w:t>
      </w:r>
    </w:p>
    <w:p>
      <w:pPr>
        <w:spacing w:line="242" w:lineRule="auto" w:before="2"/>
        <w:ind w:left="4982" w:right="399" w:firstLine="0"/>
        <w:jc w:val="left"/>
        <w:rPr>
          <w:sz w:val="24"/>
        </w:rPr>
      </w:pPr>
      <w:r>
        <w:rPr>
          <w:color w:val="231F20"/>
          <w:sz w:val="24"/>
        </w:rPr>
        <w:t>of problems spreading to other emerging markets and a global consolidation of bank balance sheets, leading to reduced availability of credit. The box also emphasises the importance of the monetary policy response in the main industrialised economies in determining the net impact of the events in Asia on </w:t>
      </w:r>
      <w:r>
        <w:rPr>
          <w:color w:val="231F20"/>
          <w:spacing w:val="-6"/>
          <w:sz w:val="24"/>
        </w:rPr>
        <w:t>the </w:t>
      </w:r>
      <w:r>
        <w:rPr>
          <w:color w:val="231F20"/>
          <w:sz w:val="24"/>
        </w:rPr>
        <w:t>world</w:t>
      </w:r>
      <w:r>
        <w:rPr>
          <w:color w:val="231F20"/>
          <w:spacing w:val="-1"/>
          <w:sz w:val="24"/>
        </w:rPr>
        <w:t> </w:t>
      </w:r>
      <w:r>
        <w:rPr>
          <w:color w:val="231F20"/>
          <w:sz w:val="24"/>
        </w:rPr>
        <w:t>economy.</w:t>
      </w:r>
    </w:p>
    <w:p>
      <w:pPr>
        <w:pStyle w:val="BodyText"/>
        <w:spacing w:before="1"/>
        <w:rPr>
          <w:sz w:val="32"/>
        </w:rPr>
      </w:pPr>
    </w:p>
    <w:p>
      <w:pPr>
        <w:spacing w:line="242" w:lineRule="auto" w:before="0"/>
        <w:ind w:left="4982" w:right="219" w:firstLine="0"/>
        <w:jc w:val="left"/>
        <w:rPr>
          <w:sz w:val="24"/>
        </w:rPr>
      </w:pPr>
      <w:r>
        <w:rPr>
          <w:color w:val="231F20"/>
          <w:sz w:val="24"/>
        </w:rPr>
        <w:t>The MPC has used the IMF and O</w:t>
      </w:r>
      <w:r>
        <w:rPr>
          <w:color w:val="231F20"/>
          <w:sz w:val="20"/>
        </w:rPr>
        <w:t>ECD </w:t>
      </w:r>
      <w:r>
        <w:rPr>
          <w:color w:val="231F20"/>
          <w:sz w:val="24"/>
        </w:rPr>
        <w:t>projections as a baseline from which to form its views of the effects of Asian developments on the UK economy, making use of new information since publication of the IMF and O</w:t>
      </w:r>
      <w:r>
        <w:rPr>
          <w:color w:val="231F20"/>
          <w:sz w:val="20"/>
        </w:rPr>
        <w:t>ECD </w:t>
      </w:r>
      <w:r>
        <w:rPr>
          <w:color w:val="231F20"/>
          <w:sz w:val="24"/>
        </w:rPr>
        <w:t>forecasts. On this basis, the MPC has concluded that, taking all the effects together, growth in the main industrialised economies could be reduced by around half a percentage point by 1999 in the central case. The effects in the United Kingdom are expected to be </w:t>
      </w:r>
      <w:r>
        <w:rPr>
          <w:color w:val="231F20"/>
          <w:spacing w:val="-3"/>
          <w:sz w:val="24"/>
        </w:rPr>
        <w:t>similar </w:t>
      </w:r>
      <w:r>
        <w:rPr>
          <w:color w:val="231F20"/>
          <w:sz w:val="24"/>
        </w:rPr>
        <w:t>to those other European countries, though less than in the United States. But the uncertainties surrounding these forecasts </w:t>
      </w:r>
      <w:r>
        <w:rPr>
          <w:color w:val="231F20"/>
          <w:spacing w:val="-3"/>
          <w:sz w:val="24"/>
        </w:rPr>
        <w:t>have </w:t>
      </w:r>
      <w:r>
        <w:rPr>
          <w:color w:val="231F20"/>
          <w:sz w:val="24"/>
        </w:rPr>
        <w:t>increased, and there are downside risks to UK activity and inflation. In particular, if interest rates turned out to be higher than the market expects, the impact on world trade, growth and inflation</w:t>
      </w:r>
    </w:p>
    <w:p>
      <w:pPr>
        <w:spacing w:after="0" w:line="242" w:lineRule="auto"/>
        <w:jc w:val="left"/>
        <w:rPr>
          <w:sz w:val="24"/>
        </w:rPr>
        <w:sectPr>
          <w:headerReference w:type="default" r:id="rId26"/>
          <w:headerReference w:type="even" r:id="rId27"/>
          <w:footerReference w:type="default" r:id="rId28"/>
          <w:footerReference w:type="even" r:id="rId29"/>
          <w:pgSz w:w="11880" w:h="16840"/>
          <w:pgMar w:header="586" w:footer="617" w:top="780" w:bottom="800" w:left="620" w:right="620"/>
          <w:pgNumType w:start="13"/>
        </w:sectPr>
      </w:pPr>
    </w:p>
    <w:p>
      <w:pPr>
        <w:pStyle w:val="BodyText"/>
        <w:spacing w:before="6"/>
        <w:rPr>
          <w:sz w:val="29"/>
        </w:rPr>
      </w:pPr>
    </w:p>
    <w:p>
      <w:pPr>
        <w:spacing w:before="88"/>
        <w:ind w:left="1408" w:right="1367" w:firstLine="0"/>
        <w:jc w:val="center"/>
        <w:rPr>
          <w:b/>
          <w:sz w:val="28"/>
        </w:rPr>
      </w:pPr>
      <w:bookmarkStart w:name="Recent developments in Asia: implication" w:id="32"/>
      <w:bookmarkEnd w:id="32"/>
      <w:r>
        <w:rPr/>
      </w:r>
      <w:bookmarkStart w:name="_bookmark10" w:id="33"/>
      <w:bookmarkEnd w:id="33"/>
      <w:r>
        <w:rPr/>
      </w:r>
      <w:r>
        <w:rPr>
          <w:b/>
          <w:color w:val="009483"/>
          <w:sz w:val="28"/>
        </w:rPr>
        <w:t>Recent developments in Asia: implications for the world economy</w:t>
      </w:r>
    </w:p>
    <w:p>
      <w:pPr>
        <w:pStyle w:val="BodyText"/>
        <w:rPr>
          <w:b/>
          <w:sz w:val="20"/>
        </w:rPr>
      </w:pPr>
    </w:p>
    <w:p>
      <w:pPr>
        <w:spacing w:after="0"/>
        <w:rPr>
          <w:sz w:val="20"/>
        </w:rPr>
        <w:sectPr>
          <w:pgSz w:w="11880" w:h="16840"/>
          <w:pgMar w:header="586" w:footer="597" w:top="780" w:bottom="780" w:left="620" w:right="620"/>
        </w:sectPr>
      </w:pPr>
    </w:p>
    <w:p>
      <w:pPr>
        <w:pStyle w:val="BodyText"/>
        <w:spacing w:before="7"/>
        <w:rPr>
          <w:b/>
        </w:rPr>
      </w:pPr>
    </w:p>
    <w:p>
      <w:pPr>
        <w:spacing w:line="252" w:lineRule="auto" w:before="0"/>
        <w:ind w:left="406" w:right="0" w:firstLine="0"/>
        <w:jc w:val="left"/>
        <w:rPr>
          <w:i/>
          <w:sz w:val="20"/>
        </w:rPr>
      </w:pPr>
      <w:r>
        <w:rPr>
          <w:i/>
          <w:color w:val="231F20"/>
          <w:sz w:val="20"/>
        </w:rPr>
        <w:t>The box outlines the three channels through which </w:t>
      </w:r>
      <w:r>
        <w:rPr>
          <w:i/>
          <w:color w:val="231F20"/>
          <w:sz w:val="20"/>
        </w:rPr>
        <w:t>problems in Asia may affect the world economy, and discusses offsetting policy responses to the shock.</w:t>
      </w:r>
    </w:p>
    <w:p>
      <w:pPr>
        <w:pStyle w:val="BodyText"/>
        <w:spacing w:before="3"/>
        <w:rPr>
          <w:i/>
          <w:sz w:val="19"/>
        </w:rPr>
      </w:pPr>
    </w:p>
    <w:p>
      <w:pPr>
        <w:spacing w:before="0"/>
        <w:ind w:left="406" w:right="0" w:firstLine="0"/>
        <w:jc w:val="left"/>
        <w:rPr>
          <w:b/>
          <w:sz w:val="20"/>
        </w:rPr>
      </w:pPr>
      <w:r>
        <w:rPr>
          <w:b/>
          <w:color w:val="009483"/>
          <w:sz w:val="20"/>
        </w:rPr>
        <w:t>Channels of transmission</w:t>
      </w:r>
    </w:p>
    <w:p>
      <w:pPr>
        <w:spacing w:before="112"/>
        <w:ind w:left="406" w:right="0" w:firstLine="0"/>
        <w:jc w:val="left"/>
        <w:rPr>
          <w:i/>
          <w:sz w:val="20"/>
        </w:rPr>
      </w:pPr>
      <w:r>
        <w:rPr>
          <w:i/>
          <w:color w:val="009483"/>
          <w:sz w:val="20"/>
        </w:rPr>
        <w:t>Demand and output in Asia</w:t>
      </w:r>
    </w:p>
    <w:p>
      <w:pPr>
        <w:spacing w:line="252" w:lineRule="auto" w:before="112"/>
        <w:ind w:left="406" w:right="41" w:firstLine="0"/>
        <w:jc w:val="left"/>
        <w:rPr>
          <w:sz w:val="20"/>
        </w:rPr>
      </w:pPr>
      <w:r>
        <w:rPr>
          <w:color w:val="231F20"/>
          <w:sz w:val="20"/>
        </w:rPr>
        <w:t>Net private capital inflows to East Asia are expected to fall in 1998, reflecting the increased perceived riskiness of lending to these countries. </w:t>
      </w:r>
      <w:r>
        <w:rPr>
          <w:color w:val="231F20"/>
          <w:spacing w:val="-9"/>
          <w:sz w:val="20"/>
        </w:rPr>
        <w:t>To </w:t>
      </w:r>
      <w:r>
        <w:rPr>
          <w:color w:val="231F20"/>
          <w:sz w:val="20"/>
        </w:rPr>
        <w:t>offset this would require an increase in net exports from these countries. Net private capital inflows to Asia</w:t>
      </w:r>
      <w:r>
        <w:rPr>
          <w:color w:val="231F20"/>
          <w:position w:val="4"/>
          <w:sz w:val="12"/>
        </w:rPr>
        <w:t>(1) </w:t>
      </w:r>
      <w:r>
        <w:rPr>
          <w:color w:val="231F20"/>
          <w:sz w:val="20"/>
        </w:rPr>
        <w:t>were running at record levels in 1996, totalling around US $115 billion, compared with around US $19 billion in</w:t>
      </w:r>
      <w:r>
        <w:rPr>
          <w:color w:val="231F20"/>
          <w:spacing w:val="9"/>
          <w:sz w:val="20"/>
        </w:rPr>
        <w:t> </w:t>
      </w:r>
      <w:r>
        <w:rPr>
          <w:color w:val="231F20"/>
          <w:sz w:val="20"/>
        </w:rPr>
        <w:t>1992.</w:t>
      </w:r>
    </w:p>
    <w:p>
      <w:pPr>
        <w:pStyle w:val="BodyText"/>
        <w:spacing w:before="5"/>
        <w:rPr>
          <w:sz w:val="19"/>
        </w:rPr>
      </w:pPr>
    </w:p>
    <w:p>
      <w:pPr>
        <w:spacing w:line="252" w:lineRule="auto" w:before="0"/>
        <w:ind w:left="406" w:right="34" w:firstLine="0"/>
        <w:jc w:val="left"/>
        <w:rPr>
          <w:sz w:val="20"/>
        </w:rPr>
      </w:pPr>
      <w:r>
        <w:rPr>
          <w:color w:val="231F20"/>
          <w:sz w:val="20"/>
        </w:rPr>
        <w:t>Output is expected to fall in the East Asian countries affected. This reflects the adjustment to tighter economic policies introduced by the authorities to instil confidence, as well as the private sector financial restructuring currently under </w:t>
      </w:r>
      <w:r>
        <w:rPr>
          <w:color w:val="231F20"/>
          <w:spacing w:val="-5"/>
          <w:sz w:val="20"/>
        </w:rPr>
        <w:t>way.   </w:t>
      </w:r>
      <w:r>
        <w:rPr>
          <w:color w:val="231F20"/>
          <w:spacing w:val="-4"/>
          <w:sz w:val="20"/>
        </w:rPr>
        <w:t>Weaker </w:t>
      </w:r>
      <w:r>
        <w:rPr>
          <w:color w:val="231F20"/>
          <w:sz w:val="20"/>
        </w:rPr>
        <w:t>domestic demand will mean that their demand for imports will fall; but these countries will also shift resources towards exports, with firms tending to switch away from supplying domestic markets towards those overseas. The size of the expected fall in output depends on the extent to which any improvement in net trade offsets the expected fall in domestic demand.</w:t>
      </w:r>
    </w:p>
    <w:p>
      <w:pPr>
        <w:pStyle w:val="BodyText"/>
        <w:spacing w:before="8"/>
        <w:rPr>
          <w:sz w:val="19"/>
        </w:rPr>
      </w:pPr>
    </w:p>
    <w:p>
      <w:pPr>
        <w:spacing w:line="252" w:lineRule="auto" w:before="0"/>
        <w:ind w:left="406" w:right="0" w:firstLine="0"/>
        <w:jc w:val="left"/>
        <w:rPr>
          <w:sz w:val="20"/>
        </w:rPr>
      </w:pPr>
      <w:r>
        <w:rPr>
          <w:color w:val="231F20"/>
          <w:sz w:val="20"/>
        </w:rPr>
        <w:t>The adjustment to net exports will move current account balances towards surplus for the affected Asian countries. The counterparties to this improvement in Asian net trade and current accounts will primarily be North America, Europe and Japan, where net trade will decline. So there</w:t>
      </w:r>
    </w:p>
    <w:p>
      <w:pPr>
        <w:pStyle w:val="BodyText"/>
        <w:spacing w:before="7"/>
      </w:pPr>
      <w:r>
        <w:rPr/>
        <w:br w:type="column"/>
      </w:r>
      <w:r>
        <w:rPr/>
      </w:r>
    </w:p>
    <w:p>
      <w:pPr>
        <w:spacing w:line="252" w:lineRule="auto" w:before="0"/>
        <w:ind w:left="406" w:right="403" w:firstLine="0"/>
        <w:jc w:val="left"/>
        <w:rPr>
          <w:sz w:val="20"/>
        </w:rPr>
      </w:pPr>
      <w:r>
        <w:rPr>
          <w:color w:val="231F20"/>
          <w:sz w:val="20"/>
        </w:rPr>
        <w:t>US dollar, and the Korean won fell by around 15%  during this period. But since the end of October, the situations in Korea and Indonesia in particular </w:t>
      </w:r>
      <w:r>
        <w:rPr>
          <w:color w:val="231F20"/>
          <w:spacing w:val="-3"/>
          <w:sz w:val="20"/>
        </w:rPr>
        <w:t>have </w:t>
      </w:r>
      <w:r>
        <w:rPr>
          <w:color w:val="231F20"/>
          <w:sz w:val="20"/>
        </w:rPr>
        <w:t>deteriorated and there </w:t>
      </w:r>
      <w:r>
        <w:rPr>
          <w:color w:val="231F20"/>
          <w:spacing w:val="-3"/>
          <w:sz w:val="20"/>
        </w:rPr>
        <w:t>have </w:t>
      </w:r>
      <w:r>
        <w:rPr>
          <w:color w:val="231F20"/>
          <w:sz w:val="20"/>
        </w:rPr>
        <w:t>been further falls in their currencies: the South Korean won and Indonesian rupiah </w:t>
      </w:r>
      <w:r>
        <w:rPr>
          <w:color w:val="231F20"/>
          <w:spacing w:val="-3"/>
          <w:sz w:val="20"/>
        </w:rPr>
        <w:t>have </w:t>
      </w:r>
      <w:r>
        <w:rPr>
          <w:color w:val="231F20"/>
          <w:sz w:val="20"/>
        </w:rPr>
        <w:t>fallen by a further 40% and 60% respectively, while currencies in Malaysia, Thailand and the Philippines </w:t>
      </w:r>
      <w:r>
        <w:rPr>
          <w:color w:val="231F20"/>
          <w:spacing w:val="-6"/>
          <w:sz w:val="20"/>
        </w:rPr>
        <w:t>have </w:t>
      </w:r>
      <w:r>
        <w:rPr>
          <w:color w:val="231F20"/>
          <w:sz w:val="20"/>
        </w:rPr>
        <w:t>fallen by around 20%.  Much of the fall in these countries’ real exchange rates is likely to be</w:t>
      </w:r>
      <w:r>
        <w:rPr>
          <w:color w:val="231F20"/>
          <w:spacing w:val="11"/>
          <w:sz w:val="20"/>
        </w:rPr>
        <w:t> </w:t>
      </w:r>
      <w:r>
        <w:rPr>
          <w:color w:val="231F20"/>
          <w:sz w:val="20"/>
        </w:rPr>
        <w:t>transitory.</w:t>
      </w:r>
    </w:p>
    <w:p>
      <w:pPr>
        <w:spacing w:line="252" w:lineRule="auto" w:before="5"/>
        <w:ind w:left="406" w:right="453" w:firstLine="0"/>
        <w:jc w:val="left"/>
        <w:rPr>
          <w:sz w:val="20"/>
        </w:rPr>
      </w:pPr>
      <w:r>
        <w:rPr>
          <w:color w:val="231F20"/>
          <w:sz w:val="20"/>
        </w:rPr>
        <w:t>But the fall in real exchange rates represents a major shock in the short run, and will help to boost Asian net exports.</w:t>
      </w:r>
    </w:p>
    <w:p>
      <w:pPr>
        <w:pStyle w:val="BodyText"/>
        <w:spacing w:before="1"/>
        <w:rPr>
          <w:sz w:val="21"/>
        </w:rPr>
      </w:pPr>
    </w:p>
    <w:p>
      <w:pPr>
        <w:spacing w:line="252" w:lineRule="auto" w:before="1"/>
        <w:ind w:left="406" w:right="453" w:firstLine="0"/>
        <w:jc w:val="left"/>
        <w:rPr>
          <w:sz w:val="20"/>
        </w:rPr>
      </w:pPr>
      <w:r>
        <w:rPr>
          <w:color w:val="231F20"/>
          <w:sz w:val="20"/>
        </w:rPr>
        <w:t>The chart shows that sterling has appreciated by around 60% between the beginning of 1996 and January 1998 against the A</w:t>
      </w:r>
      <w:r>
        <w:rPr>
          <w:color w:val="231F20"/>
          <w:sz w:val="16"/>
        </w:rPr>
        <w:t>SEAN</w:t>
      </w:r>
      <w:r>
        <w:rPr>
          <w:color w:val="231F20"/>
          <w:sz w:val="20"/>
        </w:rPr>
        <w:t>-4 and Asian NIEs. Sterling has risen by around 25% against currencies within the published effective exchange rate index during the same period.</w:t>
      </w:r>
    </w:p>
    <w:p>
      <w:pPr>
        <w:spacing w:line="252" w:lineRule="auto" w:before="2"/>
        <w:ind w:left="406" w:right="453" w:firstLine="0"/>
        <w:jc w:val="left"/>
        <w:rPr>
          <w:sz w:val="20"/>
        </w:rPr>
      </w:pPr>
      <w:r>
        <w:rPr>
          <w:color w:val="231F20"/>
          <w:sz w:val="20"/>
        </w:rPr>
        <w:t>But the difference between the rise in a broad measure of the sterling effective exchange rate, which includes these currencies, and the published effective exchange rate index is small—2 percentage points. That is because the share of these countries in UK trade remains quite small, despite rapid growth in these markets during the past decade. And the impact on the United Kingdom will not be nearly as significant as the effect of sterling’s appreciation against countries in the ERI since its trough in August 1996.</w:t>
      </w:r>
    </w:p>
    <w:p>
      <w:pPr>
        <w:pStyle w:val="BodyText"/>
        <w:rPr>
          <w:sz w:val="23"/>
        </w:rPr>
      </w:pPr>
    </w:p>
    <w:p>
      <w:pPr>
        <w:spacing w:before="0"/>
        <w:ind w:left="420" w:right="0" w:firstLine="0"/>
        <w:jc w:val="left"/>
        <w:rPr>
          <w:sz w:val="12"/>
        </w:rPr>
      </w:pPr>
      <w:r>
        <w:rPr>
          <w:b/>
          <w:color w:val="0093C1"/>
          <w:sz w:val="20"/>
        </w:rPr>
        <w:t>Sterling effective exchange rates</w:t>
      </w:r>
      <w:r>
        <w:rPr>
          <w:color w:val="231F20"/>
          <w:position w:val="4"/>
          <w:sz w:val="12"/>
        </w:rPr>
        <w:t>(a)</w:t>
      </w:r>
    </w:p>
    <w:p>
      <w:pPr>
        <w:spacing w:before="102"/>
        <w:ind w:left="3658" w:right="0" w:firstLine="0"/>
        <w:jc w:val="left"/>
        <w:rPr>
          <w:sz w:val="12"/>
        </w:rPr>
      </w:pPr>
      <w:r>
        <w:rPr>
          <w:sz w:val="12"/>
        </w:rPr>
        <w:t>January 1996 = 1</w:t>
      </w:r>
      <w:r>
        <w:rPr>
          <w:sz w:val="12"/>
          <w:u w:val="single"/>
        </w:rPr>
        <w:t>00</w:t>
      </w:r>
      <w:r>
        <w:rPr>
          <w:sz w:val="12"/>
        </w:rPr>
        <w:t> </w:t>
      </w:r>
      <w:r>
        <w:rPr>
          <w:spacing w:val="11"/>
          <w:sz w:val="12"/>
        </w:rPr>
        <w:t> </w:t>
      </w:r>
      <w:r>
        <w:rPr>
          <w:position w:val="-6"/>
          <w:sz w:val="12"/>
        </w:rPr>
        <w:t>170</w:t>
      </w:r>
    </w:p>
    <w:p>
      <w:pPr>
        <w:pStyle w:val="BodyText"/>
        <w:spacing w:before="4"/>
        <w:rPr>
          <w:sz w:val="21"/>
        </w:rPr>
      </w:pPr>
    </w:p>
    <w:p>
      <w:pPr>
        <w:spacing w:line="64" w:lineRule="exact" w:before="0"/>
        <w:ind w:left="0" w:right="620" w:firstLine="0"/>
        <w:jc w:val="right"/>
        <w:rPr>
          <w:sz w:val="12"/>
        </w:rPr>
      </w:pPr>
      <w:r>
        <w:rPr>
          <w:sz w:val="12"/>
        </w:rPr>
        <w:t>160</w:t>
      </w:r>
    </w:p>
    <w:p>
      <w:pPr>
        <w:spacing w:after="0" w:line="64" w:lineRule="exact"/>
        <w:jc w:val="right"/>
        <w:rPr>
          <w:sz w:val="12"/>
        </w:rPr>
        <w:sectPr>
          <w:type w:val="continuous"/>
          <w:pgSz w:w="11880" w:h="16840"/>
          <w:pgMar w:top="1200" w:bottom="280" w:left="620" w:right="620"/>
          <w:cols w:num="2" w:equalWidth="0">
            <w:col w:w="5079" w:space="77"/>
            <w:col w:w="5484"/>
          </w:cols>
        </w:sectPr>
      </w:pPr>
    </w:p>
    <w:p>
      <w:pPr>
        <w:spacing w:line="252" w:lineRule="auto" w:before="0"/>
        <w:ind w:left="406" w:right="0" w:firstLine="0"/>
        <w:jc w:val="left"/>
        <w:rPr>
          <w:sz w:val="20"/>
        </w:rPr>
      </w:pPr>
      <w:r>
        <w:rPr>
          <w:color w:val="231F20"/>
          <w:sz w:val="20"/>
        </w:rPr>
        <w:t>will be a fall in the net demand for UK goods and services. The response of UK net trade following the adjustment in Asia is likely to be similar to that of other European economies, but smaller than in the United States.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spacing w:before="0"/>
        <w:ind w:left="0" w:right="0" w:firstLine="0"/>
        <w:jc w:val="right"/>
        <w:rPr>
          <w:sz w:val="12"/>
        </w:rPr>
      </w:pPr>
      <w:r>
        <w:rPr>
          <w:sz w:val="12"/>
        </w:rPr>
        <w:t>ERI</w:t>
      </w:r>
    </w:p>
    <w:p>
      <w:pPr>
        <w:pStyle w:val="BodyText"/>
        <w:rPr>
          <w:sz w:val="13"/>
        </w:rPr>
      </w:pPr>
      <w:r>
        <w:rPr/>
        <w:br w:type="column"/>
      </w:r>
      <w:r>
        <w:rPr>
          <w:sz w:val="13"/>
        </w:rPr>
      </w:r>
    </w:p>
    <w:p>
      <w:pPr>
        <w:spacing w:line="208" w:lineRule="auto" w:before="1"/>
        <w:ind w:left="93" w:right="-19" w:hanging="60"/>
        <w:jc w:val="left"/>
        <w:rPr>
          <w:sz w:val="12"/>
        </w:rPr>
      </w:pPr>
      <w:r>
        <w:rPr>
          <w:sz w:val="12"/>
        </w:rPr>
        <w:t>Against ASEAN-4 and Asian NIEs (b)</w:t>
      </w:r>
    </w:p>
    <w:p>
      <w:pPr>
        <w:pStyle w:val="BodyText"/>
        <w:rPr>
          <w:sz w:val="12"/>
        </w:rPr>
      </w:pPr>
      <w:r>
        <w:rPr/>
        <w:br w:type="column"/>
      </w:r>
      <w:r>
        <w:rPr>
          <w:sz w:val="12"/>
        </w:rPr>
      </w:r>
    </w:p>
    <w:p>
      <w:pPr>
        <w:pStyle w:val="BodyText"/>
        <w:spacing w:before="5"/>
        <w:rPr>
          <w:sz w:val="15"/>
        </w:rPr>
      </w:pPr>
    </w:p>
    <w:p>
      <w:pPr>
        <w:spacing w:before="0"/>
        <w:ind w:left="384" w:right="601" w:firstLine="0"/>
        <w:jc w:val="center"/>
        <w:rPr>
          <w:sz w:val="12"/>
        </w:rPr>
      </w:pPr>
      <w:r>
        <w:rPr>
          <w:sz w:val="12"/>
        </w:rPr>
        <w:t>150</w:t>
      </w:r>
    </w:p>
    <w:p>
      <w:pPr>
        <w:pStyle w:val="BodyText"/>
        <w:rPr>
          <w:sz w:val="12"/>
        </w:rPr>
      </w:pPr>
    </w:p>
    <w:p>
      <w:pPr>
        <w:spacing w:before="84"/>
        <w:ind w:left="384" w:right="601" w:firstLine="0"/>
        <w:jc w:val="center"/>
        <w:rPr>
          <w:sz w:val="12"/>
        </w:rPr>
      </w:pPr>
      <w:r>
        <w:rPr>
          <w:sz w:val="12"/>
        </w:rPr>
        <w:t>140</w:t>
      </w:r>
    </w:p>
    <w:p>
      <w:pPr>
        <w:pStyle w:val="BodyText"/>
        <w:rPr>
          <w:sz w:val="12"/>
        </w:rPr>
      </w:pPr>
    </w:p>
    <w:p>
      <w:pPr>
        <w:spacing w:before="104"/>
        <w:ind w:left="384" w:right="601" w:firstLine="0"/>
        <w:jc w:val="center"/>
        <w:rPr>
          <w:sz w:val="12"/>
        </w:rPr>
      </w:pPr>
      <w:r>
        <w:rPr>
          <w:sz w:val="12"/>
        </w:rPr>
        <w:t>130</w:t>
      </w:r>
    </w:p>
    <w:p>
      <w:pPr>
        <w:spacing w:after="0"/>
        <w:jc w:val="center"/>
        <w:rPr>
          <w:sz w:val="12"/>
        </w:rPr>
        <w:sectPr>
          <w:type w:val="continuous"/>
          <w:pgSz w:w="11880" w:h="16840"/>
          <w:pgMar w:top="1200" w:bottom="280" w:left="620" w:right="620"/>
          <w:cols w:num="4" w:equalWidth="0">
            <w:col w:w="4961" w:space="2769"/>
            <w:col w:w="601" w:space="40"/>
            <w:col w:w="1024" w:space="39"/>
            <w:col w:w="1206"/>
          </w:cols>
        </w:sectPr>
      </w:pPr>
    </w:p>
    <w:p>
      <w:pPr>
        <w:pStyle w:val="BodyText"/>
        <w:spacing w:before="7"/>
        <w:rPr>
          <w:sz w:val="10"/>
        </w:rPr>
      </w:pPr>
    </w:p>
    <w:p>
      <w:pPr>
        <w:spacing w:after="0"/>
        <w:rPr>
          <w:sz w:val="10"/>
        </w:rPr>
        <w:sectPr>
          <w:type w:val="continuous"/>
          <w:pgSz w:w="11880" w:h="16840"/>
          <w:pgMar w:top="1200" w:bottom="280" w:left="620" w:right="620"/>
        </w:sectPr>
      </w:pPr>
    </w:p>
    <w:p>
      <w:pPr>
        <w:spacing w:line="252" w:lineRule="auto" w:before="94"/>
        <w:ind w:left="406" w:right="39" w:firstLine="0"/>
        <w:jc w:val="left"/>
        <w:rPr>
          <w:sz w:val="20"/>
        </w:rPr>
      </w:pPr>
      <w:r>
        <w:rPr>
          <w:color w:val="231F20"/>
          <w:spacing w:val="-4"/>
          <w:sz w:val="20"/>
        </w:rPr>
        <w:t>World </w:t>
      </w:r>
      <w:r>
        <w:rPr>
          <w:color w:val="231F20"/>
          <w:spacing w:val="-6"/>
          <w:sz w:val="20"/>
        </w:rPr>
        <w:t>GDP, </w:t>
      </w:r>
      <w:r>
        <w:rPr>
          <w:color w:val="231F20"/>
          <w:sz w:val="20"/>
        </w:rPr>
        <w:t>trade and inflation will be weaker as a result of the adjustment. The impact on some markets is likely to be greater than on others. For example, world primary commodity prices are likely to be affected more than the price of traded services, reflecting the relative importance of the Asian economies in these</w:t>
      </w:r>
      <w:r>
        <w:rPr>
          <w:color w:val="231F20"/>
          <w:spacing w:val="4"/>
          <w:sz w:val="20"/>
        </w:rPr>
        <w:t> </w:t>
      </w:r>
      <w:r>
        <w:rPr>
          <w:color w:val="231F20"/>
          <w:sz w:val="20"/>
        </w:rPr>
        <w:t>markets.</w:t>
      </w:r>
    </w:p>
    <w:p>
      <w:pPr>
        <w:pStyle w:val="BodyText"/>
        <w:rPr>
          <w:sz w:val="12"/>
        </w:rPr>
      </w:pPr>
      <w:r>
        <w:rPr/>
        <w:br w:type="column"/>
      </w:r>
      <w:r>
        <w:rPr>
          <w:sz w:val="12"/>
        </w:rPr>
      </w:r>
    </w:p>
    <w:p>
      <w:pPr>
        <w:pStyle w:val="BodyText"/>
        <w:rPr>
          <w:sz w:val="12"/>
        </w:rPr>
      </w:pPr>
    </w:p>
    <w:p>
      <w:pPr>
        <w:spacing w:before="104"/>
        <w:ind w:left="1386" w:right="0" w:firstLine="0"/>
        <w:jc w:val="center"/>
        <w:rPr>
          <w:sz w:val="12"/>
        </w:rPr>
      </w:pPr>
      <w:r>
        <w:rPr>
          <w:sz w:val="12"/>
        </w:rPr>
        <w:t>Broad ERI (c)</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tabs>
          <w:tab w:pos="3386" w:val="left" w:leader="none"/>
          <w:tab w:pos="4346" w:val="left" w:leader="none"/>
        </w:tabs>
        <w:spacing w:line="136" w:lineRule="exact" w:before="0"/>
        <w:ind w:left="1466" w:right="0" w:firstLine="0"/>
        <w:jc w:val="center"/>
        <w:rPr>
          <w:sz w:val="12"/>
        </w:rPr>
      </w:pPr>
      <w:r>
        <w:rPr>
          <w:sz w:val="12"/>
        </w:rPr>
        <w:t>1996</w:t>
        <w:tab/>
        <w:t>97</w:t>
        <w:tab/>
      </w:r>
      <w:r>
        <w:rPr>
          <w:spacing w:val="-10"/>
          <w:sz w:val="12"/>
        </w:rPr>
        <w:t>98</w:t>
      </w:r>
    </w:p>
    <w:p>
      <w:pPr>
        <w:spacing w:line="136" w:lineRule="exact" w:before="0"/>
        <w:ind w:left="406" w:right="0" w:firstLine="0"/>
        <w:jc w:val="left"/>
        <w:rPr>
          <w:sz w:val="12"/>
        </w:rPr>
      </w:pPr>
      <w:r>
        <w:rPr>
          <w:color w:val="231F20"/>
          <w:sz w:val="12"/>
        </w:rPr>
        <w:t>Sources: IMF and Bank of England.</w:t>
      </w:r>
    </w:p>
    <w:p>
      <w:pPr>
        <w:spacing w:before="106"/>
        <w:ind w:left="160" w:right="0" w:firstLine="0"/>
        <w:jc w:val="left"/>
        <w:rPr>
          <w:sz w:val="12"/>
        </w:rPr>
      </w:pPr>
      <w:r>
        <w:rPr/>
        <w:br w:type="column"/>
      </w:r>
      <w:r>
        <w:rPr>
          <w:sz w:val="12"/>
        </w:rPr>
        <w:t>120</w:t>
      </w:r>
    </w:p>
    <w:p>
      <w:pPr>
        <w:pStyle w:val="BodyText"/>
        <w:rPr>
          <w:sz w:val="12"/>
        </w:rPr>
      </w:pPr>
    </w:p>
    <w:p>
      <w:pPr>
        <w:spacing w:before="104"/>
        <w:ind w:left="160" w:right="0" w:firstLine="0"/>
        <w:jc w:val="left"/>
        <w:rPr>
          <w:sz w:val="12"/>
        </w:rPr>
      </w:pPr>
      <w:r>
        <w:rPr>
          <w:sz w:val="12"/>
        </w:rPr>
        <w:t>110</w:t>
      </w:r>
    </w:p>
    <w:p>
      <w:pPr>
        <w:pStyle w:val="BodyText"/>
        <w:rPr>
          <w:sz w:val="12"/>
        </w:rPr>
      </w:pPr>
    </w:p>
    <w:p>
      <w:pPr>
        <w:spacing w:before="104"/>
        <w:ind w:left="160" w:right="0" w:firstLine="0"/>
        <w:jc w:val="left"/>
        <w:rPr>
          <w:sz w:val="12"/>
        </w:rPr>
      </w:pPr>
      <w:r>
        <w:rPr>
          <w:sz w:val="12"/>
        </w:rPr>
        <w:t>100</w:t>
      </w:r>
    </w:p>
    <w:p>
      <w:pPr>
        <w:pStyle w:val="BodyText"/>
        <w:rPr>
          <w:sz w:val="12"/>
        </w:rPr>
      </w:pPr>
    </w:p>
    <w:p>
      <w:pPr>
        <w:spacing w:before="84"/>
        <w:ind w:left="220" w:right="0" w:firstLine="0"/>
        <w:jc w:val="left"/>
        <w:rPr>
          <w:sz w:val="12"/>
        </w:rPr>
      </w:pPr>
      <w:r>
        <w:rPr>
          <w:sz w:val="12"/>
        </w:rPr>
        <w:t>90</w:t>
      </w:r>
    </w:p>
    <w:p>
      <w:pPr>
        <w:spacing w:after="0"/>
        <w:jc w:val="left"/>
        <w:rPr>
          <w:sz w:val="12"/>
        </w:rPr>
        <w:sectPr>
          <w:type w:val="continuous"/>
          <w:pgSz w:w="11880" w:h="16840"/>
          <w:pgMar w:top="1200" w:bottom="280" w:left="620" w:right="620"/>
          <w:cols w:num="3" w:equalWidth="0">
            <w:col w:w="5105" w:space="65"/>
            <w:col w:w="4467" w:space="40"/>
            <w:col w:w="963"/>
          </w:cols>
        </w:sectPr>
      </w:pPr>
    </w:p>
    <w:p>
      <w:pPr>
        <w:spacing w:before="128"/>
        <w:ind w:left="406" w:right="0" w:firstLine="0"/>
        <w:jc w:val="left"/>
        <w:rPr>
          <w:i/>
          <w:sz w:val="20"/>
        </w:rPr>
      </w:pPr>
      <w:r>
        <w:rPr>
          <w:i/>
          <w:color w:val="009483"/>
          <w:sz w:val="20"/>
        </w:rPr>
        <w:t>Shifts in real exchange rates</w:t>
      </w:r>
    </w:p>
    <w:p>
      <w:pPr>
        <w:spacing w:line="252" w:lineRule="auto" w:before="112"/>
        <w:ind w:left="406" w:right="0" w:firstLine="0"/>
        <w:jc w:val="left"/>
        <w:rPr>
          <w:sz w:val="20"/>
        </w:rPr>
      </w:pPr>
      <w:r>
        <w:rPr>
          <w:color w:val="231F20"/>
          <w:sz w:val="20"/>
        </w:rPr>
        <w:t>As well as the direct effect of the reduction in Asian countries’ net demand for overseas goods, the sharp movements of exchange rates will also affect the world economy.</w:t>
      </w:r>
    </w:p>
    <w:p>
      <w:pPr>
        <w:pStyle w:val="BodyText"/>
        <w:spacing w:before="3"/>
        <w:rPr>
          <w:sz w:val="19"/>
        </w:rPr>
      </w:pPr>
    </w:p>
    <w:p>
      <w:pPr>
        <w:spacing w:line="252" w:lineRule="auto" w:before="0"/>
        <w:ind w:left="406" w:right="38" w:firstLine="0"/>
        <w:jc w:val="left"/>
        <w:rPr>
          <w:sz w:val="20"/>
        </w:rPr>
      </w:pPr>
      <w:r>
        <w:rPr>
          <w:color w:val="231F20"/>
          <w:sz w:val="20"/>
        </w:rPr>
        <w:t>The currencies of the A</w:t>
      </w:r>
      <w:r>
        <w:rPr>
          <w:color w:val="231F20"/>
          <w:sz w:val="16"/>
        </w:rPr>
        <w:t>SEAN</w:t>
      </w:r>
      <w:r>
        <w:rPr>
          <w:color w:val="231F20"/>
          <w:sz w:val="20"/>
        </w:rPr>
        <w:t>-4 fell by 20%–40% between January 1997 and the end of October against</w:t>
      </w:r>
      <w:r>
        <w:rPr>
          <w:color w:val="231F20"/>
          <w:spacing w:val="41"/>
          <w:sz w:val="20"/>
        </w:rPr>
        <w:t> </w:t>
      </w:r>
      <w:r>
        <w:rPr>
          <w:color w:val="231F20"/>
          <w:spacing w:val="-5"/>
          <w:sz w:val="20"/>
        </w:rPr>
        <w:t>the</w:t>
      </w:r>
    </w:p>
    <w:p>
      <w:pPr>
        <w:pStyle w:val="ListParagraph"/>
        <w:numPr>
          <w:ilvl w:val="0"/>
          <w:numId w:val="9"/>
        </w:numPr>
        <w:tabs>
          <w:tab w:pos="661" w:val="left" w:leader="none"/>
        </w:tabs>
        <w:spacing w:line="129" w:lineRule="exact" w:before="102" w:after="0"/>
        <w:ind w:left="660" w:right="0" w:hanging="241"/>
        <w:jc w:val="both"/>
        <w:rPr>
          <w:sz w:val="12"/>
        </w:rPr>
      </w:pPr>
      <w:r>
        <w:rPr>
          <w:color w:val="231F20"/>
          <w:sz w:val="12"/>
        </w:rPr>
        <w:br w:type="column"/>
        <w:t>Monthly averages of daily data.</w:t>
      </w:r>
    </w:p>
    <w:p>
      <w:pPr>
        <w:pStyle w:val="ListParagraph"/>
        <w:numPr>
          <w:ilvl w:val="0"/>
          <w:numId w:val="9"/>
        </w:numPr>
        <w:tabs>
          <w:tab w:pos="661" w:val="left" w:leader="none"/>
        </w:tabs>
        <w:spacing w:line="208" w:lineRule="auto" w:before="5" w:after="0"/>
        <w:ind w:left="660" w:right="775" w:hanging="240"/>
        <w:jc w:val="both"/>
        <w:rPr>
          <w:sz w:val="12"/>
        </w:rPr>
      </w:pPr>
      <w:r>
        <w:rPr>
          <w:color w:val="231F20"/>
          <w:sz w:val="12"/>
        </w:rPr>
        <w:t>The ASEAN-4 are Malaysia, Indonesia, Thailand and the Philippines, and the </w:t>
      </w:r>
      <w:r>
        <w:rPr>
          <w:color w:val="231F20"/>
          <w:spacing w:val="-4"/>
          <w:sz w:val="12"/>
        </w:rPr>
        <w:t>Asian </w:t>
      </w:r>
      <w:r>
        <w:rPr>
          <w:color w:val="231F20"/>
          <w:sz w:val="12"/>
        </w:rPr>
        <w:t>NIEs are Hong Kong, Korea, Taiwan and Singapore. Includes third-country effects with non-Asian countries.</w:t>
      </w:r>
    </w:p>
    <w:p>
      <w:pPr>
        <w:pStyle w:val="ListParagraph"/>
        <w:numPr>
          <w:ilvl w:val="0"/>
          <w:numId w:val="9"/>
        </w:numPr>
        <w:tabs>
          <w:tab w:pos="661" w:val="left" w:leader="none"/>
        </w:tabs>
        <w:spacing w:line="123" w:lineRule="exact" w:before="0" w:after="0"/>
        <w:ind w:left="660" w:right="0" w:hanging="241"/>
        <w:jc w:val="both"/>
        <w:rPr>
          <w:sz w:val="12"/>
        </w:rPr>
      </w:pPr>
      <w:r>
        <w:rPr>
          <w:color w:val="231F20"/>
          <w:sz w:val="12"/>
        </w:rPr>
        <w:t>The broad ERI includes 49 countries, covering over 97% of UK trade.</w:t>
      </w:r>
    </w:p>
    <w:p>
      <w:pPr>
        <w:pStyle w:val="BodyText"/>
        <w:rPr>
          <w:sz w:val="12"/>
        </w:rPr>
      </w:pPr>
    </w:p>
    <w:p>
      <w:pPr>
        <w:pStyle w:val="BodyText"/>
        <w:spacing w:before="2"/>
        <w:rPr>
          <w:sz w:val="16"/>
        </w:rPr>
      </w:pPr>
    </w:p>
    <w:p>
      <w:pPr>
        <w:spacing w:before="0"/>
        <w:ind w:left="406" w:right="0" w:firstLine="0"/>
        <w:jc w:val="left"/>
        <w:rPr>
          <w:i/>
          <w:sz w:val="20"/>
        </w:rPr>
      </w:pPr>
      <w:r>
        <w:rPr>
          <w:i/>
          <w:color w:val="009483"/>
          <w:sz w:val="20"/>
        </w:rPr>
        <w:t>Contagion</w:t>
      </w:r>
    </w:p>
    <w:p>
      <w:pPr>
        <w:spacing w:line="252" w:lineRule="auto" w:before="132"/>
        <w:ind w:left="406" w:right="586" w:firstLine="0"/>
        <w:jc w:val="left"/>
        <w:rPr>
          <w:sz w:val="20"/>
        </w:rPr>
      </w:pPr>
      <w:r>
        <w:rPr>
          <w:color w:val="231F20"/>
          <w:sz w:val="20"/>
        </w:rPr>
        <w:t>A third major channel is the possibility that the problems in Asia might spread to other emerging economies.</w:t>
      </w:r>
    </w:p>
    <w:p>
      <w:pPr>
        <w:spacing w:after="0" w:line="252" w:lineRule="auto"/>
        <w:jc w:val="left"/>
        <w:rPr>
          <w:sz w:val="20"/>
        </w:rPr>
        <w:sectPr>
          <w:type w:val="continuous"/>
          <w:pgSz w:w="11880" w:h="16840"/>
          <w:pgMar w:top="1200" w:bottom="280" w:left="620" w:right="620"/>
          <w:cols w:num="2" w:equalWidth="0">
            <w:col w:w="5075" w:space="82"/>
            <w:col w:w="5483"/>
          </w:cols>
        </w:sectPr>
      </w:pPr>
    </w:p>
    <w:p>
      <w:pPr>
        <w:pStyle w:val="BodyText"/>
        <w:spacing w:before="2"/>
        <w:rPr>
          <w:sz w:val="15"/>
        </w:rPr>
      </w:pPr>
      <w:r>
        <w:rPr/>
        <w:pict>
          <v:group style="position:absolute;margin-left:40pt;margin-top:40.889999pt;width:516pt;height:739.15pt;mso-position-horizontal-relative:page;mso-position-vertical-relative:page;z-index:-20295168" coordorigin="800,818" coordsize="10320,14783">
            <v:shape style="position:absolute;left:820;top:837;width:10280;height:14743" coordorigin="820,838" coordsize="10280,14743" path="m11100,838l5974,838,5946,838,820,838,820,8180,820,8238,820,15580,5946,15580,5974,15580,11100,15580,11100,838xe" filled="true" fillcolor="#c3e0dc" stroked="false">
              <v:path arrowok="t"/>
              <v:fill type="solid"/>
            </v:shape>
            <v:shape style="position:absolute;left:899;top:960;width:10122;height:14498" coordorigin="899,960" coordsize="10122,14498" path="m5960,960l899,8209,5960,15458,11021,8209,5960,960xe" filled="true" fillcolor="#c4e1dd" stroked="false">
              <v:path arrowok="t"/>
              <v:fill type="solid"/>
            </v:shape>
            <v:shape style="position:absolute;left:998;top:1102;width:9923;height:14214" coordorigin="998,1102" coordsize="9923,14214" path="m5960,1102l998,8209,5960,15316,10921,8209,5960,1102xe" filled="true" fillcolor="#c5e1dd" stroked="false">
              <v:path arrowok="t"/>
              <v:fill type="solid"/>
            </v:shape>
            <v:shape style="position:absolute;left:1097;top:1244;width:9725;height:13930" coordorigin="1098,1244" coordsize="9725,13930" path="m5960,1244l1098,8209,5960,15174,10822,8209,5960,1244xe" filled="true" fillcolor="#c6e2de" stroked="false">
              <v:path arrowok="t"/>
              <v:fill type="solid"/>
            </v:shape>
            <v:shape style="position:absolute;left:1196;top:1386;width:9527;height:13645" coordorigin="1197,1387" coordsize="9527,13645" path="m5960,1387l1197,8209,5960,15031,10723,8209,5960,1387xe" filled="true" fillcolor="#c7e2df" stroked="false">
              <v:path arrowok="t"/>
              <v:fill type="solid"/>
            </v:shape>
            <v:shape style="position:absolute;left:1296;top:1528;width:9328;height:13361" coordorigin="1296,1529" coordsize="9328,13361" path="m5960,1529l1296,8209,5960,14889,10624,8209,5960,1529xe" filled="true" fillcolor="#c8e3df" stroked="false">
              <v:path arrowok="t"/>
              <v:fill type="solid"/>
            </v:shape>
            <v:shape style="position:absolute;left:1395;top:1670;width:9130;height:13077" coordorigin="1395,1671" coordsize="9130,13077" path="m5960,1671l1395,8209,5960,14747,10524,8209,5960,1671xe" filled="true" fillcolor="#c9e3e0" stroked="false">
              <v:path arrowok="t"/>
              <v:fill type="solid"/>
            </v:shape>
            <v:shape style="position:absolute;left:1494;top:1812;width:8931;height:12793" coordorigin="1495,1813" coordsize="8931,12793" path="m5960,1813l1495,8209,5960,14605,10425,8209,5960,1813xe" filled="true" fillcolor="#cae4e0" stroked="false">
              <v:path arrowok="t"/>
              <v:fill type="solid"/>
            </v:shape>
            <v:shape style="position:absolute;left:1593;top:1955;width:8733;height:12508" coordorigin="1594,1955" coordsize="8733,12508" path="m5960,1955l1594,8209,5960,14463,10326,8209,5960,1955xe" filled="true" fillcolor="#cbe4e1" stroked="false">
              <v:path arrowok="t"/>
              <v:fill type="solid"/>
            </v:shape>
            <v:shape style="position:absolute;left:1693;top:2097;width:8534;height:12224" coordorigin="1693,2097" coordsize="8534,12224" path="m5960,2097l1693,8209,5960,14321,10227,8209,5960,2097xe" filled="true" fillcolor="#cce5e1" stroked="false">
              <v:path arrowok="t"/>
              <v:fill type="solid"/>
            </v:shape>
            <v:shape style="position:absolute;left:1792;top:2239;width:8336;height:11940" coordorigin="1792,2239" coordsize="8336,11940" path="m5960,2239l1792,8209,5960,14179,10128,8209,5960,2239xe" filled="true" fillcolor="#cde5e2" stroked="false">
              <v:path arrowok="t"/>
              <v:fill type="solid"/>
            </v:shape>
            <v:shape style="position:absolute;left:1891;top:2381;width:8137;height:11655" coordorigin="1892,2382" coordsize="8137,11655" path="m5960,2382l1892,8209,5960,14037,10028,8209,5960,2382xe" filled="true" fillcolor="#cee6e3" stroked="false">
              <v:path arrowok="t"/>
              <v:fill type="solid"/>
            </v:shape>
            <v:shape style="position:absolute;left:1990;top:2523;width:7939;height:11371" coordorigin="1991,2524" coordsize="7939,11371" path="m5960,2524l1991,8209,5960,13894,9929,8209,5960,2524xe" filled="true" fillcolor="#cfe6e3" stroked="false">
              <v:path arrowok="t"/>
              <v:fill type="solid"/>
            </v:shape>
            <v:shape style="position:absolute;left:2089;top:2665;width:7740;height:11087" coordorigin="2090,2666" coordsize="7740,11087" path="m5960,2666l2090,8209,5960,13752,9830,8209,5960,2666xe" filled="true" fillcolor="#d0e7e4" stroked="false">
              <v:path arrowok="t"/>
              <v:fill type="solid"/>
            </v:shape>
            <v:shape style="position:absolute;left:2189;top:2807;width:7542;height:10803" coordorigin="2189,2808" coordsize="7542,10803" path="m5960,2808l2189,8209,5960,13610,9731,8209,5960,2808xe" filled="true" fillcolor="#d1e7e4" stroked="false">
              <v:path arrowok="t"/>
              <v:fill type="solid"/>
            </v:shape>
            <v:shape style="position:absolute;left:2288;top:2950;width:7343;height:10518" coordorigin="2288,2950" coordsize="7343,10518" path="m5960,2950l2288,8209,5960,13468,9631,8209,5960,2950xe" filled="true" fillcolor="#d3e8e5" stroked="false">
              <v:path arrowok="t"/>
              <v:fill type="solid"/>
            </v:shape>
            <v:shape style="position:absolute;left:2387;top:3092;width:7145;height:10234" coordorigin="2388,3092" coordsize="7145,10234" path="m5960,3092l2388,8209,5960,13326,9532,8209,5960,3092xe" filled="true" fillcolor="#d4e8e5" stroked="false">
              <v:path arrowok="t"/>
              <v:fill type="solid"/>
            </v:shape>
            <v:shape style="position:absolute;left:2486;top:3234;width:6947;height:9950" coordorigin="2487,3234" coordsize="6947,9950" path="m5960,3234l2487,8209,5960,13184,9433,8209,5960,3234xe" filled="true" fillcolor="#d5e9e6" stroked="false">
              <v:path arrowok="t"/>
              <v:fill type="solid"/>
            </v:shape>
            <v:shape style="position:absolute;left:2586;top:3376;width:6748;height:9666" coordorigin="2586,3376" coordsize="6748,9666" path="m5960,3376l2586,8209,5960,13042,9334,8209,5960,3376xe" filled="true" fillcolor="#d6eae7" stroked="false">
              <v:path arrowok="t"/>
              <v:fill type="solid"/>
            </v:shape>
            <v:shape style="position:absolute;left:2685;top:3518;width:6550;height:9381" coordorigin="2685,3519" coordsize="6550,9381" path="m5960,3519l2685,8209,5960,12899,9234,8209,5960,3519xe" filled="true" fillcolor="#d7eae7" stroked="false">
              <v:path arrowok="t"/>
              <v:fill type="solid"/>
            </v:shape>
            <v:shape style="position:absolute;left:2784;top:3660;width:6351;height:9097" coordorigin="2785,3661" coordsize="6351,9097" path="m5960,3661l2785,8209,5960,12757,9135,8209,5960,3661xe" filled="true" fillcolor="#d8ebe8" stroked="false">
              <v:path arrowok="t"/>
              <v:fill type="solid"/>
            </v:shape>
            <v:shape style="position:absolute;left:2883;top:3802;width:6153;height:8813" coordorigin="2884,3803" coordsize="6153,8813" path="m5960,3803l2884,8209,5960,12615,9036,8209,5960,3803xe" filled="true" fillcolor="#d9ebe8" stroked="false">
              <v:path arrowok="t"/>
              <v:fill type="solid"/>
            </v:shape>
            <v:shape style="position:absolute;left:2983;top:3945;width:5954;height:8529" coordorigin="2983,3945" coordsize="5954,8529" path="m5960,3945l2983,8209,5960,12473,8937,8209,5960,3945xe" filled="true" fillcolor="#daece9" stroked="false">
              <v:path arrowok="t"/>
              <v:fill type="solid"/>
            </v:shape>
            <v:shape style="position:absolute;left:3082;top:4087;width:5756;height:8244" coordorigin="3082,4087" coordsize="5756,8244" path="m5960,4087l3082,8209,5960,12331,8838,8209,5960,4087xe" filled="true" fillcolor="#dbece9" stroked="false">
              <v:path arrowok="t"/>
              <v:fill type="solid"/>
            </v:shape>
            <v:shape style="position:absolute;left:3181;top:4229;width:5557;height:7960" coordorigin="3182,4229" coordsize="5557,7960" path="m5960,4229l3182,8209,5960,12189,8738,8209,5960,4229xe" filled="true" fillcolor="#dcedea" stroked="false">
              <v:path arrowok="t"/>
              <v:fill type="solid"/>
            </v:shape>
            <v:shape style="position:absolute;left:3280;top:4371;width:5359;height:7676" coordorigin="3281,4371" coordsize="5359,7676" path="m5960,4371l3281,8209,5960,12047,8639,8209,5960,4371xe" filled="true" fillcolor="#ddedeb" stroked="false">
              <v:path arrowok="t"/>
              <v:fill type="solid"/>
            </v:shape>
            <v:shape style="position:absolute;left:3379;top:4513;width:5160;height:7391" coordorigin="3380,4514" coordsize="5160,7391" path="m5960,4514l3380,8209,5960,11904,8540,8209,5960,4514xe" filled="true" fillcolor="#deeeeb" stroked="false">
              <v:path arrowok="t"/>
              <v:fill type="solid"/>
            </v:shape>
            <v:shape style="position:absolute;left:3479;top:4655;width:4962;height:7107" coordorigin="3479,4656" coordsize="4962,7107" path="m5960,4656l3479,8209,5960,11762,8441,8209,5960,4656xe" filled="true" fillcolor="#e0efec" stroked="false">
              <v:path arrowok="t"/>
              <v:fill type="solid"/>
            </v:shape>
            <v:shape style="position:absolute;left:3578;top:4797;width:4764;height:6823" coordorigin="3578,4798" coordsize="4764,6823" path="m5960,4798l3578,8209,5960,11620,8341,8209,5960,4798xe" filled="true" fillcolor="#e1efec" stroked="false">
              <v:path arrowok="t"/>
              <v:fill type="solid"/>
            </v:shape>
            <v:shape style="position:absolute;left:3677;top:4939;width:4565;height:6539" coordorigin="3678,4940" coordsize="4565,6539" path="m5960,4940l3678,8209,5960,11478,8242,8209,5960,4940xe" filled="true" fillcolor="#e2f0ed" stroked="false">
              <v:path arrowok="t"/>
              <v:fill type="solid"/>
            </v:shape>
            <v:shape style="position:absolute;left:3776;top:5082;width:4367;height:6254" coordorigin="3777,5082" coordsize="4367,6254" path="m5960,5082l3777,8209,5960,11336,8143,8209,5960,5082xe" filled="true" fillcolor="#e3f0ee" stroked="false">
              <v:path arrowok="t"/>
              <v:fill type="solid"/>
            </v:shape>
            <v:shape style="position:absolute;left:3876;top:5224;width:4168;height:5970" coordorigin="3876,5224" coordsize="4168,5970" path="m5960,5224l3876,8209,5960,11194,8044,8209,5960,5224xe" filled="true" fillcolor="#e4f1ee" stroked="false">
              <v:path arrowok="t"/>
              <v:fill type="solid"/>
            </v:shape>
            <v:shape style="position:absolute;left:3975;top:5366;width:3970;height:5686" coordorigin="3975,5366" coordsize="3970,5686" path="m5960,5366l3975,8209,5960,11052,7945,8209,5960,5366xe" filled="true" fillcolor="#e5f1ef" stroked="false">
              <v:path arrowok="t"/>
              <v:fill type="solid"/>
            </v:shape>
            <v:shape style="position:absolute;left:4074;top:5508;width:3771;height:5402" coordorigin="4075,5508" coordsize="3771,5402" path="m5960,5508l4075,8209,5960,10910,7845,8209,5960,5508xe" filled="true" fillcolor="#e6f2ef" stroked="false">
              <v:path arrowok="t"/>
              <v:fill type="solid"/>
            </v:shape>
            <v:shape style="position:absolute;left:4173;top:5650;width:3573;height:5117" coordorigin="4174,5651" coordsize="3573,5117" path="m5960,5651l4174,8209,5960,10767,7746,8209,5960,5651xe" filled="true" fillcolor="#e7f3f0" stroked="false">
              <v:path arrowok="t"/>
              <v:fill type="solid"/>
            </v:shape>
            <v:shape style="position:absolute;left:4273;top:5792;width:3374;height:4833" coordorigin="4273,5793" coordsize="3374,4833" path="m5960,5793l4273,8209,5960,10625,7647,8209,5960,5793xe" filled="true" fillcolor="#e9f3f1" stroked="false">
              <v:path arrowok="t"/>
              <v:fill type="solid"/>
            </v:shape>
            <v:shape style="position:absolute;left:4372;top:5934;width:3176;height:4549" coordorigin="4372,5935" coordsize="3176,4549" path="m5960,5935l4372,8209,5960,10483,7548,8209,5960,5935xe" filled="true" fillcolor="#eaf4f2" stroked="false">
              <v:path arrowok="t"/>
              <v:fill type="solid"/>
            </v:shape>
            <v:shape style="position:absolute;left:4471;top:6077;width:2977;height:4265" coordorigin="4471,6077" coordsize="2977,4265" path="m5960,6077l4471,8209,5960,10341,7448,8209,5960,6077xe" filled="true" fillcolor="#ebf4f2" stroked="false">
              <v:path arrowok="t"/>
              <v:fill type="solid"/>
            </v:shape>
            <v:shape style="position:absolute;left:4570;top:6219;width:2779;height:3980" coordorigin="4571,6219" coordsize="2779,3980" path="m5960,6219l4571,8209,5960,10199,7349,8209,5960,6219xe" filled="true" fillcolor="#ecf5f3" stroked="false">
              <v:path arrowok="t"/>
              <v:fill type="solid"/>
            </v:shape>
            <v:shape style="position:absolute;left:4669;top:6361;width:2580;height:3696" coordorigin="4670,6361" coordsize="2580,3696" path="m5960,6361l4670,8209,5960,10057,7250,8209,5960,6361xe" filled="true" fillcolor="#edf6f4" stroked="false">
              <v:path arrowok="t"/>
              <v:fill type="solid"/>
            </v:shape>
            <v:shape style="position:absolute;left:4769;top:6503;width:2382;height:3412" coordorigin="4769,6503" coordsize="2382,3412" path="m5960,6503l4769,8209,5960,9915,7151,8209,5960,6503xe" filled="true" fillcolor="#eff7f5" stroked="false">
              <v:path arrowok="t"/>
              <v:fill type="solid"/>
            </v:shape>
            <v:shape style="position:absolute;left:4868;top:6645;width:2184;height:3127" coordorigin="4868,6646" coordsize="2184,3127" path="m5960,6646l4868,8209,5960,9772,7051,8209,5960,6646xe" filled="true" fillcolor="#f0f7f5" stroked="false">
              <v:path arrowok="t"/>
              <v:fill type="solid"/>
            </v:shape>
            <v:shape style="position:absolute;left:4967;top:6787;width:1985;height:2843" coordorigin="4968,6788" coordsize="1985,2843" path="m5960,6788l4968,8209,5960,9630,6952,8209,5960,6788xe" filled="true" fillcolor="#f1f8f6" stroked="false">
              <v:path arrowok="t"/>
              <v:fill type="solid"/>
            </v:shape>
            <v:shape style="position:absolute;left:5066;top:6929;width:1787;height:2559" coordorigin="5067,6930" coordsize="1787,2559" path="m5960,6930l5067,8209,5960,9488,6853,8209,5960,6930xe" filled="true" fillcolor="#f2f8f7" stroked="false">
              <v:path arrowok="t"/>
              <v:fill type="solid"/>
            </v:shape>
            <v:shape style="position:absolute;left:5166;top:7071;width:1588;height:2275" coordorigin="5166,7072" coordsize="1588,2275" path="m5960,7072l5166,8209,5960,9346,6754,8209,5960,7072xe" filled="true" fillcolor="#f3f9f8" stroked="false">
              <v:path arrowok="t"/>
              <v:fill type="solid"/>
            </v:shape>
            <v:shape style="position:absolute;left:5265;top:7214;width:1390;height:1990" coordorigin="5265,7214" coordsize="1390,1990" path="m5960,7214l5265,8209,5960,9204,6655,8209,5960,7214xe" filled="true" fillcolor="#f5f9f8" stroked="false">
              <v:path arrowok="t"/>
              <v:fill type="solid"/>
            </v:shape>
            <v:shape style="position:absolute;left:5364;top:7356;width:1191;height:1706" coordorigin="5365,7356" coordsize="1191,1706" path="m5960,7356l5365,8209,5960,9062,6555,8209,5960,7356xe" filled="true" fillcolor="#f6faf9" stroked="false">
              <v:path arrowok="t"/>
              <v:fill type="solid"/>
            </v:shape>
            <v:shape style="position:absolute;left:5463;top:7498;width:993;height:1422" coordorigin="5464,7498" coordsize="993,1422" path="m5960,7498l5464,8209,5960,8920,6456,8209,5960,7498xe" filled="true" fillcolor="#f8fbfa" stroked="false">
              <v:path arrowok="t"/>
              <v:fill type="solid"/>
            </v:shape>
            <v:shape style="position:absolute;left:5563;top:7640;width:794;height:1138" coordorigin="5563,7640" coordsize="794,1138" path="m5960,7640l5563,8209,5960,8778,6357,8209,5960,7640xe" filled="true" fillcolor="#f9fcfc" stroked="false">
              <v:path arrowok="t"/>
              <v:fill type="solid"/>
            </v:shape>
            <v:shape style="position:absolute;left:5662;top:7782;width:596;height:853" coordorigin="5662,7783" coordsize="596,853" path="m5960,7783l5662,8209,5960,8635,6258,8209,5960,7783xe" filled="true" fillcolor="#fbfdfd" stroked="false">
              <v:path arrowok="t"/>
              <v:fill type="solid"/>
            </v:shape>
            <v:shape style="position:absolute;left:5761;top:7924;width:397;height:569" coordorigin="5761,7925" coordsize="397,569" path="m5960,7925l5761,8209,5960,8493,6158,8209,5960,7925xe" filled="true" fillcolor="#fdfefe" stroked="false">
              <v:path arrowok="t"/>
              <v:fill type="solid"/>
            </v:shape>
            <v:shape style="position:absolute;left:5860;top:8066;width:199;height:285" coordorigin="5861,8067" coordsize="199,285" path="m5960,8067l5861,8209,5960,8351,6059,8209,5960,8067xe" filled="true" fillcolor="#ffffff" stroked="false">
              <v:path arrowok="t"/>
              <v:fill type="solid"/>
            </v:shape>
            <v:rect style="position:absolute;left:810;top:827;width:10300;height:14763" filled="false" stroked="true" strokeweight="1pt" strokecolor="#009483">
              <v:stroke dashstyle="solid"/>
            </v:rect>
            <v:shape style="position:absolute;left:6177;top:9042;width:4700;height:3670" coordorigin="6177,9042" coordsize="4700,3670" path="m10877,9042l6177,9042,6177,9332,6177,9338,6177,12712,10877,12712,10877,9338,10877,9332,10877,9042xe" filled="true" fillcolor="#ffffff" stroked="false">
              <v:path arrowok="t"/>
              <v:fill type="solid"/>
            </v:shape>
            <v:shape style="position:absolute;left:6200;top:9495;width:140;height:3020" coordorigin="6201,9496" coordsize="140,3020" path="m6341,12516l6201,12516m6341,12136l6201,12136m6341,11756l6201,11756m6341,11396l6201,11396m6341,11016l6201,11016m6341,10636l6201,10636m6341,10256l6201,10256m6341,9876l6201,9876m6341,9496l6201,9496e" filled="false" stroked="true" strokeweight=".5pt" strokecolor="#000000">
              <v:path arrowok="t"/>
              <v:stroke dashstyle="solid"/>
            </v:shape>
            <v:shape style="position:absolute;left:6427;top:11082;width:3760;height:1060" coordorigin="6427,11082" coordsize="3760,1060" path="m6427,12142l6587,12122,6747,12142,6907,12122,7067,12082,7207,12022,7367,12022,7527,12062,7687,12002,7847,11902,8007,11742,8147,11662,8307,11582,8467,11522,8627,11542,8787,11442,8947,11462,9107,11402,9247,11222,9407,11322,9567,11382,9727,11322,9887,11182,10047,11122,10187,11082e" filled="false" stroked="true" strokeweight="1pt" strokecolor="#95459a">
              <v:path arrowok="t"/>
              <v:stroke dashstyle="solid"/>
            </v:shape>
            <v:shape style="position:absolute;left:6427;top:9822;width:3760;height:2380" coordorigin="6427,9822" coordsize="3760,2380" path="m6427,12142l6587,12142,6747,12162,6907,12202,7067,12202,7207,12102,7367,12062,7527,12082,7687,12042,7847,11982,8007,11782,8147,11762,8307,11762,8467,11822,8627,11842,8787,11782,9107,11742,9247,11582,9407,11622,9567,11502,9727,11262,9887,10902,10047,10322,10187,9822e" filled="false" stroked="true" strokeweight="1pt" strokecolor="#f89f6d">
              <v:path arrowok="t"/>
              <v:stroke dashstyle="solid"/>
            </v:shape>
            <v:shape style="position:absolute;left:6427;top:11182;width:3760;height:960" coordorigin="6427,11182" coordsize="3760,960" path="m6427,12142l6587,12122,6747,12142,6907,12122,7067,12082,7207,12022,7367,12042,7527,12082,7687,12022,7847,11922,8007,11742,8147,11662,8307,11562,8467,11502,8627,11502,8787,11422,8947,11422,9107,11362,9247,11182,9407,11282,9567,11362,9727,11342,9887,11222,10047,11182,10187,11182e" filled="false" stroked="true" strokeweight="1pt" strokecolor="#0099d8">
              <v:path arrowok="t"/>
              <v:stroke dashstyle="solid"/>
            </v:shape>
            <v:shape style="position:absolute;left:6427;top:9882;width:3960;height:2640" coordorigin="6427,9882" coordsize="3960,2640" path="m10387,12522l10267,12522m10387,12142l10267,12142m10387,11762l10267,11762m10387,11402l10267,11402m10387,11022l10267,11022m10387,10642l10267,10642m10387,10262l10267,10262m10387,9882l10267,9882m6427,12522l10187,12522m6427,12522l6427,12482m6587,12522l6587,12482m6747,12522l6747,12482m6907,12522l6907,12482m7067,12522l7067,12482m7207,12522l7207,12482m7367,12522l7367,12482m7527,12522l7527,12482m7687,12522l7687,12482m7847,12522l7847,12482m7987,12522l7987,12482m8147,12522l8147,12482m8307,12522l8307,12482m8467,12522l8467,12482m8627,12522l8627,12482m8787,12522l8787,12482m8927,12522l8927,12482m9087,12522l9087,12482m9247,12522l9247,12482m9407,12522l9407,12482m9567,12522l9567,12482m9727,12522l9727,12482m9887,12522l9887,12482m10027,12522l10027,12482m10187,12522l10187,12482m6427,12522l6427,12422m8307,12522l8307,12422m10187,12522l10187,12422e" filled="false" stroked="true" strokeweight=".5pt" strokecolor="#000000">
              <v:path arrowok="t"/>
              <v:stroke dashstyle="solid"/>
            </v:shape>
            <v:shape style="position:absolute;left:8892;top:11007;width:253;height:253" type="#_x0000_t75" stroked="false">
              <v:imagedata r:id="rId30" o:title=""/>
            </v:shape>
            <v:shape style="position:absolute;left:9072;top:11302;width:271;height:289" type="#_x0000_t75" stroked="false">
              <v:imagedata r:id="rId31" o:title=""/>
            </v:shape>
            <v:rect style="position:absolute;left:6177;top:12702;width:4690;height:936" filled="true" fillcolor="#ffffff" stroked="false">
              <v:fill type="solid"/>
            </v:rect>
            <v:shape style="position:absolute;left:1005;top:9030;width:9898;height:6075" coordorigin="1005,9030" coordsize="9898,6075" path="m1005,15105l10857,15105m6170,9030l10902,9030m6172,13650l10892,13650e" filled="false" stroked="true" strokeweight=".125pt" strokecolor="#231f20">
              <v:path arrowok="t"/>
              <v:stroke dashstyle="solid"/>
            </v:shape>
            <w10:wrap type="none"/>
          </v:group>
        </w:pict>
      </w:r>
    </w:p>
    <w:p>
      <w:pPr>
        <w:pStyle w:val="ListParagraph"/>
        <w:numPr>
          <w:ilvl w:val="0"/>
          <w:numId w:val="10"/>
        </w:numPr>
        <w:tabs>
          <w:tab w:pos="663" w:val="left" w:leader="none"/>
        </w:tabs>
        <w:spacing w:line="208" w:lineRule="auto" w:before="1" w:after="0"/>
        <w:ind w:left="662" w:right="3004" w:hanging="240"/>
        <w:jc w:val="left"/>
        <w:rPr>
          <w:sz w:val="12"/>
        </w:rPr>
      </w:pPr>
      <w:r>
        <w:rPr>
          <w:color w:val="231F20"/>
          <w:sz w:val="12"/>
        </w:rPr>
        <w:t>These figures include the IMF’s grouping of Asia, the newly industrialised Asian economies (which comprise Hong Kong, Korea, Singapore </w:t>
      </w:r>
      <w:r>
        <w:rPr>
          <w:color w:val="231F20"/>
          <w:spacing w:val="-6"/>
          <w:sz w:val="12"/>
        </w:rPr>
        <w:t>and </w:t>
      </w:r>
      <w:r>
        <w:rPr>
          <w:color w:val="231F20"/>
          <w:sz w:val="12"/>
        </w:rPr>
        <w:t>Taiwan) and Israel.</w:t>
      </w:r>
    </w:p>
    <w:p>
      <w:pPr>
        <w:spacing w:after="0" w:line="208" w:lineRule="auto"/>
        <w:jc w:val="left"/>
        <w:rPr>
          <w:sz w:val="12"/>
        </w:rPr>
        <w:sectPr>
          <w:type w:val="continuous"/>
          <w:pgSz w:w="11880" w:h="16840"/>
          <w:pgMar w:top="1200" w:bottom="280" w:left="620" w:right="620"/>
        </w:sectPr>
      </w:pPr>
    </w:p>
    <w:p>
      <w:pPr>
        <w:pStyle w:val="BodyText"/>
        <w:rPr>
          <w:sz w:val="20"/>
        </w:rPr>
      </w:pPr>
    </w:p>
    <w:p>
      <w:pPr>
        <w:spacing w:after="0"/>
        <w:rPr>
          <w:sz w:val="20"/>
        </w:rPr>
        <w:sectPr>
          <w:pgSz w:w="11880" w:h="16840"/>
          <w:pgMar w:header="586" w:footer="617" w:top="780" w:bottom="800" w:left="620" w:right="620"/>
        </w:sectPr>
      </w:pPr>
    </w:p>
    <w:p>
      <w:pPr>
        <w:pStyle w:val="BodyText"/>
        <w:spacing w:before="9"/>
        <w:rPr>
          <w:sz w:val="19"/>
        </w:rPr>
      </w:pPr>
    </w:p>
    <w:p>
      <w:pPr>
        <w:spacing w:line="252" w:lineRule="auto" w:before="0"/>
        <w:ind w:left="400" w:right="52" w:firstLine="0"/>
        <w:jc w:val="left"/>
        <w:rPr>
          <w:sz w:val="20"/>
        </w:rPr>
      </w:pPr>
      <w:r>
        <w:rPr>
          <w:color w:val="231F20"/>
          <w:sz w:val="20"/>
        </w:rPr>
        <w:t>There were signs of contagion in a number of currency and equity markets in emerging countries in 1997.</w:t>
      </w:r>
    </w:p>
    <w:p>
      <w:pPr>
        <w:spacing w:line="252" w:lineRule="auto" w:before="1"/>
        <w:ind w:left="400" w:right="38" w:firstLine="0"/>
        <w:jc w:val="left"/>
        <w:rPr>
          <w:sz w:val="20"/>
        </w:rPr>
      </w:pPr>
      <w:r>
        <w:rPr>
          <w:color w:val="231F20"/>
          <w:sz w:val="20"/>
        </w:rPr>
        <w:t>Most pressures on exchange rates in these markets occurred in late October. In Brazil, pressure on the currency prompted the authorities to double interest rates and announce a tightening of fiscal </w:t>
      </w:r>
      <w:r>
        <w:rPr>
          <w:color w:val="231F20"/>
          <w:spacing w:val="-3"/>
          <w:sz w:val="20"/>
        </w:rPr>
        <w:t>policy. </w:t>
      </w:r>
      <w:r>
        <w:rPr>
          <w:color w:val="231F20"/>
          <w:sz w:val="20"/>
        </w:rPr>
        <w:t>The Argentinian and Mexican pesos also came under  pressure, as did the currencies in Greece, Russia and the Ukraine. Interest rates were increased sharply in these countries. There were also falls in a number of emerging equity markets, especially in those markets that had risen substantially earlier in the </w:t>
      </w:r>
      <w:r>
        <w:rPr>
          <w:color w:val="231F20"/>
          <w:spacing w:val="-3"/>
          <w:sz w:val="20"/>
        </w:rPr>
        <w:t>year. </w:t>
      </w:r>
      <w:r>
        <w:rPr>
          <w:color w:val="231F20"/>
          <w:sz w:val="20"/>
        </w:rPr>
        <w:t>In Brazil, equity prices fell by around 40% between the last week in October and mid November, though the index was still around 45% higher in domestic currency terms at the end of 1997 </w:t>
      </w:r>
      <w:r>
        <w:rPr>
          <w:color w:val="231F20"/>
          <w:spacing w:val="-4"/>
          <w:sz w:val="20"/>
        </w:rPr>
        <w:t>than </w:t>
      </w:r>
      <w:r>
        <w:rPr>
          <w:color w:val="231F20"/>
          <w:sz w:val="20"/>
        </w:rPr>
        <w:t>at the start of the </w:t>
      </w:r>
      <w:r>
        <w:rPr>
          <w:color w:val="231F20"/>
          <w:spacing w:val="-3"/>
          <w:sz w:val="20"/>
        </w:rPr>
        <w:t>year. </w:t>
      </w:r>
      <w:r>
        <w:rPr>
          <w:color w:val="231F20"/>
          <w:sz w:val="20"/>
        </w:rPr>
        <w:t>There were also corrections in Russia and Hungary.</w:t>
      </w:r>
    </w:p>
    <w:p>
      <w:pPr>
        <w:pStyle w:val="BodyText"/>
        <w:spacing w:before="8"/>
        <w:rPr>
          <w:sz w:val="21"/>
        </w:rPr>
      </w:pPr>
    </w:p>
    <w:p>
      <w:pPr>
        <w:spacing w:line="252" w:lineRule="auto" w:before="1"/>
        <w:ind w:left="399" w:right="52" w:firstLine="0"/>
        <w:jc w:val="left"/>
        <w:rPr>
          <w:sz w:val="20"/>
        </w:rPr>
      </w:pPr>
      <w:r>
        <w:rPr>
          <w:color w:val="231F20"/>
          <w:sz w:val="20"/>
        </w:rPr>
        <w:t>Another source of contagion could stem from changes in capital flows—especially bank lending. According to Bank for International Settlements (BIS) statistics on foreign bank lending to these regions, new lending to Thailand and the Czech Republic almost completely  dried up between the first and second quarters of 1997.</w:t>
      </w:r>
      <w:r>
        <w:rPr>
          <w:color w:val="231F20"/>
          <w:position w:val="4"/>
          <w:sz w:val="12"/>
        </w:rPr>
        <w:t>(2) </w:t>
      </w:r>
      <w:r>
        <w:rPr>
          <w:color w:val="231F20"/>
          <w:sz w:val="20"/>
        </w:rPr>
        <w:t>And if banks outside the affected Asian economies reassess their existing loan books and change their behaviour towards new business, there could be an impact on credit availability across the world.  The impact of such reassessments will depend, in part, on  how significant their exposures are.  BIS statistics indicate that Japanese banks are the largest individual group of foreign creditors in Asia.</w:t>
      </w:r>
      <w:r>
        <w:rPr>
          <w:color w:val="231F20"/>
          <w:position w:val="4"/>
          <w:sz w:val="12"/>
        </w:rPr>
        <w:t>(3) </w:t>
      </w:r>
      <w:r>
        <w:rPr>
          <w:color w:val="231F20"/>
          <w:sz w:val="20"/>
        </w:rPr>
        <w:t>But banks’ reassessments of their exposures cannot be divorced </w:t>
      </w:r>
      <w:r>
        <w:rPr>
          <w:color w:val="231F20"/>
          <w:spacing w:val="-3"/>
          <w:sz w:val="20"/>
        </w:rPr>
        <w:t>from </w:t>
      </w:r>
      <w:r>
        <w:rPr>
          <w:color w:val="231F20"/>
          <w:sz w:val="20"/>
        </w:rPr>
        <w:t>domestic considerations either. This is particularly relevant in Japan, where the restructuring of banks is likely to reduce credit availability not only in Asia but around the rest of the</w:t>
      </w:r>
      <w:r>
        <w:rPr>
          <w:color w:val="231F20"/>
          <w:spacing w:val="1"/>
          <w:sz w:val="20"/>
        </w:rPr>
        <w:t> </w:t>
      </w:r>
      <w:r>
        <w:rPr>
          <w:color w:val="231F20"/>
          <w:sz w:val="20"/>
        </w:rPr>
        <w:t>world.</w:t>
      </w:r>
    </w:p>
    <w:p>
      <w:pPr>
        <w:pStyle w:val="BodyText"/>
        <w:spacing w:before="11"/>
        <w:rPr>
          <w:sz w:val="19"/>
        </w:rPr>
      </w:pPr>
    </w:p>
    <w:p>
      <w:pPr>
        <w:spacing w:line="252" w:lineRule="auto" w:before="0"/>
        <w:ind w:left="399" w:right="176" w:firstLine="0"/>
        <w:jc w:val="left"/>
        <w:rPr>
          <w:sz w:val="20"/>
        </w:rPr>
      </w:pPr>
      <w:r>
        <w:rPr>
          <w:color w:val="231F20"/>
          <w:sz w:val="20"/>
        </w:rPr>
        <w:t>The adjustment of these flows of credit can also be seen in the price of credit. Spreads on corporate bonds relative to comparable US treasuries have widened throughout emerging markets, as international investors have reassessed the risks in these countries. These spreads were around 100 basis points in many East Asian and Latin American countries in early 1997, but had widened to at least 200 basis points towards the end of 1997.</w:t>
      </w:r>
    </w:p>
    <w:p>
      <w:pPr>
        <w:pStyle w:val="BodyText"/>
        <w:spacing w:before="6"/>
        <w:rPr>
          <w:sz w:val="19"/>
        </w:rPr>
      </w:pPr>
    </w:p>
    <w:p>
      <w:pPr>
        <w:spacing w:line="252" w:lineRule="auto" w:before="0"/>
        <w:ind w:left="399" w:right="111" w:firstLine="0"/>
        <w:jc w:val="left"/>
        <w:rPr>
          <w:sz w:val="20"/>
        </w:rPr>
      </w:pPr>
      <w:r>
        <w:rPr>
          <w:color w:val="231F20"/>
          <w:sz w:val="20"/>
        </w:rPr>
        <w:t>Assessing the impact of contagion is extremely difficult. Economic growth in Latin America, for example, is likely to slow in 1998, following increases in interest rates and tighter economic policies. Asset markets in </w:t>
      </w:r>
      <w:r>
        <w:rPr>
          <w:color w:val="231F20"/>
          <w:spacing w:val="-4"/>
          <w:sz w:val="20"/>
        </w:rPr>
        <w:t>the </w:t>
      </w:r>
      <w:r>
        <w:rPr>
          <w:color w:val="231F20"/>
          <w:sz w:val="20"/>
        </w:rPr>
        <w:t>United States and Europe could be affected, partly through their direct exposure to Asia and other emerging markets. But stock markets in the United States and Europe </w:t>
      </w:r>
      <w:r>
        <w:rPr>
          <w:color w:val="231F20"/>
          <w:spacing w:val="-3"/>
          <w:sz w:val="20"/>
        </w:rPr>
        <w:t>have </w:t>
      </w:r>
      <w:r>
        <w:rPr>
          <w:color w:val="231F20"/>
          <w:sz w:val="20"/>
        </w:rPr>
        <w:t>so far remained</w:t>
      </w:r>
      <w:r>
        <w:rPr>
          <w:color w:val="231F20"/>
          <w:spacing w:val="5"/>
          <w:sz w:val="20"/>
        </w:rPr>
        <w:t> </w:t>
      </w:r>
      <w:r>
        <w:rPr>
          <w:color w:val="231F20"/>
          <w:sz w:val="20"/>
        </w:rPr>
        <w:t>buoyant.</w:t>
      </w:r>
    </w:p>
    <w:p>
      <w:pPr>
        <w:pStyle w:val="BodyText"/>
        <w:spacing w:before="9"/>
        <w:rPr>
          <w:sz w:val="19"/>
        </w:rPr>
      </w:pPr>
      <w:r>
        <w:rPr/>
        <w:br w:type="column"/>
      </w:r>
      <w:r>
        <w:rPr>
          <w:sz w:val="19"/>
        </w:rPr>
      </w:r>
    </w:p>
    <w:p>
      <w:pPr>
        <w:spacing w:before="0"/>
        <w:ind w:left="399" w:right="0" w:firstLine="0"/>
        <w:jc w:val="left"/>
        <w:rPr>
          <w:b/>
          <w:sz w:val="20"/>
        </w:rPr>
      </w:pPr>
      <w:r>
        <w:rPr>
          <w:b/>
          <w:color w:val="009483"/>
          <w:sz w:val="20"/>
        </w:rPr>
        <w:t>Policy response</w:t>
      </w:r>
    </w:p>
    <w:p>
      <w:pPr>
        <w:spacing w:line="252" w:lineRule="auto" w:before="132"/>
        <w:ind w:left="399" w:right="437" w:firstLine="0"/>
        <w:jc w:val="left"/>
        <w:rPr>
          <w:sz w:val="20"/>
        </w:rPr>
      </w:pPr>
      <w:r>
        <w:rPr>
          <w:color w:val="231F20"/>
          <w:sz w:val="20"/>
        </w:rPr>
        <w:t>The size of these potential effects on world growth may be mitigated to the extent that there is a policy loosening in the industrialised countries. There is evidence that </w:t>
      </w:r>
      <w:r>
        <w:rPr>
          <w:color w:val="231F20"/>
          <w:spacing w:val="-4"/>
          <w:sz w:val="20"/>
        </w:rPr>
        <w:t>this </w:t>
      </w:r>
      <w:r>
        <w:rPr>
          <w:color w:val="231F20"/>
          <w:sz w:val="20"/>
        </w:rPr>
        <w:t>is expected in the reductions in future interest rate changes implied in yield curves. US short-run interest rate expectations for end 1998 and end 1999 </w:t>
      </w:r>
      <w:r>
        <w:rPr>
          <w:color w:val="231F20"/>
          <w:spacing w:val="-3"/>
          <w:sz w:val="20"/>
        </w:rPr>
        <w:t>have </w:t>
      </w:r>
      <w:r>
        <w:rPr>
          <w:color w:val="231F20"/>
          <w:sz w:val="20"/>
        </w:rPr>
        <w:t>fallen by around 60 basis points since October. In </w:t>
      </w:r>
      <w:r>
        <w:rPr>
          <w:color w:val="231F20"/>
          <w:spacing w:val="-3"/>
          <w:sz w:val="20"/>
        </w:rPr>
        <w:t>Germany, </w:t>
      </w:r>
      <w:r>
        <w:rPr>
          <w:color w:val="231F20"/>
          <w:sz w:val="20"/>
        </w:rPr>
        <w:t>short-run interest rate expectations </w:t>
      </w:r>
      <w:r>
        <w:rPr>
          <w:color w:val="231F20"/>
          <w:spacing w:val="-3"/>
          <w:sz w:val="20"/>
        </w:rPr>
        <w:t>have </w:t>
      </w:r>
      <w:r>
        <w:rPr>
          <w:color w:val="231F20"/>
          <w:sz w:val="20"/>
        </w:rPr>
        <w:t>fallen by around 40 basis points for both end 1998 and end</w:t>
      </w:r>
      <w:r>
        <w:rPr>
          <w:color w:val="231F20"/>
          <w:spacing w:val="12"/>
          <w:sz w:val="20"/>
        </w:rPr>
        <w:t> </w:t>
      </w:r>
      <w:r>
        <w:rPr>
          <w:color w:val="231F20"/>
          <w:sz w:val="20"/>
        </w:rPr>
        <w:t>1999.</w:t>
      </w:r>
    </w:p>
    <w:p>
      <w:pPr>
        <w:spacing w:line="252" w:lineRule="auto" w:before="5"/>
        <w:ind w:left="399" w:right="484" w:firstLine="0"/>
        <w:jc w:val="left"/>
        <w:rPr>
          <w:sz w:val="20"/>
        </w:rPr>
      </w:pPr>
      <w:r>
        <w:rPr>
          <w:color w:val="231F20"/>
          <w:sz w:val="20"/>
        </w:rPr>
        <w:t>Japanese expected short-run interest rates have changed very little. The Japanese government has announced a fiscal injection during 1998. The falls in interest rates at the short end of the yield curve will already be stimulating activity.</w:t>
      </w:r>
    </w:p>
    <w:p>
      <w:pPr>
        <w:pStyle w:val="BodyText"/>
        <w:spacing w:before="6"/>
        <w:rPr>
          <w:sz w:val="24"/>
        </w:rPr>
      </w:pPr>
    </w:p>
    <w:p>
      <w:pPr>
        <w:spacing w:before="1"/>
        <w:ind w:left="399" w:right="0" w:firstLine="0"/>
        <w:jc w:val="left"/>
        <w:rPr>
          <w:b/>
          <w:sz w:val="20"/>
        </w:rPr>
      </w:pPr>
      <w:r>
        <w:rPr>
          <w:b/>
          <w:color w:val="009483"/>
          <w:sz w:val="20"/>
        </w:rPr>
        <w:t>Assessment</w:t>
      </w:r>
    </w:p>
    <w:p>
      <w:pPr>
        <w:spacing w:line="252" w:lineRule="auto" w:before="132"/>
        <w:ind w:left="399" w:right="437" w:firstLine="0"/>
        <w:jc w:val="left"/>
        <w:rPr>
          <w:sz w:val="20"/>
        </w:rPr>
      </w:pPr>
      <w:r>
        <w:rPr>
          <w:color w:val="231F20"/>
          <w:sz w:val="20"/>
        </w:rPr>
        <w:t>The IMF expects world output to slow from 4% in 1996 and 1997 to around 3</w:t>
      </w:r>
      <w:r>
        <w:rPr>
          <w:color w:val="231F20"/>
          <w:position w:val="7"/>
          <w:sz w:val="10"/>
        </w:rPr>
        <w:t>1</w:t>
      </w:r>
      <w:r>
        <w:rPr>
          <w:color w:val="231F20"/>
          <w:sz w:val="20"/>
        </w:rPr>
        <w:t>/</w:t>
      </w:r>
      <w:r>
        <w:rPr>
          <w:color w:val="231F20"/>
          <w:sz w:val="10"/>
        </w:rPr>
        <w:t>2</w:t>
      </w:r>
      <w:r>
        <w:rPr>
          <w:color w:val="231F20"/>
          <w:sz w:val="20"/>
        </w:rPr>
        <w:t>% in 1998, which is about</w:t>
      </w:r>
    </w:p>
    <w:p>
      <w:pPr>
        <w:spacing w:line="252" w:lineRule="auto" w:before="1"/>
        <w:ind w:left="399" w:right="484" w:firstLine="0"/>
        <w:jc w:val="left"/>
        <w:rPr>
          <w:sz w:val="20"/>
        </w:rPr>
      </w:pPr>
      <w:r>
        <w:rPr>
          <w:color w:val="231F20"/>
          <w:sz w:val="20"/>
        </w:rPr>
        <w:t>1 percentage point lower than the projection in May. But growth remains considerably stronger than during the global slowdown in 1990–93, when output was rising at an annual rate of around 1</w:t>
      </w:r>
      <w:r>
        <w:rPr>
          <w:color w:val="231F20"/>
          <w:position w:val="7"/>
          <w:sz w:val="10"/>
        </w:rPr>
        <w:t>3</w:t>
      </w:r>
      <w:r>
        <w:rPr>
          <w:color w:val="231F20"/>
          <w:sz w:val="20"/>
        </w:rPr>
        <w:t>/</w:t>
      </w:r>
      <w:r>
        <w:rPr>
          <w:color w:val="231F20"/>
          <w:sz w:val="10"/>
        </w:rPr>
        <w:t>4</w:t>
      </w:r>
      <w:r>
        <w:rPr>
          <w:color w:val="231F20"/>
          <w:sz w:val="20"/>
        </w:rPr>
        <w:t>%–2</w:t>
      </w:r>
      <w:r>
        <w:rPr>
          <w:color w:val="231F20"/>
          <w:position w:val="7"/>
          <w:sz w:val="10"/>
        </w:rPr>
        <w:t>3</w:t>
      </w:r>
      <w:r>
        <w:rPr>
          <w:color w:val="231F20"/>
          <w:sz w:val="20"/>
        </w:rPr>
        <w:t>/</w:t>
      </w:r>
      <w:r>
        <w:rPr>
          <w:color w:val="231F20"/>
          <w:sz w:val="10"/>
        </w:rPr>
        <w:t>4</w:t>
      </w:r>
      <w:r>
        <w:rPr>
          <w:color w:val="231F20"/>
          <w:sz w:val="20"/>
        </w:rPr>
        <w:t>%.</w:t>
      </w:r>
    </w:p>
    <w:p>
      <w:pPr>
        <w:pStyle w:val="BodyText"/>
        <w:spacing w:before="2"/>
        <w:rPr>
          <w:sz w:val="21"/>
        </w:rPr>
      </w:pPr>
    </w:p>
    <w:p>
      <w:pPr>
        <w:spacing w:line="252" w:lineRule="auto" w:before="0"/>
        <w:ind w:left="399" w:right="433" w:firstLine="0"/>
        <w:jc w:val="left"/>
        <w:rPr>
          <w:sz w:val="20"/>
        </w:rPr>
      </w:pPr>
      <w:r>
        <w:rPr>
          <w:color w:val="231F20"/>
          <w:sz w:val="20"/>
        </w:rPr>
        <w:t>The IMF has revised down its forecast for growth in newly industrialised Asian economies (Korea, </w:t>
      </w:r>
      <w:r>
        <w:rPr>
          <w:color w:val="231F20"/>
          <w:spacing w:val="-3"/>
          <w:sz w:val="20"/>
        </w:rPr>
        <w:t>Taiwan, </w:t>
      </w:r>
      <w:r>
        <w:rPr>
          <w:color w:val="231F20"/>
          <w:sz w:val="20"/>
        </w:rPr>
        <w:t>Hong Kong and Singapore) in 1998 by 2.5 percentage points since </w:t>
      </w:r>
      <w:r>
        <w:rPr>
          <w:color w:val="231F20"/>
          <w:spacing w:val="-4"/>
          <w:sz w:val="20"/>
        </w:rPr>
        <w:t>May. </w:t>
      </w:r>
      <w:r>
        <w:rPr>
          <w:color w:val="231F20"/>
          <w:sz w:val="20"/>
        </w:rPr>
        <w:t>As the table shows, each of the forecasters has significantly revised down their expectations of Japanese growth in 1998. UK growth has been revised down slightly in all the forecasts. But forecasts of growth in the United States and continental Europe </w:t>
      </w:r>
      <w:r>
        <w:rPr>
          <w:color w:val="231F20"/>
          <w:spacing w:val="-3"/>
          <w:sz w:val="20"/>
        </w:rPr>
        <w:t>have </w:t>
      </w:r>
      <w:r>
        <w:rPr>
          <w:color w:val="231F20"/>
          <w:sz w:val="20"/>
        </w:rPr>
        <w:t>been revised up, mainly because of recent faster-than-expected growth. So the overall picture is of only small downward revisions to forecasts of world  trade and GDP growth in 1998. Events in Asia </w:t>
      </w:r>
      <w:r>
        <w:rPr>
          <w:color w:val="231F20"/>
          <w:spacing w:val="-3"/>
          <w:sz w:val="20"/>
        </w:rPr>
        <w:t>have </w:t>
      </w:r>
      <w:r>
        <w:rPr>
          <w:color w:val="231F20"/>
          <w:sz w:val="20"/>
        </w:rPr>
        <w:t>continued to unfold since these forecasts were finalised, and considerable uncertainties</w:t>
      </w:r>
      <w:r>
        <w:rPr>
          <w:color w:val="231F20"/>
          <w:spacing w:val="2"/>
          <w:sz w:val="20"/>
        </w:rPr>
        <w:t> </w:t>
      </w:r>
      <w:r>
        <w:rPr>
          <w:color w:val="231F20"/>
          <w:sz w:val="20"/>
        </w:rPr>
        <w:t>remain.</w:t>
      </w:r>
    </w:p>
    <w:p>
      <w:pPr>
        <w:spacing w:after="0" w:line="252" w:lineRule="auto"/>
        <w:jc w:val="left"/>
        <w:rPr>
          <w:sz w:val="20"/>
        </w:rPr>
        <w:sectPr>
          <w:type w:val="continuous"/>
          <w:pgSz w:w="11880" w:h="16840"/>
          <w:pgMar w:top="1200" w:bottom="280" w:left="620" w:right="620"/>
          <w:cols w:num="2" w:equalWidth="0">
            <w:col w:w="5104" w:space="46"/>
            <w:col w:w="5490"/>
          </w:cols>
        </w:sectPr>
      </w:pPr>
    </w:p>
    <w:p>
      <w:pPr>
        <w:pStyle w:val="BodyText"/>
        <w:spacing w:before="7"/>
        <w:rPr>
          <w:sz w:val="14"/>
        </w:rPr>
      </w:pPr>
      <w:r>
        <w:rPr/>
        <w:pict>
          <v:group style="position:absolute;margin-left:39pt;margin-top:40.840pt;width:516pt;height:739.7pt;mso-position-horizontal-relative:page;mso-position-vertical-relative:page;z-index:-20291584" coordorigin="780,817" coordsize="10320,14794">
            <v:shape style="position:absolute;left:799;top:836;width:10281;height:14754" coordorigin="800,837" coordsize="10281,14754" path="m11080,837l5954,837,5926,837,800,837,800,8185,800,8242,800,15590,5926,15590,5954,15590,11080,15590,11080,837xe" filled="true" fillcolor="#c3e0dc" stroked="false">
              <v:path arrowok="t"/>
              <v:fill type="solid"/>
            </v:shape>
            <v:shape style="position:absolute;left:879;top:959;width:10122;height:14509" coordorigin="879,959" coordsize="10122,14509" path="m5940,959l879,8213,5940,15468,11001,8213,5940,959xe" filled="true" fillcolor="#c4e1dd" stroked="false">
              <v:path arrowok="t"/>
              <v:fill type="solid"/>
            </v:shape>
            <v:shape style="position:absolute;left:978;top:1101;width:9923;height:14225" coordorigin="978,1101" coordsize="9923,14225" path="m5940,1101l978,8213,5940,15326,10901,8213,5940,1101xe" filled="true" fillcolor="#c5e1dd" stroked="false">
              <v:path arrowok="t"/>
              <v:fill type="solid"/>
            </v:shape>
            <v:shape style="position:absolute;left:1077;top:1243;width:9725;height:13940" coordorigin="1078,1244" coordsize="9725,13940" path="m5940,1244l1078,8213,5940,15183,10802,8213,5940,1244xe" filled="true" fillcolor="#c6e2de" stroked="false">
              <v:path arrowok="t"/>
              <v:fill type="solid"/>
            </v:shape>
            <v:shape style="position:absolute;left:1176;top:1385;width:9527;height:13656" coordorigin="1177,1386" coordsize="9527,13656" path="m5940,1386l1177,8213,5940,15041,10703,8213,5940,1386xe" filled="true" fillcolor="#c7e2df" stroked="false">
              <v:path arrowok="t"/>
              <v:fill type="solid"/>
            </v:shape>
            <v:shape style="position:absolute;left:1276;top:1528;width:9328;height:13371" coordorigin="1276,1528" coordsize="9328,13371" path="m5940,1528l1276,8213,5940,14899,10604,8213,5940,1528xe" filled="true" fillcolor="#c8e3df" stroked="false">
              <v:path arrowok="t"/>
              <v:fill type="solid"/>
            </v:shape>
            <v:shape style="position:absolute;left:1375;top:1670;width:9130;height:13087" coordorigin="1375,1670" coordsize="9130,13087" path="m5940,1670l1375,8213,5940,14757,10504,8213,5940,1670xe" filled="true" fillcolor="#c9e3e0" stroked="false">
              <v:path arrowok="t"/>
              <v:fill type="solid"/>
            </v:shape>
            <v:shape style="position:absolute;left:1474;top:1812;width:8931;height:12802" coordorigin="1475,1812" coordsize="8931,12802" path="m5940,1812l1475,8213,5940,14614,10405,8213,5940,1812xe" filled="true" fillcolor="#cae4e0" stroked="false">
              <v:path arrowok="t"/>
              <v:fill type="solid"/>
            </v:shape>
            <v:shape style="position:absolute;left:1573;top:1954;width:8733;height:12518" coordorigin="1574,1955" coordsize="8733,12518" path="m5940,1955l1574,8213,5940,14472,10306,8213,5940,1955xe" filled="true" fillcolor="#cbe4e1" stroked="false">
              <v:path arrowok="t"/>
              <v:fill type="solid"/>
            </v:shape>
            <v:shape style="position:absolute;left:1673;top:2096;width:8534;height:12233" coordorigin="1673,2097" coordsize="8534,12233" path="m5940,2097l1673,8213,5940,14330,10207,8213,5940,2097xe" filled="true" fillcolor="#cce5e1" stroked="false">
              <v:path arrowok="t"/>
              <v:fill type="solid"/>
            </v:shape>
            <v:shape style="position:absolute;left:1772;top:2239;width:8336;height:11949" coordorigin="1772,2239" coordsize="8336,11949" path="m5940,2239l1772,8213,5940,14188,10108,8213,5940,2239xe" filled="true" fillcolor="#cde5e2" stroked="false">
              <v:path arrowok="t"/>
              <v:fill type="solid"/>
            </v:shape>
            <v:shape style="position:absolute;left:1871;top:2381;width:8137;height:11664" coordorigin="1872,2381" coordsize="8137,11664" path="m5940,2381l1872,8213,5940,14045,10008,8213,5940,2381xe" filled="true" fillcolor="#cee6e3" stroked="false">
              <v:path arrowok="t"/>
              <v:fill type="solid"/>
            </v:shape>
            <v:shape style="position:absolute;left:1970;top:2523;width:7939;height:11380" coordorigin="1971,2524" coordsize="7939,11380" path="m5940,2524l1971,8213,5940,13903,9909,8213,5940,2524xe" filled="true" fillcolor="#cfe6e3" stroked="false">
              <v:path arrowok="t"/>
              <v:fill type="solid"/>
            </v:shape>
            <v:shape style="position:absolute;left:2069;top:2665;width:7740;height:11095" coordorigin="2070,2666" coordsize="7740,11095" path="m5940,2666l2070,8213,5940,13761,9810,8213,5940,2666xe" filled="true" fillcolor="#d0e7e4" stroked="false">
              <v:path arrowok="t"/>
              <v:fill type="solid"/>
            </v:shape>
            <v:shape style="position:absolute;left:2169;top:2808;width:7542;height:10811" coordorigin="2169,2808" coordsize="7542,10811" path="m5940,2808l2169,8213,5940,13619,9711,8213,5940,2808xe" filled="true" fillcolor="#d1e7e4" stroked="false">
              <v:path arrowok="t"/>
              <v:fill type="solid"/>
            </v:shape>
            <v:shape style="position:absolute;left:2268;top:2950;width:7343;height:10526" coordorigin="2268,2950" coordsize="7343,10526" path="m5940,2950l2268,8213,5940,13476,9611,8213,5940,2950xe" filled="true" fillcolor="#d3e8e5" stroked="false">
              <v:path arrowok="t"/>
              <v:fill type="solid"/>
            </v:shape>
            <v:shape style="position:absolute;left:2367;top:3092;width:7145;height:10242" coordorigin="2368,3093" coordsize="7145,10242" path="m5940,3093l2368,8213,5940,13334,9512,8213,5940,3093xe" filled="true" fillcolor="#d4e8e5" stroked="false">
              <v:path arrowok="t"/>
              <v:fill type="solid"/>
            </v:shape>
            <v:shape style="position:absolute;left:2466;top:3234;width:6947;height:9957" coordorigin="2467,3235" coordsize="6947,9957" path="m5940,3235l2467,8213,5940,13192,9413,8213,5940,3235xe" filled="true" fillcolor="#d5e9e6" stroked="false">
              <v:path arrowok="t"/>
              <v:fill type="solid"/>
            </v:shape>
            <v:shape style="position:absolute;left:2566;top:3377;width:6748;height:9673" coordorigin="2566,3377" coordsize="6748,9673" path="m5940,3377l2566,8213,5940,13050,9314,8213,5940,3377xe" filled="true" fillcolor="#d6eae7" stroked="false">
              <v:path arrowok="t"/>
              <v:fill type="solid"/>
            </v:shape>
            <v:shape style="position:absolute;left:2665;top:3519;width:6550;height:9388" coordorigin="2665,3519" coordsize="6550,9388" path="m5940,3519l2665,8213,5940,12907,9214,8213,5940,3519xe" filled="true" fillcolor="#d7eae7" stroked="false">
              <v:path arrowok="t"/>
              <v:fill type="solid"/>
            </v:shape>
            <v:shape style="position:absolute;left:2764;top:3661;width:6351;height:9104" coordorigin="2765,3662" coordsize="6351,9104" path="m5940,3662l2765,8213,5940,12765,9115,8213,5940,3662xe" filled="true" fillcolor="#d8ebe8" stroked="false">
              <v:path arrowok="t"/>
              <v:fill type="solid"/>
            </v:shape>
            <v:shape style="position:absolute;left:2863;top:3803;width:6153;height:8820" coordorigin="2864,3804" coordsize="6153,8820" path="m5940,3804l2864,8213,5940,12623,9016,8213,5940,3804xe" filled="true" fillcolor="#d9ebe8" stroked="false">
              <v:path arrowok="t"/>
              <v:fill type="solid"/>
            </v:shape>
            <v:shape style="position:absolute;left:2963;top:3946;width:5954;height:8535" coordorigin="2963,3946" coordsize="5954,8535" path="m5940,3946l2963,8213,5940,12481,8917,8213,5940,3946xe" filled="true" fillcolor="#daece9" stroked="false">
              <v:path arrowok="t"/>
              <v:fill type="solid"/>
            </v:shape>
            <v:shape style="position:absolute;left:3062;top:4088;width:5756;height:8251" coordorigin="3062,4088" coordsize="5756,8251" path="m5940,4088l3062,8213,5940,12338,8818,8213,5940,4088xe" filled="true" fillcolor="#dbece9" stroked="false">
              <v:path arrowok="t"/>
              <v:fill type="solid"/>
            </v:shape>
            <v:shape style="position:absolute;left:3161;top:4230;width:5557;height:7966" coordorigin="3162,4231" coordsize="5557,7966" path="m5940,4231l3162,8213,5940,12196,8718,8213,5940,4231xe" filled="true" fillcolor="#dcedea" stroked="false">
              <v:path arrowok="t"/>
              <v:fill type="solid"/>
            </v:shape>
            <v:shape style="position:absolute;left:3260;top:4372;width:5359;height:7682" coordorigin="3261,4373" coordsize="5359,7682" path="m5940,4373l3261,8213,5940,12054,8619,8213,5940,4373xe" filled="true" fillcolor="#ddedeb" stroked="false">
              <v:path arrowok="t"/>
              <v:fill type="solid"/>
            </v:shape>
            <v:shape style="position:absolute;left:3359;top:4515;width:5160;height:7397" coordorigin="3360,4515" coordsize="5160,7397" path="m5940,4515l3360,8213,5940,11912,8520,8213,5940,4515xe" filled="true" fillcolor="#deeeeb" stroked="false">
              <v:path arrowok="t"/>
              <v:fill type="solid"/>
            </v:shape>
            <v:shape style="position:absolute;left:3459;top:4657;width:4962;height:7113" coordorigin="3459,4657" coordsize="4962,7113" path="m5940,4657l3459,8213,5940,11769,8421,8213,5940,4657xe" filled="true" fillcolor="#e0efec" stroked="false">
              <v:path arrowok="t"/>
              <v:fill type="solid"/>
            </v:shape>
            <v:shape style="position:absolute;left:3558;top:4799;width:4764;height:6828" coordorigin="3558,4800" coordsize="4764,6828" path="m5940,4800l3558,8213,5940,11627,8321,8213,5940,4800xe" filled="true" fillcolor="#e1efec" stroked="false">
              <v:path arrowok="t"/>
              <v:fill type="solid"/>
            </v:shape>
            <v:shape style="position:absolute;left:3657;top:4941;width:4565;height:6544" coordorigin="3658,4942" coordsize="4565,6544" path="m5940,4942l3658,8213,5940,11485,8222,8213,5940,4942xe" filled="true" fillcolor="#e2f0ed" stroked="false">
              <v:path arrowok="t"/>
              <v:fill type="solid"/>
            </v:shape>
            <v:shape style="position:absolute;left:3756;top:5084;width:4367;height:6259" coordorigin="3757,5084" coordsize="4367,6259" path="m5940,5084l3757,8213,5940,11343,8123,8213,5940,5084xe" filled="true" fillcolor="#e3f0ee" stroked="false">
              <v:path arrowok="t"/>
              <v:fill type="solid"/>
            </v:shape>
            <v:shape style="position:absolute;left:3856;top:5226;width:4168;height:5975" coordorigin="3856,5226" coordsize="4168,5975" path="m5940,5226l3856,8213,5940,11200,8024,8213,5940,5226xe" filled="true" fillcolor="#e4f1ee" stroked="false">
              <v:path arrowok="t"/>
              <v:fill type="solid"/>
            </v:shape>
            <v:shape style="position:absolute;left:3955;top:5368;width:3970;height:5690" coordorigin="3955,5369" coordsize="3970,5690" path="m5940,5369l3955,8213,5940,11058,7925,8213,5940,5369xe" filled="true" fillcolor="#e5f1ef" stroked="false">
              <v:path arrowok="t"/>
              <v:fill type="solid"/>
            </v:shape>
            <v:shape style="position:absolute;left:4054;top:5510;width:3771;height:5406" coordorigin="4055,5511" coordsize="3771,5406" path="m5940,5511l4055,8213,5940,10916,7825,8213,5940,5511xe" filled="true" fillcolor="#e6f2ef" stroked="false">
              <v:path arrowok="t"/>
              <v:fill type="solid"/>
            </v:shape>
            <v:shape style="position:absolute;left:4153;top:5653;width:3573;height:5121" coordorigin="4154,5653" coordsize="3573,5121" path="m5940,5653l4154,8213,5940,10774,7726,8213,5940,5653xe" filled="true" fillcolor="#e7f3f0" stroked="false">
              <v:path arrowok="t"/>
              <v:fill type="solid"/>
            </v:shape>
            <v:shape style="position:absolute;left:4253;top:5795;width:3374;height:4837" coordorigin="4253,5795" coordsize="3374,4837" path="m5940,5795l4253,8213,5940,10632,7627,8213,5940,5795xe" filled="true" fillcolor="#e9f3f1" stroked="false">
              <v:path arrowok="t"/>
              <v:fill type="solid"/>
            </v:shape>
            <v:shape style="position:absolute;left:4352;top:5937;width:3176;height:4552" coordorigin="4352,5938" coordsize="3176,4552" path="m5940,5938l4352,8213,5940,10489,7528,8213,5940,5938xe" filled="true" fillcolor="#eaf4f2" stroked="false">
              <v:path arrowok="t"/>
              <v:fill type="solid"/>
            </v:shape>
            <v:shape style="position:absolute;left:4451;top:6079;width:2977;height:4268" coordorigin="4451,6080" coordsize="2977,4268" path="m5940,6080l4451,8213,5940,10347,7428,8213,5940,6080xe" filled="true" fillcolor="#ebf4f2" stroked="false">
              <v:path arrowok="t"/>
              <v:fill type="solid"/>
            </v:shape>
            <v:shape style="position:absolute;left:4550;top:6222;width:2779;height:3983" coordorigin="4551,6222" coordsize="2779,3983" path="m5940,6222l4551,8213,5940,10205,7329,8213,5940,6222xe" filled="true" fillcolor="#ecf5f3" stroked="false">
              <v:path arrowok="t"/>
              <v:fill type="solid"/>
            </v:shape>
            <v:shape style="position:absolute;left:4649;top:6364;width:2580;height:3699" coordorigin="4650,6364" coordsize="2580,3699" path="m5940,6364l4650,8213,5940,10063,7230,8213,5940,6364xe" filled="true" fillcolor="#edf6f4" stroked="false">
              <v:path arrowok="t"/>
              <v:fill type="solid"/>
            </v:shape>
            <v:shape style="position:absolute;left:4749;top:6506;width:2382;height:3414" coordorigin="4749,6506" coordsize="2382,3414" path="m5940,6506l4749,8213,5940,9920,7131,8213,5940,6506xe" filled="true" fillcolor="#eff7f5" stroked="false">
              <v:path arrowok="t"/>
              <v:fill type="solid"/>
            </v:shape>
            <v:shape style="position:absolute;left:4848;top:6648;width:2184;height:3130" coordorigin="4848,6649" coordsize="2184,3130" path="m5940,6649l4848,8213,5940,9778,7031,8213,5940,6649xe" filled="true" fillcolor="#f0f7f5" stroked="false">
              <v:path arrowok="t"/>
              <v:fill type="solid"/>
            </v:shape>
            <v:shape style="position:absolute;left:4947;top:6790;width:1985;height:2845" coordorigin="4948,6791" coordsize="1985,2845" path="m5940,6791l4948,8213,5940,9636,6932,8213,5940,6791xe" filled="true" fillcolor="#f1f8f6" stroked="false">
              <v:path arrowok="t"/>
              <v:fill type="solid"/>
            </v:shape>
            <v:shape style="position:absolute;left:5046;top:6933;width:1787;height:2561" coordorigin="5047,6933" coordsize="1787,2561" path="m5940,6933l5047,8213,5940,9494,6833,8213,5940,6933xe" filled="true" fillcolor="#f2f8f7" stroked="false">
              <v:path arrowok="t"/>
              <v:fill type="solid"/>
            </v:shape>
            <v:shape style="position:absolute;left:5146;top:7075;width:1588;height:2276" coordorigin="5146,7075" coordsize="1588,2276" path="m5940,7075l5146,8213,5940,9351,6734,8213,5940,7075xe" filled="true" fillcolor="#f3f9f8" stroked="false">
              <v:path arrowok="t"/>
              <v:fill type="solid"/>
            </v:shape>
            <v:shape style="position:absolute;left:5245;top:7217;width:1390;height:1992" coordorigin="5245,7218" coordsize="1390,1992" path="m5940,7218l5245,8213,5940,9209,6635,8213,5940,7218xe" filled="true" fillcolor="#f5f9f8" stroked="false">
              <v:path arrowok="t"/>
              <v:fill type="solid"/>
            </v:shape>
            <v:shape style="position:absolute;left:5344;top:7359;width:1191;height:1707" coordorigin="5345,7360" coordsize="1191,1707" path="m5940,7360l5345,8213,5940,9067,6535,8213,5940,7360xe" filled="true" fillcolor="#f6faf9" stroked="false">
              <v:path arrowok="t"/>
              <v:fill type="solid"/>
            </v:shape>
            <v:shape style="position:absolute;left:5443;top:7502;width:993;height:1423" coordorigin="5444,7502" coordsize="993,1423" path="m5940,7502l5444,8213,5940,8925,6436,8213,5940,7502xe" filled="true" fillcolor="#f8fbfa" stroked="false">
              <v:path arrowok="t"/>
              <v:fill type="solid"/>
            </v:shape>
            <v:shape style="position:absolute;left:5543;top:7644;width:794;height:1138" coordorigin="5543,7644" coordsize="794,1138" path="m5940,7644l5543,8213,5940,8782,6337,8213,5940,7644xe" filled="true" fillcolor="#f9fcfc" stroked="false">
              <v:path arrowok="t"/>
              <v:fill type="solid"/>
            </v:shape>
            <v:shape style="position:absolute;left:5642;top:7786;width:596;height:854" coordorigin="5642,7787" coordsize="596,854" path="m5940,7787l5642,8213,5940,8640,6238,8213,5940,7787xe" filled="true" fillcolor="#fbfdfd" stroked="false">
              <v:path arrowok="t"/>
              <v:fill type="solid"/>
            </v:shape>
            <v:shape style="position:absolute;left:5741;top:7928;width:397;height:569" coordorigin="5741,7929" coordsize="397,569" path="m5940,7929l5741,8213,5940,8498,6138,8213,5940,7929xe" filled="true" fillcolor="#fdfefe" stroked="false">
              <v:path arrowok="t"/>
              <v:fill type="solid"/>
            </v:shape>
            <v:shape style="position:absolute;left:5840;top:8071;width:199;height:285" coordorigin="5841,8071" coordsize="199,285" path="m5940,8071l5841,8213,5940,8356,6039,8213,5940,8071xe" filled="true" fillcolor="#ffffff" stroked="false">
              <v:path arrowok="t"/>
              <v:fill type="solid"/>
            </v:shape>
            <v:rect style="position:absolute;left:790;top:826;width:10300;height:14774" filled="false" stroked="true" strokeweight="1pt" strokecolor="#009483">
              <v:stroke dashstyle="solid"/>
            </v:rect>
            <v:rect style="position:absolute;left:6135;top:10988;width:4700;height:3730" filled="true" fillcolor="#ffffff" stroked="false">
              <v:fill type="solid"/>
            </v:rect>
            <v:shape style="position:absolute;left:995;top:10980;width:9848;height:3900" coordorigin="995,10980" coordsize="9848,3900" path="m995,14880l10842,14880m7270,12580l8330,12580m6130,10980l10827,10980e" filled="false" stroked="true" strokeweight=".125pt" strokecolor="#231f20">
              <v:path arrowok="t"/>
              <v:stroke dashstyle="solid"/>
            </v:shape>
            <v:shape style="position:absolute;left:6155;top:10969;width:4681;height:1569" type="#_x0000_t202" filled="false" stroked="false">
              <v:textbox inset="0,0,0,0">
                <w:txbxContent>
                  <w:p>
                    <w:pPr>
                      <w:spacing w:line="249" w:lineRule="auto" w:before="0"/>
                      <w:ind w:left="0" w:right="33" w:firstLine="0"/>
                      <w:jc w:val="left"/>
                      <w:rPr>
                        <w:b/>
                        <w:sz w:val="20"/>
                      </w:rPr>
                    </w:pPr>
                    <w:r>
                      <w:rPr>
                        <w:b/>
                        <w:color w:val="0093C1"/>
                        <w:sz w:val="20"/>
                      </w:rPr>
                      <w:t>Revisions to IMF, O</w:t>
                    </w:r>
                    <w:r>
                      <w:rPr>
                        <w:b/>
                        <w:color w:val="0093C1"/>
                        <w:sz w:val="16"/>
                      </w:rPr>
                      <w:t>ECD </w:t>
                    </w:r>
                    <w:r>
                      <w:rPr>
                        <w:b/>
                        <w:color w:val="0093C1"/>
                        <w:sz w:val="20"/>
                      </w:rPr>
                      <w:t>and </w:t>
                    </w:r>
                    <w:r>
                      <w:rPr>
                        <w:b/>
                        <w:i/>
                        <w:color w:val="0093C1"/>
                        <w:sz w:val="20"/>
                      </w:rPr>
                      <w:t>Economist </w:t>
                    </w:r>
                    <w:r>
                      <w:rPr>
                        <w:b/>
                        <w:color w:val="0093C1"/>
                        <w:sz w:val="20"/>
                      </w:rPr>
                      <w:t>GDP forecasts for 1998</w:t>
                    </w:r>
                  </w:p>
                  <w:p>
                    <w:pPr>
                      <w:spacing w:before="89"/>
                      <w:ind w:left="0" w:right="0" w:firstLine="0"/>
                      <w:jc w:val="left"/>
                      <w:rPr>
                        <w:sz w:val="14"/>
                      </w:rPr>
                    </w:pPr>
                    <w:r>
                      <w:rPr>
                        <w:color w:val="231F20"/>
                        <w:sz w:val="14"/>
                      </w:rPr>
                      <w:t>Percentage points</w:t>
                    </w:r>
                  </w:p>
                  <w:p>
                    <w:pPr>
                      <w:tabs>
                        <w:tab w:pos="2339" w:val="left" w:leader="none"/>
                      </w:tabs>
                      <w:spacing w:line="208" w:lineRule="auto" w:before="136"/>
                      <w:ind w:left="1120" w:right="33" w:firstLine="0"/>
                      <w:jc w:val="left"/>
                      <w:rPr>
                        <w:i/>
                        <w:sz w:val="14"/>
                      </w:rPr>
                    </w:pPr>
                    <w:r>
                      <w:rPr>
                        <w:color w:val="231F20"/>
                        <w:sz w:val="14"/>
                      </w:rPr>
                      <w:t>Difference between Difference between Difference </w:t>
                    </w:r>
                    <w:r>
                      <w:rPr>
                        <w:color w:val="231F20"/>
                        <w:spacing w:val="-3"/>
                        <w:sz w:val="14"/>
                      </w:rPr>
                      <w:t>between </w:t>
                    </w:r>
                    <w:r>
                      <w:rPr>
                        <w:color w:val="231F20"/>
                        <w:sz w:val="14"/>
                      </w:rPr>
                      <w:t>OECD December</w:t>
                      <w:tab/>
                      <w:t>IMF December and</w:t>
                    </w:r>
                    <w:r>
                      <w:rPr>
                        <w:color w:val="231F20"/>
                        <w:spacing w:val="18"/>
                        <w:sz w:val="14"/>
                      </w:rPr>
                      <w:t> </w:t>
                    </w:r>
                    <w:r>
                      <w:rPr>
                        <w:i/>
                        <w:color w:val="231F20"/>
                        <w:sz w:val="14"/>
                      </w:rPr>
                      <w:t>Economist</w:t>
                    </w:r>
                  </w:p>
                  <w:p>
                    <w:pPr>
                      <w:tabs>
                        <w:tab w:pos="2440" w:val="left" w:leader="none"/>
                      </w:tabs>
                      <w:spacing w:line="133" w:lineRule="exact" w:before="0"/>
                      <w:ind w:left="0" w:right="130" w:firstLine="0"/>
                      <w:jc w:val="right"/>
                      <w:rPr>
                        <w:sz w:val="14"/>
                      </w:rPr>
                    </w:pPr>
                    <w:r>
                      <w:rPr>
                        <w:color w:val="231F20"/>
                        <w:sz w:val="14"/>
                      </w:rPr>
                      <w:t>and June forecasts    </w:t>
                    </w:r>
                    <w:r>
                      <w:rPr>
                        <w:color w:val="231F20"/>
                        <w:spacing w:val="18"/>
                        <w:sz w:val="14"/>
                      </w:rPr>
                      <w:t> </w:t>
                    </w:r>
                    <w:r>
                      <w:rPr>
                        <w:color w:val="231F20"/>
                        <w:sz w:val="14"/>
                      </w:rPr>
                      <w:t>May forecasts</w:t>
                      <w:tab/>
                      <w:t>January 1998 and</w:t>
                    </w:r>
                  </w:p>
                  <w:p>
                    <w:pPr>
                      <w:spacing w:line="140" w:lineRule="exact" w:before="0"/>
                      <w:ind w:left="0" w:right="142" w:firstLine="0"/>
                      <w:jc w:val="right"/>
                      <w:rPr>
                        <w:sz w:val="14"/>
                      </w:rPr>
                    </w:pPr>
                    <w:r>
                      <w:rPr>
                        <w:color w:val="231F20"/>
                        <w:sz w:val="14"/>
                      </w:rPr>
                      <w:t>May 1997 poll of</w:t>
                    </w:r>
                  </w:p>
                  <w:p>
                    <w:pPr>
                      <w:tabs>
                        <w:tab w:pos="3434" w:val="left" w:leader="none"/>
                        <w:tab w:pos="4659" w:val="left" w:leader="none"/>
                      </w:tabs>
                      <w:spacing w:line="150" w:lineRule="exact" w:before="0"/>
                      <w:ind w:left="2335" w:right="0" w:firstLine="0"/>
                      <w:jc w:val="left"/>
                      <w:rPr>
                        <w:sz w:val="14"/>
                      </w:rPr>
                    </w:pPr>
                    <w:r>
                      <w:rPr>
                        <w:color w:val="231F20"/>
                        <w:sz w:val="14"/>
                        <w:u w:val="single" w:color="231F20"/>
                      </w:rPr>
                      <w:t> </w:t>
                      <w:tab/>
                    </w:r>
                    <w:r>
                      <w:rPr>
                        <w:color w:val="231F20"/>
                        <w:sz w:val="14"/>
                      </w:rPr>
                      <w:t>   </w:t>
                    </w:r>
                    <w:r>
                      <w:rPr>
                        <w:color w:val="231F20"/>
                        <w:spacing w:val="-15"/>
                        <w:sz w:val="14"/>
                      </w:rPr>
                      <w:t> </w:t>
                    </w:r>
                    <w:r>
                      <w:rPr>
                        <w:color w:val="231F20"/>
                        <w:sz w:val="14"/>
                        <w:u w:val="single" w:color="231F20"/>
                      </w:rPr>
                      <w:t>forecasters (a)</w:t>
                      <w:tab/>
                    </w:r>
                  </w:p>
                </w:txbxContent>
              </v:textbox>
              <w10:wrap type="none"/>
            </v:shape>
            <v:shape style="position:absolute;left:6155;top:12663;width:1241;height:1556" type="#_x0000_t202" filled="false" stroked="false">
              <v:textbox inset="0,0,0,0">
                <w:txbxContent>
                  <w:p>
                    <w:pPr>
                      <w:spacing w:line="145" w:lineRule="exact" w:before="0"/>
                      <w:ind w:left="0" w:right="0" w:firstLine="0"/>
                      <w:jc w:val="left"/>
                      <w:rPr>
                        <w:sz w:val="14"/>
                      </w:rPr>
                    </w:pPr>
                    <w:r>
                      <w:rPr>
                        <w:color w:val="231F20"/>
                        <w:sz w:val="14"/>
                      </w:rPr>
                      <w:t>G7</w:t>
                    </w:r>
                  </w:p>
                  <w:p>
                    <w:pPr>
                      <w:spacing w:line="208" w:lineRule="auto" w:before="6"/>
                      <w:ind w:left="0" w:right="359" w:firstLine="0"/>
                      <w:jc w:val="left"/>
                      <w:rPr>
                        <w:sz w:val="14"/>
                      </w:rPr>
                    </w:pPr>
                    <w:r>
                      <w:rPr>
                        <w:color w:val="231F20"/>
                        <w:sz w:val="14"/>
                      </w:rPr>
                      <w:t>United </w:t>
                    </w:r>
                    <w:r>
                      <w:rPr>
                        <w:color w:val="231F20"/>
                        <w:spacing w:val="-3"/>
                        <w:sz w:val="14"/>
                      </w:rPr>
                      <w:t>States </w:t>
                    </w:r>
                    <w:r>
                      <w:rPr>
                        <w:color w:val="231F20"/>
                        <w:sz w:val="14"/>
                      </w:rPr>
                      <w:t>Germany France</w:t>
                    </w:r>
                  </w:p>
                  <w:p>
                    <w:pPr>
                      <w:spacing w:line="208" w:lineRule="auto" w:before="0"/>
                      <w:ind w:left="0" w:right="902" w:firstLine="0"/>
                      <w:jc w:val="left"/>
                      <w:rPr>
                        <w:sz w:val="14"/>
                      </w:rPr>
                    </w:pPr>
                    <w:r>
                      <w:rPr>
                        <w:color w:val="231F20"/>
                        <w:sz w:val="14"/>
                      </w:rPr>
                      <w:t>Italy Japan</w:t>
                    </w:r>
                  </w:p>
                  <w:p>
                    <w:pPr>
                      <w:spacing w:line="208" w:lineRule="auto" w:before="0"/>
                      <w:ind w:left="0" w:right="293" w:firstLine="0"/>
                      <w:jc w:val="left"/>
                      <w:rPr>
                        <w:sz w:val="14"/>
                      </w:rPr>
                    </w:pPr>
                    <w:r>
                      <w:rPr>
                        <w:color w:val="231F20"/>
                        <w:sz w:val="14"/>
                      </w:rPr>
                      <w:t>United Kingdom Asian NIEs ASEAN-4</w:t>
                    </w:r>
                  </w:p>
                  <w:p>
                    <w:pPr>
                      <w:spacing w:line="208" w:lineRule="auto" w:before="0"/>
                      <w:ind w:left="70" w:right="0" w:hanging="70"/>
                      <w:jc w:val="left"/>
                      <w:rPr>
                        <w:sz w:val="14"/>
                      </w:rPr>
                    </w:pPr>
                    <w:r>
                      <w:rPr>
                        <w:color w:val="231F20"/>
                        <w:sz w:val="14"/>
                      </w:rPr>
                      <w:t>World trade volume (goods and services)</w:t>
                    </w:r>
                  </w:p>
                </w:txbxContent>
              </v:textbox>
              <w10:wrap type="none"/>
            </v:shape>
            <v:shape style="position:absolute;left:7613;top:12663;width:242;height:1416" type="#_x0000_t202" filled="false" stroked="false">
              <v:textbox inset="0,0,0,0">
                <w:txbxContent>
                  <w:p>
                    <w:pPr>
                      <w:spacing w:line="145" w:lineRule="exact" w:before="0"/>
                      <w:ind w:left="46" w:right="0" w:firstLine="0"/>
                      <w:jc w:val="left"/>
                      <w:rPr>
                        <w:sz w:val="14"/>
                      </w:rPr>
                    </w:pPr>
                    <w:r>
                      <w:rPr>
                        <w:color w:val="231F20"/>
                        <w:sz w:val="14"/>
                      </w:rPr>
                      <w:t>0.1</w:t>
                    </w:r>
                  </w:p>
                  <w:p>
                    <w:pPr>
                      <w:spacing w:line="140" w:lineRule="exact" w:before="0"/>
                      <w:ind w:left="46" w:right="0" w:firstLine="0"/>
                      <w:jc w:val="left"/>
                      <w:rPr>
                        <w:sz w:val="14"/>
                      </w:rPr>
                    </w:pPr>
                    <w:r>
                      <w:rPr>
                        <w:color w:val="231F20"/>
                        <w:sz w:val="14"/>
                      </w:rPr>
                      <w:t>0.7</w:t>
                    </w:r>
                  </w:p>
                  <w:p>
                    <w:pPr>
                      <w:spacing w:line="140" w:lineRule="exact" w:before="0"/>
                      <w:ind w:left="46" w:right="0" w:firstLine="0"/>
                      <w:jc w:val="left"/>
                      <w:rPr>
                        <w:sz w:val="14"/>
                      </w:rPr>
                    </w:pPr>
                    <w:r>
                      <w:rPr>
                        <w:color w:val="231F20"/>
                        <w:sz w:val="14"/>
                      </w:rPr>
                      <w:t>0.1</w:t>
                    </w:r>
                  </w:p>
                  <w:p>
                    <w:pPr>
                      <w:spacing w:line="140" w:lineRule="exact" w:before="0"/>
                      <w:ind w:left="46" w:right="0" w:firstLine="0"/>
                      <w:jc w:val="left"/>
                      <w:rPr>
                        <w:sz w:val="14"/>
                      </w:rPr>
                    </w:pPr>
                    <w:r>
                      <w:rPr>
                        <w:color w:val="231F20"/>
                        <w:sz w:val="14"/>
                      </w:rPr>
                      <w:t>0.1</w:t>
                    </w:r>
                  </w:p>
                  <w:p>
                    <w:pPr>
                      <w:spacing w:line="140" w:lineRule="exact" w:before="0"/>
                      <w:ind w:left="46" w:right="0" w:firstLine="0"/>
                      <w:jc w:val="left"/>
                      <w:rPr>
                        <w:sz w:val="14"/>
                      </w:rPr>
                    </w:pPr>
                    <w:r>
                      <w:rPr>
                        <w:color w:val="231F20"/>
                        <w:sz w:val="14"/>
                      </w:rPr>
                      <w:t>0.3</w:t>
                    </w:r>
                  </w:p>
                  <w:p>
                    <w:pPr>
                      <w:spacing w:line="140" w:lineRule="exact" w:before="0"/>
                      <w:ind w:left="0" w:right="0" w:firstLine="0"/>
                      <w:jc w:val="left"/>
                      <w:rPr>
                        <w:sz w:val="14"/>
                      </w:rPr>
                    </w:pPr>
                    <w:r>
                      <w:rPr>
                        <w:color w:val="231F20"/>
                        <w:sz w:val="14"/>
                      </w:rPr>
                      <w:t>-1.2</w:t>
                    </w:r>
                  </w:p>
                  <w:p>
                    <w:pPr>
                      <w:spacing w:line="140" w:lineRule="exact" w:before="0"/>
                      <w:ind w:left="0" w:right="0" w:firstLine="0"/>
                      <w:jc w:val="left"/>
                      <w:rPr>
                        <w:sz w:val="14"/>
                      </w:rPr>
                    </w:pPr>
                    <w:r>
                      <w:rPr>
                        <w:color w:val="231F20"/>
                        <w:sz w:val="14"/>
                      </w:rPr>
                      <w:t>-0.5</w:t>
                    </w:r>
                  </w:p>
                  <w:p>
                    <w:pPr>
                      <w:spacing w:line="140" w:lineRule="exact" w:before="0"/>
                      <w:ind w:left="19" w:right="0" w:firstLine="0"/>
                      <w:jc w:val="left"/>
                      <w:rPr>
                        <w:sz w:val="14"/>
                      </w:rPr>
                    </w:pPr>
                    <w:r>
                      <w:rPr>
                        <w:color w:val="231F20"/>
                        <w:sz w:val="14"/>
                      </w:rPr>
                      <w:t>n.a.</w:t>
                    </w:r>
                  </w:p>
                  <w:p>
                    <w:pPr>
                      <w:spacing w:line="140" w:lineRule="exact" w:before="0"/>
                      <w:ind w:left="19" w:right="0" w:firstLine="0"/>
                      <w:jc w:val="left"/>
                      <w:rPr>
                        <w:sz w:val="14"/>
                      </w:rPr>
                    </w:pPr>
                    <w:r>
                      <w:rPr>
                        <w:color w:val="231F20"/>
                        <w:sz w:val="14"/>
                      </w:rPr>
                      <w:t>n.a.</w:t>
                    </w:r>
                  </w:p>
                  <w:p>
                    <w:pPr>
                      <w:spacing w:line="150" w:lineRule="exact" w:before="0"/>
                      <w:ind w:left="0" w:right="0" w:firstLine="0"/>
                      <w:jc w:val="left"/>
                      <w:rPr>
                        <w:sz w:val="14"/>
                      </w:rPr>
                    </w:pPr>
                    <w:r>
                      <w:rPr>
                        <w:color w:val="231F20"/>
                        <w:sz w:val="14"/>
                      </w:rPr>
                      <w:t>-0.2</w:t>
                    </w:r>
                  </w:p>
                </w:txbxContent>
              </v:textbox>
              <w10:wrap type="none"/>
            </v:shape>
            <v:shape style="position:absolute;left:8953;top:12663;width:242;height:1416" type="#_x0000_t202" filled="false" stroked="false">
              <v:textbox inset="0,0,0,0">
                <w:txbxContent>
                  <w:p>
                    <w:pPr>
                      <w:spacing w:line="145" w:lineRule="exact" w:before="0"/>
                      <w:ind w:left="0" w:right="0" w:firstLine="0"/>
                      <w:jc w:val="left"/>
                      <w:rPr>
                        <w:sz w:val="14"/>
                      </w:rPr>
                    </w:pPr>
                    <w:r>
                      <w:rPr>
                        <w:color w:val="231F20"/>
                        <w:sz w:val="14"/>
                      </w:rPr>
                      <w:t>-0.3</w:t>
                    </w:r>
                  </w:p>
                  <w:p>
                    <w:pPr>
                      <w:spacing w:line="140" w:lineRule="exact" w:before="0"/>
                      <w:ind w:left="46" w:right="0" w:firstLine="0"/>
                      <w:jc w:val="left"/>
                      <w:rPr>
                        <w:sz w:val="14"/>
                      </w:rPr>
                    </w:pPr>
                    <w:r>
                      <w:rPr>
                        <w:color w:val="231F20"/>
                        <w:sz w:val="14"/>
                      </w:rPr>
                      <w:t>0.2</w:t>
                    </w:r>
                  </w:p>
                  <w:p>
                    <w:pPr>
                      <w:spacing w:line="140" w:lineRule="exact" w:before="0"/>
                      <w:ind w:left="0" w:right="0" w:firstLine="0"/>
                      <w:jc w:val="left"/>
                      <w:rPr>
                        <w:sz w:val="14"/>
                      </w:rPr>
                    </w:pPr>
                    <w:r>
                      <w:rPr>
                        <w:color w:val="231F20"/>
                        <w:sz w:val="14"/>
                      </w:rPr>
                      <w:t>-0.4</w:t>
                    </w:r>
                  </w:p>
                  <w:p>
                    <w:pPr>
                      <w:spacing w:line="140" w:lineRule="exact" w:before="0"/>
                      <w:ind w:left="0" w:right="0" w:firstLine="0"/>
                      <w:jc w:val="left"/>
                      <w:rPr>
                        <w:sz w:val="14"/>
                      </w:rPr>
                    </w:pPr>
                    <w:r>
                      <w:rPr>
                        <w:color w:val="231F20"/>
                        <w:sz w:val="14"/>
                      </w:rPr>
                      <w:t>-0.3</w:t>
                    </w:r>
                  </w:p>
                  <w:p>
                    <w:pPr>
                      <w:spacing w:line="140" w:lineRule="exact" w:before="0"/>
                      <w:ind w:left="0" w:right="0" w:firstLine="0"/>
                      <w:jc w:val="left"/>
                      <w:rPr>
                        <w:sz w:val="14"/>
                      </w:rPr>
                    </w:pPr>
                    <w:r>
                      <w:rPr>
                        <w:color w:val="231F20"/>
                        <w:sz w:val="14"/>
                      </w:rPr>
                      <w:t>-0.1</w:t>
                    </w:r>
                  </w:p>
                  <w:p>
                    <w:pPr>
                      <w:spacing w:line="140" w:lineRule="exact" w:before="0"/>
                      <w:ind w:left="0" w:right="0" w:firstLine="0"/>
                      <w:jc w:val="left"/>
                      <w:rPr>
                        <w:sz w:val="14"/>
                      </w:rPr>
                    </w:pPr>
                    <w:r>
                      <w:rPr>
                        <w:color w:val="231F20"/>
                        <w:sz w:val="14"/>
                      </w:rPr>
                      <w:t>-1.8</w:t>
                    </w:r>
                  </w:p>
                  <w:p>
                    <w:pPr>
                      <w:spacing w:line="140" w:lineRule="exact" w:before="0"/>
                      <w:ind w:left="0" w:right="0" w:firstLine="0"/>
                      <w:jc w:val="left"/>
                      <w:rPr>
                        <w:sz w:val="14"/>
                      </w:rPr>
                    </w:pPr>
                    <w:r>
                      <w:rPr>
                        <w:color w:val="231F20"/>
                        <w:sz w:val="14"/>
                      </w:rPr>
                      <w:t>-0.4</w:t>
                    </w:r>
                  </w:p>
                  <w:p>
                    <w:pPr>
                      <w:spacing w:line="140" w:lineRule="exact" w:before="0"/>
                      <w:ind w:left="0" w:right="0" w:firstLine="0"/>
                      <w:jc w:val="left"/>
                      <w:rPr>
                        <w:sz w:val="14"/>
                      </w:rPr>
                    </w:pPr>
                    <w:r>
                      <w:rPr>
                        <w:color w:val="231F20"/>
                        <w:sz w:val="14"/>
                      </w:rPr>
                      <w:t>-2.5</w:t>
                    </w:r>
                  </w:p>
                  <w:p>
                    <w:pPr>
                      <w:spacing w:line="140" w:lineRule="exact" w:before="0"/>
                      <w:ind w:left="19" w:right="0" w:firstLine="0"/>
                      <w:jc w:val="left"/>
                      <w:rPr>
                        <w:sz w:val="14"/>
                      </w:rPr>
                    </w:pPr>
                    <w:r>
                      <w:rPr>
                        <w:color w:val="231F20"/>
                        <w:sz w:val="14"/>
                      </w:rPr>
                      <w:t>n.a.</w:t>
                    </w:r>
                  </w:p>
                  <w:p>
                    <w:pPr>
                      <w:spacing w:line="150" w:lineRule="exact" w:before="0"/>
                      <w:ind w:left="0" w:right="0" w:firstLine="0"/>
                      <w:jc w:val="left"/>
                      <w:rPr>
                        <w:sz w:val="14"/>
                      </w:rPr>
                    </w:pPr>
                    <w:r>
                      <w:rPr>
                        <w:color w:val="231F20"/>
                        <w:sz w:val="14"/>
                      </w:rPr>
                      <w:t>-0.6</w:t>
                    </w:r>
                  </w:p>
                </w:txbxContent>
              </v:textbox>
              <w10:wrap type="none"/>
            </v:shape>
            <v:shape style="position:absolute;left:10333;top:12663;width:242;height:1416" type="#_x0000_t202" filled="false" stroked="false">
              <v:textbox inset="0,0,0,0">
                <w:txbxContent>
                  <w:p>
                    <w:pPr>
                      <w:spacing w:line="208" w:lineRule="auto" w:before="11"/>
                      <w:ind w:left="46" w:right="0" w:hanging="27"/>
                      <w:jc w:val="left"/>
                      <w:rPr>
                        <w:sz w:val="14"/>
                      </w:rPr>
                    </w:pPr>
                    <w:r>
                      <w:rPr>
                        <w:color w:val="231F20"/>
                        <w:sz w:val="14"/>
                      </w:rPr>
                      <w:t>n.a. 0.7</w:t>
                    </w:r>
                  </w:p>
                  <w:p>
                    <w:pPr>
                      <w:spacing w:line="133" w:lineRule="exact" w:before="0"/>
                      <w:ind w:left="46" w:right="0" w:firstLine="0"/>
                      <w:jc w:val="left"/>
                      <w:rPr>
                        <w:sz w:val="14"/>
                      </w:rPr>
                    </w:pPr>
                    <w:r>
                      <w:rPr>
                        <w:color w:val="231F20"/>
                        <w:sz w:val="14"/>
                      </w:rPr>
                      <w:t>0.1</w:t>
                    </w:r>
                  </w:p>
                  <w:p>
                    <w:pPr>
                      <w:spacing w:line="140" w:lineRule="exact" w:before="0"/>
                      <w:ind w:left="46" w:right="0" w:firstLine="0"/>
                      <w:jc w:val="left"/>
                      <w:rPr>
                        <w:sz w:val="14"/>
                      </w:rPr>
                    </w:pPr>
                    <w:r>
                      <w:rPr>
                        <w:color w:val="231F20"/>
                        <w:sz w:val="14"/>
                      </w:rPr>
                      <w:t>0.0</w:t>
                    </w:r>
                  </w:p>
                  <w:p>
                    <w:pPr>
                      <w:spacing w:line="140" w:lineRule="exact" w:before="0"/>
                      <w:ind w:left="46" w:right="0" w:firstLine="0"/>
                      <w:jc w:val="left"/>
                      <w:rPr>
                        <w:sz w:val="14"/>
                      </w:rPr>
                    </w:pPr>
                    <w:r>
                      <w:rPr>
                        <w:color w:val="231F20"/>
                        <w:sz w:val="14"/>
                      </w:rPr>
                      <w:t>0.2</w:t>
                    </w:r>
                  </w:p>
                  <w:p>
                    <w:pPr>
                      <w:spacing w:line="140" w:lineRule="exact" w:before="0"/>
                      <w:ind w:left="0" w:right="0" w:firstLine="0"/>
                      <w:jc w:val="left"/>
                      <w:rPr>
                        <w:sz w:val="14"/>
                      </w:rPr>
                    </w:pPr>
                    <w:r>
                      <w:rPr>
                        <w:color w:val="231F20"/>
                        <w:sz w:val="14"/>
                      </w:rPr>
                      <w:t>-1.6</w:t>
                    </w:r>
                  </w:p>
                  <w:p>
                    <w:pPr>
                      <w:spacing w:line="140" w:lineRule="exact" w:before="0"/>
                      <w:ind w:left="0" w:right="0" w:firstLine="0"/>
                      <w:jc w:val="left"/>
                      <w:rPr>
                        <w:sz w:val="14"/>
                      </w:rPr>
                    </w:pPr>
                    <w:r>
                      <w:rPr>
                        <w:color w:val="231F20"/>
                        <w:sz w:val="14"/>
                      </w:rPr>
                      <w:t>-0.1</w:t>
                    </w:r>
                  </w:p>
                  <w:p>
                    <w:pPr>
                      <w:spacing w:line="140" w:lineRule="exact" w:before="0"/>
                      <w:ind w:left="19" w:right="0" w:firstLine="0"/>
                      <w:jc w:val="left"/>
                      <w:rPr>
                        <w:sz w:val="14"/>
                      </w:rPr>
                    </w:pPr>
                    <w:r>
                      <w:rPr>
                        <w:color w:val="231F20"/>
                        <w:sz w:val="14"/>
                      </w:rPr>
                      <w:t>n.a.</w:t>
                    </w:r>
                  </w:p>
                  <w:p>
                    <w:pPr>
                      <w:spacing w:line="140" w:lineRule="exact" w:before="0"/>
                      <w:ind w:left="19" w:right="0" w:firstLine="0"/>
                      <w:jc w:val="left"/>
                      <w:rPr>
                        <w:sz w:val="14"/>
                      </w:rPr>
                    </w:pPr>
                    <w:r>
                      <w:rPr>
                        <w:color w:val="231F20"/>
                        <w:sz w:val="14"/>
                      </w:rPr>
                      <w:t>n.a.</w:t>
                    </w:r>
                  </w:p>
                  <w:p>
                    <w:pPr>
                      <w:spacing w:line="150" w:lineRule="exact" w:before="0"/>
                      <w:ind w:left="19" w:right="0" w:firstLine="0"/>
                      <w:jc w:val="left"/>
                      <w:rPr>
                        <w:sz w:val="14"/>
                      </w:rPr>
                    </w:pPr>
                    <w:r>
                      <w:rPr>
                        <w:color w:val="231F20"/>
                        <w:sz w:val="14"/>
                      </w:rPr>
                      <w:t>n.a.</w:t>
                    </w:r>
                  </w:p>
                </w:txbxContent>
              </v:textbox>
              <w10:wrap type="none"/>
            </v:shape>
            <v:shape style="position:absolute;left:6155;top:14321;width:2073;height:373" type="#_x0000_t202" filled="false" stroked="false">
              <v:textbox inset="0,0,0,0">
                <w:txbxContent>
                  <w:p>
                    <w:pPr>
                      <w:spacing w:line="133" w:lineRule="exact" w:before="0"/>
                      <w:ind w:left="0" w:right="0" w:firstLine="0"/>
                      <w:jc w:val="left"/>
                      <w:rPr>
                        <w:sz w:val="12"/>
                      </w:rPr>
                    </w:pPr>
                    <w:r>
                      <w:rPr>
                        <w:color w:val="231F20"/>
                        <w:sz w:val="12"/>
                      </w:rPr>
                      <w:t>Sources: IMF, OECD and </w:t>
                    </w:r>
                    <w:r>
                      <w:rPr>
                        <w:i/>
                        <w:color w:val="231F20"/>
                        <w:sz w:val="12"/>
                      </w:rPr>
                      <w:t>The Economist</w:t>
                    </w:r>
                    <w:r>
                      <w:rPr>
                        <w:color w:val="231F20"/>
                        <w:sz w:val="12"/>
                      </w:rPr>
                      <w:t>.</w:t>
                    </w:r>
                  </w:p>
                  <w:p>
                    <w:pPr>
                      <w:spacing w:before="102"/>
                      <w:ind w:left="0" w:right="0" w:firstLine="0"/>
                      <w:jc w:val="left"/>
                      <w:rPr>
                        <w:sz w:val="12"/>
                      </w:rPr>
                    </w:pPr>
                    <w:r>
                      <w:rPr>
                        <w:color w:val="231F20"/>
                        <w:sz w:val="12"/>
                      </w:rPr>
                      <w:t>(a) Average of forecasters’ responses.</w:t>
                    </w:r>
                  </w:p>
                </w:txbxContent>
              </v:textbox>
              <w10:wrap type="none"/>
            </v:shape>
            <w10:wrap type="none"/>
          </v:group>
        </w:pict>
      </w:r>
    </w:p>
    <w:p>
      <w:pPr>
        <w:pStyle w:val="ListParagraph"/>
        <w:numPr>
          <w:ilvl w:val="0"/>
          <w:numId w:val="10"/>
        </w:numPr>
        <w:tabs>
          <w:tab w:pos="576" w:val="left" w:leader="none"/>
        </w:tabs>
        <w:spacing w:line="208" w:lineRule="auto" w:before="0" w:after="0"/>
        <w:ind w:left="645" w:right="3137" w:hanging="240"/>
        <w:jc w:val="left"/>
        <w:rPr>
          <w:sz w:val="12"/>
        </w:rPr>
      </w:pPr>
      <w:r>
        <w:rPr>
          <w:color w:val="231F20"/>
          <w:sz w:val="12"/>
        </w:rPr>
        <w:t>See </w:t>
      </w:r>
      <w:r>
        <w:rPr>
          <w:i/>
          <w:color w:val="231F20"/>
          <w:sz w:val="12"/>
        </w:rPr>
        <w:t>International Banking and Financial Market Developments</w:t>
      </w:r>
      <w:r>
        <w:rPr>
          <w:color w:val="231F20"/>
          <w:sz w:val="12"/>
        </w:rPr>
        <w:t>, BIS, November 1997. BIS data cover banks in the BIS reporting area (the </w:t>
      </w:r>
      <w:r>
        <w:rPr>
          <w:color w:val="231F20"/>
          <w:spacing w:val="-5"/>
          <w:sz w:val="12"/>
        </w:rPr>
        <w:t>G10 </w:t>
      </w:r>
      <w:r>
        <w:rPr>
          <w:color w:val="231F20"/>
          <w:sz w:val="12"/>
        </w:rPr>
        <w:t>countries plus Austria, Denmark, Finland, Ireland, Luxembourg, Norway and Spain, and foreign affiliates of those banks).</w:t>
      </w:r>
    </w:p>
    <w:p>
      <w:pPr>
        <w:pStyle w:val="ListParagraph"/>
        <w:numPr>
          <w:ilvl w:val="0"/>
          <w:numId w:val="10"/>
        </w:numPr>
        <w:tabs>
          <w:tab w:pos="576" w:val="left" w:leader="none"/>
        </w:tabs>
        <w:spacing w:line="208" w:lineRule="auto" w:before="0" w:after="0"/>
        <w:ind w:left="645" w:right="3124" w:hanging="240"/>
        <w:jc w:val="left"/>
        <w:rPr>
          <w:sz w:val="12"/>
        </w:rPr>
      </w:pPr>
      <w:r>
        <w:rPr>
          <w:color w:val="231F20"/>
          <w:sz w:val="12"/>
        </w:rPr>
        <w:t>At the end of June 1997, Japanese banks held 32% of the total outstanding exposure of BIS-reporting banks to Asia, with the share varying </w:t>
      </w:r>
      <w:r>
        <w:rPr>
          <w:color w:val="231F20"/>
          <w:spacing w:val="-5"/>
          <w:sz w:val="12"/>
        </w:rPr>
        <w:t>from </w:t>
      </w:r>
      <w:r>
        <w:rPr>
          <w:color w:val="231F20"/>
          <w:sz w:val="12"/>
        </w:rPr>
        <w:t>54% in Thailand to 23% in South Korea.</w:t>
      </w:r>
    </w:p>
    <w:p>
      <w:pPr>
        <w:spacing w:after="0" w:line="208" w:lineRule="auto"/>
        <w:jc w:val="left"/>
        <w:rPr>
          <w:sz w:val="12"/>
        </w:rPr>
        <w:sectPr>
          <w:type w:val="continuous"/>
          <w:pgSz w:w="11880" w:h="16840"/>
          <w:pgMar w:top="1200" w:bottom="280" w:left="620" w:right="620"/>
        </w:sectPr>
      </w:pPr>
    </w:p>
    <w:p>
      <w:pPr>
        <w:pStyle w:val="BodyText"/>
        <w:rPr>
          <w:sz w:val="20"/>
        </w:rPr>
      </w:pPr>
    </w:p>
    <w:p>
      <w:pPr>
        <w:spacing w:after="0"/>
        <w:rPr>
          <w:sz w:val="20"/>
        </w:rPr>
        <w:sectPr>
          <w:headerReference w:type="even" r:id="rId32"/>
          <w:headerReference w:type="default" r:id="rId33"/>
          <w:footerReference w:type="even" r:id="rId34"/>
          <w:footerReference w:type="default" r:id="rId35"/>
          <w:pgSz w:w="11880" w:h="16840"/>
          <w:pgMar w:header="586" w:footer="597" w:top="760" w:bottom="780" w:left="620" w:right="620"/>
          <w:pgNumType w:start="16"/>
        </w:sectPr>
      </w:pPr>
    </w:p>
    <w:p>
      <w:pPr>
        <w:pStyle w:val="BodyText"/>
        <w:spacing w:before="8"/>
        <w:rPr>
          <w:sz w:val="19"/>
        </w:rPr>
      </w:pPr>
    </w:p>
    <w:p>
      <w:pPr>
        <w:spacing w:before="0"/>
        <w:ind w:left="170" w:right="0" w:firstLine="0"/>
        <w:jc w:val="left"/>
        <w:rPr>
          <w:b/>
          <w:sz w:val="20"/>
        </w:rPr>
      </w:pPr>
      <w:r>
        <w:rPr>
          <w:b/>
          <w:color w:val="0093C1"/>
          <w:sz w:val="20"/>
        </w:rPr>
        <w:t>Table 2.A</w:t>
      </w:r>
    </w:p>
    <w:p>
      <w:pPr>
        <w:spacing w:line="249" w:lineRule="auto" w:before="10"/>
        <w:ind w:left="170" w:right="283" w:firstLine="0"/>
        <w:jc w:val="left"/>
        <w:rPr>
          <w:b/>
          <w:sz w:val="20"/>
        </w:rPr>
      </w:pPr>
      <w:r>
        <w:rPr>
          <w:b/>
          <w:color w:val="0093C1"/>
          <w:sz w:val="20"/>
        </w:rPr>
        <w:t>Major economies’ GDP and domestic demand growth</w:t>
      </w:r>
    </w:p>
    <w:p>
      <w:pPr>
        <w:spacing w:before="98"/>
        <w:ind w:left="170" w:right="0" w:firstLine="0"/>
        <w:jc w:val="left"/>
        <w:rPr>
          <w:sz w:val="14"/>
        </w:rPr>
      </w:pPr>
      <w:r>
        <w:rPr>
          <w:color w:val="231F20"/>
          <w:sz w:val="14"/>
        </w:rPr>
        <w:t>Percentage changes on a year earlier</w:t>
      </w:r>
    </w:p>
    <w:p>
      <w:pPr>
        <w:tabs>
          <w:tab w:pos="1926" w:val="left" w:leader="none"/>
          <w:tab w:pos="2449" w:val="left" w:leader="none"/>
          <w:tab w:pos="3212" w:val="left" w:leader="none"/>
          <w:tab w:pos="3824" w:val="left" w:leader="none"/>
        </w:tabs>
        <w:spacing w:before="119"/>
        <w:ind w:left="1275" w:right="0" w:firstLine="0"/>
        <w:jc w:val="left"/>
        <w:rPr>
          <w:sz w:val="14"/>
        </w:rPr>
      </w:pPr>
      <w:r>
        <w:rPr>
          <w:color w:val="231F20"/>
          <w:sz w:val="14"/>
        </w:rPr>
        <w:t>United</w:t>
        <w:tab/>
        <w:t>Japan</w:t>
        <w:tab/>
        <w:t>Germany</w:t>
        <w:tab/>
        <w:t>G7</w:t>
      </w:r>
      <w:r>
        <w:rPr>
          <w:color w:val="231F20"/>
          <w:spacing w:val="-1"/>
          <w:sz w:val="14"/>
        </w:rPr>
        <w:t> </w:t>
      </w:r>
      <w:r>
        <w:rPr>
          <w:color w:val="231F20"/>
          <w:sz w:val="12"/>
        </w:rPr>
        <w:t>(a)</w:t>
        <w:tab/>
      </w:r>
      <w:r>
        <w:rPr>
          <w:color w:val="231F20"/>
          <w:sz w:val="14"/>
        </w:rPr>
        <w:t>European</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
        <w:gridCol w:w="749"/>
        <w:gridCol w:w="375"/>
        <w:gridCol w:w="271"/>
        <w:gridCol w:w="321"/>
        <w:gridCol w:w="211"/>
        <w:gridCol w:w="501"/>
        <w:gridCol w:w="251"/>
        <w:gridCol w:w="625"/>
        <w:gridCol w:w="526"/>
      </w:tblGrid>
      <w:tr>
        <w:trPr>
          <w:trHeight w:val="182" w:hRule="atLeast"/>
        </w:trPr>
        <w:tc>
          <w:tcPr>
            <w:tcW w:w="1157" w:type="dxa"/>
            <w:gridSpan w:val="2"/>
          </w:tcPr>
          <w:p>
            <w:pPr>
              <w:pStyle w:val="TableParagraph"/>
              <w:rPr>
                <w:sz w:val="12"/>
              </w:rPr>
            </w:pPr>
          </w:p>
        </w:tc>
        <w:tc>
          <w:tcPr>
            <w:tcW w:w="375" w:type="dxa"/>
            <w:tcBorders>
              <w:bottom w:val="single" w:sz="2" w:space="0" w:color="231F20"/>
            </w:tcBorders>
          </w:tcPr>
          <w:p>
            <w:pPr>
              <w:pStyle w:val="TableParagraph"/>
              <w:spacing w:line="140" w:lineRule="exact"/>
              <w:ind w:left="-2" w:right="39"/>
              <w:jc w:val="center"/>
              <w:rPr>
                <w:sz w:val="14"/>
              </w:rPr>
            </w:pPr>
            <w:r>
              <w:rPr>
                <w:color w:val="231F20"/>
                <w:sz w:val="14"/>
              </w:rPr>
              <w:t>States</w:t>
            </w:r>
          </w:p>
        </w:tc>
        <w:tc>
          <w:tcPr>
            <w:tcW w:w="271" w:type="dxa"/>
          </w:tcPr>
          <w:p>
            <w:pPr>
              <w:pStyle w:val="TableParagraph"/>
              <w:rPr>
                <w:sz w:val="12"/>
              </w:rPr>
            </w:pPr>
          </w:p>
        </w:tc>
        <w:tc>
          <w:tcPr>
            <w:tcW w:w="321" w:type="dxa"/>
            <w:tcBorders>
              <w:bottom w:val="single" w:sz="2" w:space="0" w:color="231F20"/>
            </w:tcBorders>
          </w:tcPr>
          <w:p>
            <w:pPr>
              <w:pStyle w:val="TableParagraph"/>
              <w:rPr>
                <w:sz w:val="12"/>
              </w:rPr>
            </w:pPr>
          </w:p>
        </w:tc>
        <w:tc>
          <w:tcPr>
            <w:tcW w:w="211" w:type="dxa"/>
          </w:tcPr>
          <w:p>
            <w:pPr>
              <w:pStyle w:val="TableParagraph"/>
              <w:rPr>
                <w:sz w:val="12"/>
              </w:rPr>
            </w:pPr>
          </w:p>
        </w:tc>
        <w:tc>
          <w:tcPr>
            <w:tcW w:w="501" w:type="dxa"/>
            <w:tcBorders>
              <w:bottom w:val="single" w:sz="2" w:space="0" w:color="231F20"/>
            </w:tcBorders>
          </w:tcPr>
          <w:p>
            <w:pPr>
              <w:pStyle w:val="TableParagraph"/>
              <w:rPr>
                <w:sz w:val="12"/>
              </w:rPr>
            </w:pPr>
          </w:p>
        </w:tc>
        <w:tc>
          <w:tcPr>
            <w:tcW w:w="251" w:type="dxa"/>
          </w:tcPr>
          <w:p>
            <w:pPr>
              <w:pStyle w:val="TableParagraph"/>
              <w:rPr>
                <w:sz w:val="12"/>
              </w:rPr>
            </w:pPr>
          </w:p>
        </w:tc>
        <w:tc>
          <w:tcPr>
            <w:tcW w:w="625" w:type="dxa"/>
            <w:tcBorders>
              <w:bottom w:val="single" w:sz="2" w:space="0" w:color="231F20"/>
            </w:tcBorders>
          </w:tcPr>
          <w:p>
            <w:pPr>
              <w:pStyle w:val="TableParagraph"/>
              <w:rPr>
                <w:sz w:val="12"/>
              </w:rPr>
            </w:pPr>
          </w:p>
        </w:tc>
        <w:tc>
          <w:tcPr>
            <w:tcW w:w="526" w:type="dxa"/>
            <w:tcBorders>
              <w:bottom w:val="single" w:sz="2" w:space="0" w:color="231F20"/>
            </w:tcBorders>
          </w:tcPr>
          <w:p>
            <w:pPr>
              <w:pStyle w:val="TableParagraph"/>
              <w:spacing w:line="140" w:lineRule="exact"/>
              <w:ind w:left="-8" w:right="181"/>
              <w:jc w:val="right"/>
              <w:rPr>
                <w:sz w:val="14"/>
              </w:rPr>
            </w:pPr>
            <w:r>
              <w:rPr>
                <w:color w:val="231F20"/>
                <w:sz w:val="14"/>
              </w:rPr>
              <w:t>Union</w:t>
            </w:r>
          </w:p>
        </w:tc>
      </w:tr>
      <w:tr>
        <w:trPr>
          <w:trHeight w:val="280" w:hRule="atLeast"/>
        </w:trPr>
        <w:tc>
          <w:tcPr>
            <w:tcW w:w="408" w:type="dxa"/>
          </w:tcPr>
          <w:p>
            <w:pPr>
              <w:pStyle w:val="TableParagraph"/>
              <w:spacing w:before="71"/>
              <w:ind w:left="30" w:right="40"/>
              <w:jc w:val="center"/>
              <w:rPr>
                <w:b/>
                <w:sz w:val="14"/>
              </w:rPr>
            </w:pPr>
            <w:r>
              <w:rPr>
                <w:b/>
                <w:color w:val="231F20"/>
                <w:sz w:val="14"/>
              </w:rPr>
              <w:t>GDP</w:t>
            </w:r>
          </w:p>
        </w:tc>
        <w:tc>
          <w:tcPr>
            <w:tcW w:w="749" w:type="dxa"/>
          </w:tcPr>
          <w:p>
            <w:pPr>
              <w:pStyle w:val="TableParagraph"/>
              <w:rPr>
                <w:sz w:val="20"/>
              </w:rPr>
            </w:pPr>
          </w:p>
        </w:tc>
        <w:tc>
          <w:tcPr>
            <w:tcW w:w="375" w:type="dxa"/>
            <w:tcBorders>
              <w:top w:val="single" w:sz="2" w:space="0" w:color="231F20"/>
            </w:tcBorders>
          </w:tcPr>
          <w:p>
            <w:pPr>
              <w:pStyle w:val="TableParagraph"/>
              <w:rPr>
                <w:sz w:val="20"/>
              </w:rPr>
            </w:pPr>
          </w:p>
        </w:tc>
        <w:tc>
          <w:tcPr>
            <w:tcW w:w="271" w:type="dxa"/>
          </w:tcPr>
          <w:p>
            <w:pPr>
              <w:pStyle w:val="TableParagraph"/>
              <w:rPr>
                <w:sz w:val="20"/>
              </w:rPr>
            </w:pPr>
          </w:p>
        </w:tc>
        <w:tc>
          <w:tcPr>
            <w:tcW w:w="321" w:type="dxa"/>
            <w:tcBorders>
              <w:top w:val="single" w:sz="2" w:space="0" w:color="231F20"/>
            </w:tcBorders>
          </w:tcPr>
          <w:p>
            <w:pPr>
              <w:pStyle w:val="TableParagraph"/>
              <w:rPr>
                <w:sz w:val="20"/>
              </w:rPr>
            </w:pPr>
          </w:p>
        </w:tc>
        <w:tc>
          <w:tcPr>
            <w:tcW w:w="211" w:type="dxa"/>
          </w:tcPr>
          <w:p>
            <w:pPr>
              <w:pStyle w:val="TableParagraph"/>
              <w:rPr>
                <w:sz w:val="20"/>
              </w:rPr>
            </w:pPr>
          </w:p>
        </w:tc>
        <w:tc>
          <w:tcPr>
            <w:tcW w:w="501" w:type="dxa"/>
            <w:tcBorders>
              <w:top w:val="single" w:sz="2" w:space="0" w:color="231F20"/>
            </w:tcBorders>
          </w:tcPr>
          <w:p>
            <w:pPr>
              <w:pStyle w:val="TableParagraph"/>
              <w:rPr>
                <w:sz w:val="20"/>
              </w:rPr>
            </w:pPr>
          </w:p>
        </w:tc>
        <w:tc>
          <w:tcPr>
            <w:tcW w:w="251" w:type="dxa"/>
          </w:tcPr>
          <w:p>
            <w:pPr>
              <w:pStyle w:val="TableParagraph"/>
              <w:rPr>
                <w:sz w:val="20"/>
              </w:rPr>
            </w:pPr>
          </w:p>
        </w:tc>
        <w:tc>
          <w:tcPr>
            <w:tcW w:w="625" w:type="dxa"/>
            <w:tcBorders>
              <w:top w:val="single" w:sz="2" w:space="0" w:color="231F20"/>
            </w:tcBorders>
          </w:tcPr>
          <w:p>
            <w:pPr>
              <w:pStyle w:val="TableParagraph"/>
              <w:rPr>
                <w:sz w:val="20"/>
              </w:rPr>
            </w:pPr>
          </w:p>
        </w:tc>
        <w:tc>
          <w:tcPr>
            <w:tcW w:w="526" w:type="dxa"/>
            <w:tcBorders>
              <w:top w:val="single" w:sz="2" w:space="0" w:color="231F20"/>
            </w:tcBorders>
          </w:tcPr>
          <w:p>
            <w:pPr>
              <w:pStyle w:val="TableParagraph"/>
              <w:rPr>
                <w:sz w:val="20"/>
              </w:rPr>
            </w:pPr>
          </w:p>
        </w:tc>
      </w:tr>
      <w:tr>
        <w:trPr>
          <w:trHeight w:val="179" w:hRule="atLeast"/>
        </w:trPr>
        <w:tc>
          <w:tcPr>
            <w:tcW w:w="408" w:type="dxa"/>
          </w:tcPr>
          <w:p>
            <w:pPr>
              <w:pStyle w:val="TableParagraph"/>
              <w:spacing w:line="149" w:lineRule="exact" w:before="11"/>
              <w:ind w:left="14" w:right="41"/>
              <w:jc w:val="center"/>
              <w:rPr>
                <w:sz w:val="14"/>
              </w:rPr>
            </w:pPr>
            <w:r>
              <w:rPr>
                <w:color w:val="231F20"/>
                <w:sz w:val="14"/>
              </w:rPr>
              <w:t>1996</w:t>
            </w:r>
          </w:p>
        </w:tc>
        <w:tc>
          <w:tcPr>
            <w:tcW w:w="749" w:type="dxa"/>
          </w:tcPr>
          <w:p>
            <w:pPr>
              <w:pStyle w:val="TableParagraph"/>
              <w:spacing w:line="149" w:lineRule="exact" w:before="11"/>
              <w:ind w:left="62"/>
              <w:rPr>
                <w:sz w:val="14"/>
              </w:rPr>
            </w:pPr>
            <w:r>
              <w:rPr>
                <w:color w:val="231F20"/>
                <w:sz w:val="14"/>
              </w:rPr>
              <w:t>Q3</w:t>
            </w:r>
          </w:p>
        </w:tc>
        <w:tc>
          <w:tcPr>
            <w:tcW w:w="375" w:type="dxa"/>
          </w:tcPr>
          <w:p>
            <w:pPr>
              <w:pStyle w:val="TableParagraph"/>
              <w:spacing w:line="149" w:lineRule="exact" w:before="11"/>
              <w:ind w:left="5" w:right="39"/>
              <w:jc w:val="center"/>
              <w:rPr>
                <w:sz w:val="14"/>
              </w:rPr>
            </w:pPr>
            <w:r>
              <w:rPr>
                <w:color w:val="231F20"/>
                <w:sz w:val="14"/>
              </w:rPr>
              <w:t>2.7</w:t>
            </w:r>
          </w:p>
        </w:tc>
        <w:tc>
          <w:tcPr>
            <w:tcW w:w="271" w:type="dxa"/>
          </w:tcPr>
          <w:p>
            <w:pPr>
              <w:pStyle w:val="TableParagraph"/>
              <w:rPr>
                <w:sz w:val="12"/>
              </w:rPr>
            </w:pPr>
          </w:p>
        </w:tc>
        <w:tc>
          <w:tcPr>
            <w:tcW w:w="321" w:type="dxa"/>
          </w:tcPr>
          <w:p>
            <w:pPr>
              <w:pStyle w:val="TableParagraph"/>
              <w:spacing w:line="149" w:lineRule="exact" w:before="11"/>
              <w:ind w:right="40"/>
              <w:jc w:val="right"/>
              <w:rPr>
                <w:sz w:val="14"/>
              </w:rPr>
            </w:pPr>
            <w:r>
              <w:rPr>
                <w:color w:val="231F20"/>
                <w:sz w:val="14"/>
              </w:rPr>
              <w:t>3.1</w:t>
            </w:r>
          </w:p>
        </w:tc>
        <w:tc>
          <w:tcPr>
            <w:tcW w:w="211" w:type="dxa"/>
          </w:tcPr>
          <w:p>
            <w:pPr>
              <w:pStyle w:val="TableParagraph"/>
              <w:rPr>
                <w:sz w:val="12"/>
              </w:rPr>
            </w:pPr>
          </w:p>
        </w:tc>
        <w:tc>
          <w:tcPr>
            <w:tcW w:w="501" w:type="dxa"/>
          </w:tcPr>
          <w:p>
            <w:pPr>
              <w:pStyle w:val="TableParagraph"/>
              <w:spacing w:line="149" w:lineRule="exact" w:before="11"/>
              <w:ind w:right="125"/>
              <w:jc w:val="right"/>
              <w:rPr>
                <w:sz w:val="14"/>
              </w:rPr>
            </w:pPr>
            <w:r>
              <w:rPr>
                <w:color w:val="231F20"/>
                <w:sz w:val="14"/>
              </w:rPr>
              <w:t>1.9</w:t>
            </w:r>
          </w:p>
        </w:tc>
        <w:tc>
          <w:tcPr>
            <w:tcW w:w="251" w:type="dxa"/>
          </w:tcPr>
          <w:p>
            <w:pPr>
              <w:pStyle w:val="TableParagraph"/>
              <w:rPr>
                <w:sz w:val="12"/>
              </w:rPr>
            </w:pPr>
          </w:p>
        </w:tc>
        <w:tc>
          <w:tcPr>
            <w:tcW w:w="625" w:type="dxa"/>
          </w:tcPr>
          <w:p>
            <w:pPr>
              <w:pStyle w:val="TableParagraph"/>
              <w:spacing w:line="149" w:lineRule="exact" w:before="11"/>
              <w:ind w:left="105"/>
              <w:rPr>
                <w:sz w:val="14"/>
              </w:rPr>
            </w:pPr>
            <w:r>
              <w:rPr>
                <w:color w:val="231F20"/>
                <w:sz w:val="14"/>
              </w:rPr>
              <w:t>2.5</w:t>
            </w:r>
          </w:p>
        </w:tc>
        <w:tc>
          <w:tcPr>
            <w:tcW w:w="526" w:type="dxa"/>
          </w:tcPr>
          <w:p>
            <w:pPr>
              <w:pStyle w:val="TableParagraph"/>
              <w:spacing w:line="149" w:lineRule="exact" w:before="11"/>
              <w:ind w:left="-8" w:right="186"/>
              <w:jc w:val="right"/>
              <w:rPr>
                <w:sz w:val="14"/>
              </w:rPr>
            </w:pPr>
            <w:r>
              <w:rPr>
                <w:color w:val="231F20"/>
                <w:sz w:val="14"/>
              </w:rPr>
              <w:t>1.9</w:t>
            </w:r>
          </w:p>
        </w:tc>
      </w:tr>
      <w:tr>
        <w:trPr>
          <w:trHeight w:val="140" w:hRule="atLeast"/>
        </w:trPr>
        <w:tc>
          <w:tcPr>
            <w:tcW w:w="408" w:type="dxa"/>
          </w:tcPr>
          <w:p>
            <w:pPr>
              <w:pStyle w:val="TableParagraph"/>
              <w:rPr>
                <w:sz w:val="8"/>
              </w:rPr>
            </w:pPr>
          </w:p>
        </w:tc>
        <w:tc>
          <w:tcPr>
            <w:tcW w:w="749" w:type="dxa"/>
          </w:tcPr>
          <w:p>
            <w:pPr>
              <w:pStyle w:val="TableParagraph"/>
              <w:spacing w:line="120" w:lineRule="exact"/>
              <w:ind w:left="62"/>
              <w:rPr>
                <w:sz w:val="14"/>
              </w:rPr>
            </w:pPr>
            <w:r>
              <w:rPr>
                <w:color w:val="231F20"/>
                <w:sz w:val="14"/>
              </w:rPr>
              <w:t>Q4</w:t>
            </w:r>
          </w:p>
        </w:tc>
        <w:tc>
          <w:tcPr>
            <w:tcW w:w="375" w:type="dxa"/>
          </w:tcPr>
          <w:p>
            <w:pPr>
              <w:pStyle w:val="TableParagraph"/>
              <w:spacing w:line="120" w:lineRule="exact"/>
              <w:ind w:left="5" w:right="39"/>
              <w:jc w:val="center"/>
              <w:rPr>
                <w:sz w:val="14"/>
              </w:rPr>
            </w:pPr>
            <w:r>
              <w:rPr>
                <w:color w:val="231F20"/>
                <w:sz w:val="14"/>
              </w:rPr>
              <w:t>3.3</w:t>
            </w:r>
          </w:p>
        </w:tc>
        <w:tc>
          <w:tcPr>
            <w:tcW w:w="271" w:type="dxa"/>
          </w:tcPr>
          <w:p>
            <w:pPr>
              <w:pStyle w:val="TableParagraph"/>
              <w:rPr>
                <w:sz w:val="8"/>
              </w:rPr>
            </w:pPr>
          </w:p>
        </w:tc>
        <w:tc>
          <w:tcPr>
            <w:tcW w:w="321" w:type="dxa"/>
          </w:tcPr>
          <w:p>
            <w:pPr>
              <w:pStyle w:val="TableParagraph"/>
              <w:spacing w:line="120" w:lineRule="exact"/>
              <w:ind w:right="40"/>
              <w:jc w:val="right"/>
              <w:rPr>
                <w:sz w:val="14"/>
              </w:rPr>
            </w:pPr>
            <w:r>
              <w:rPr>
                <w:color w:val="231F20"/>
                <w:sz w:val="14"/>
              </w:rPr>
              <w:t>3.4</w:t>
            </w:r>
          </w:p>
        </w:tc>
        <w:tc>
          <w:tcPr>
            <w:tcW w:w="211" w:type="dxa"/>
          </w:tcPr>
          <w:p>
            <w:pPr>
              <w:pStyle w:val="TableParagraph"/>
              <w:rPr>
                <w:sz w:val="8"/>
              </w:rPr>
            </w:pPr>
          </w:p>
        </w:tc>
        <w:tc>
          <w:tcPr>
            <w:tcW w:w="501" w:type="dxa"/>
          </w:tcPr>
          <w:p>
            <w:pPr>
              <w:pStyle w:val="TableParagraph"/>
              <w:spacing w:line="120" w:lineRule="exact"/>
              <w:ind w:right="125"/>
              <w:jc w:val="right"/>
              <w:rPr>
                <w:sz w:val="14"/>
              </w:rPr>
            </w:pPr>
            <w:r>
              <w:rPr>
                <w:color w:val="231F20"/>
                <w:sz w:val="14"/>
              </w:rPr>
              <w:t>2.1</w:t>
            </w:r>
          </w:p>
        </w:tc>
        <w:tc>
          <w:tcPr>
            <w:tcW w:w="251" w:type="dxa"/>
          </w:tcPr>
          <w:p>
            <w:pPr>
              <w:pStyle w:val="TableParagraph"/>
              <w:rPr>
                <w:sz w:val="8"/>
              </w:rPr>
            </w:pPr>
          </w:p>
        </w:tc>
        <w:tc>
          <w:tcPr>
            <w:tcW w:w="625" w:type="dxa"/>
          </w:tcPr>
          <w:p>
            <w:pPr>
              <w:pStyle w:val="TableParagraph"/>
              <w:spacing w:line="120" w:lineRule="exact"/>
              <w:ind w:left="105"/>
              <w:rPr>
                <w:sz w:val="14"/>
              </w:rPr>
            </w:pPr>
            <w:r>
              <w:rPr>
                <w:color w:val="231F20"/>
                <w:sz w:val="14"/>
              </w:rPr>
              <w:t>2.7</w:t>
            </w:r>
          </w:p>
        </w:tc>
        <w:tc>
          <w:tcPr>
            <w:tcW w:w="526" w:type="dxa"/>
          </w:tcPr>
          <w:p>
            <w:pPr>
              <w:pStyle w:val="TableParagraph"/>
              <w:spacing w:line="120" w:lineRule="exact"/>
              <w:ind w:left="-8" w:right="186"/>
              <w:jc w:val="right"/>
              <w:rPr>
                <w:sz w:val="14"/>
              </w:rPr>
            </w:pPr>
            <w:r>
              <w:rPr>
                <w:color w:val="231F20"/>
                <w:sz w:val="14"/>
              </w:rPr>
              <w:t>2.2</w:t>
            </w:r>
          </w:p>
        </w:tc>
      </w:tr>
      <w:tr>
        <w:trPr>
          <w:trHeight w:val="140" w:hRule="atLeast"/>
        </w:trPr>
        <w:tc>
          <w:tcPr>
            <w:tcW w:w="408" w:type="dxa"/>
          </w:tcPr>
          <w:p>
            <w:pPr>
              <w:pStyle w:val="TableParagraph"/>
              <w:spacing w:line="120" w:lineRule="exact"/>
              <w:ind w:left="14" w:right="41"/>
              <w:jc w:val="center"/>
              <w:rPr>
                <w:sz w:val="14"/>
              </w:rPr>
            </w:pPr>
            <w:r>
              <w:rPr>
                <w:color w:val="231F20"/>
                <w:sz w:val="14"/>
              </w:rPr>
              <w:t>1997</w:t>
            </w:r>
          </w:p>
        </w:tc>
        <w:tc>
          <w:tcPr>
            <w:tcW w:w="749" w:type="dxa"/>
          </w:tcPr>
          <w:p>
            <w:pPr>
              <w:pStyle w:val="TableParagraph"/>
              <w:spacing w:line="120" w:lineRule="exact"/>
              <w:ind w:left="62"/>
              <w:rPr>
                <w:sz w:val="14"/>
              </w:rPr>
            </w:pPr>
            <w:r>
              <w:rPr>
                <w:color w:val="231F20"/>
                <w:sz w:val="14"/>
              </w:rPr>
              <w:t>Q1</w:t>
            </w:r>
          </w:p>
        </w:tc>
        <w:tc>
          <w:tcPr>
            <w:tcW w:w="375" w:type="dxa"/>
          </w:tcPr>
          <w:p>
            <w:pPr>
              <w:pStyle w:val="TableParagraph"/>
              <w:spacing w:line="120" w:lineRule="exact"/>
              <w:ind w:left="5" w:right="39"/>
              <w:jc w:val="center"/>
              <w:rPr>
                <w:sz w:val="14"/>
              </w:rPr>
            </w:pPr>
            <w:r>
              <w:rPr>
                <w:color w:val="231F20"/>
                <w:sz w:val="14"/>
              </w:rPr>
              <w:t>4.0</w:t>
            </w:r>
          </w:p>
        </w:tc>
        <w:tc>
          <w:tcPr>
            <w:tcW w:w="271" w:type="dxa"/>
          </w:tcPr>
          <w:p>
            <w:pPr>
              <w:pStyle w:val="TableParagraph"/>
              <w:rPr>
                <w:sz w:val="8"/>
              </w:rPr>
            </w:pPr>
          </w:p>
        </w:tc>
        <w:tc>
          <w:tcPr>
            <w:tcW w:w="321" w:type="dxa"/>
          </w:tcPr>
          <w:p>
            <w:pPr>
              <w:pStyle w:val="TableParagraph"/>
              <w:spacing w:line="120" w:lineRule="exact"/>
              <w:ind w:right="40"/>
              <w:jc w:val="right"/>
              <w:rPr>
                <w:sz w:val="14"/>
              </w:rPr>
            </w:pPr>
            <w:r>
              <w:rPr>
                <w:color w:val="231F20"/>
                <w:sz w:val="14"/>
              </w:rPr>
              <w:t>2.8</w:t>
            </w:r>
          </w:p>
        </w:tc>
        <w:tc>
          <w:tcPr>
            <w:tcW w:w="211" w:type="dxa"/>
          </w:tcPr>
          <w:p>
            <w:pPr>
              <w:pStyle w:val="TableParagraph"/>
              <w:rPr>
                <w:sz w:val="8"/>
              </w:rPr>
            </w:pPr>
          </w:p>
        </w:tc>
        <w:tc>
          <w:tcPr>
            <w:tcW w:w="501" w:type="dxa"/>
          </w:tcPr>
          <w:p>
            <w:pPr>
              <w:pStyle w:val="TableParagraph"/>
              <w:spacing w:line="120" w:lineRule="exact"/>
              <w:ind w:right="125"/>
              <w:jc w:val="right"/>
              <w:rPr>
                <w:sz w:val="14"/>
              </w:rPr>
            </w:pPr>
            <w:r>
              <w:rPr>
                <w:color w:val="231F20"/>
                <w:sz w:val="14"/>
              </w:rPr>
              <w:t>2.5</w:t>
            </w:r>
          </w:p>
        </w:tc>
        <w:tc>
          <w:tcPr>
            <w:tcW w:w="251" w:type="dxa"/>
          </w:tcPr>
          <w:p>
            <w:pPr>
              <w:pStyle w:val="TableParagraph"/>
              <w:rPr>
                <w:sz w:val="8"/>
              </w:rPr>
            </w:pPr>
          </w:p>
        </w:tc>
        <w:tc>
          <w:tcPr>
            <w:tcW w:w="625" w:type="dxa"/>
          </w:tcPr>
          <w:p>
            <w:pPr>
              <w:pStyle w:val="TableParagraph"/>
              <w:spacing w:line="120" w:lineRule="exact"/>
              <w:ind w:left="105"/>
              <w:rPr>
                <w:sz w:val="14"/>
              </w:rPr>
            </w:pPr>
            <w:r>
              <w:rPr>
                <w:color w:val="231F20"/>
                <w:sz w:val="14"/>
              </w:rPr>
              <w:t>2.9</w:t>
            </w:r>
          </w:p>
        </w:tc>
        <w:tc>
          <w:tcPr>
            <w:tcW w:w="526" w:type="dxa"/>
          </w:tcPr>
          <w:p>
            <w:pPr>
              <w:pStyle w:val="TableParagraph"/>
              <w:spacing w:line="120" w:lineRule="exact"/>
              <w:ind w:left="-8" w:right="186"/>
              <w:jc w:val="right"/>
              <w:rPr>
                <w:sz w:val="14"/>
              </w:rPr>
            </w:pPr>
            <w:r>
              <w:rPr>
                <w:color w:val="231F20"/>
                <w:sz w:val="14"/>
              </w:rPr>
              <w:t>1.9</w:t>
            </w:r>
          </w:p>
        </w:tc>
      </w:tr>
      <w:tr>
        <w:trPr>
          <w:trHeight w:val="140" w:hRule="atLeast"/>
        </w:trPr>
        <w:tc>
          <w:tcPr>
            <w:tcW w:w="408" w:type="dxa"/>
          </w:tcPr>
          <w:p>
            <w:pPr>
              <w:pStyle w:val="TableParagraph"/>
              <w:rPr>
                <w:sz w:val="8"/>
              </w:rPr>
            </w:pPr>
          </w:p>
        </w:tc>
        <w:tc>
          <w:tcPr>
            <w:tcW w:w="749" w:type="dxa"/>
          </w:tcPr>
          <w:p>
            <w:pPr>
              <w:pStyle w:val="TableParagraph"/>
              <w:spacing w:line="120" w:lineRule="exact"/>
              <w:ind w:left="62"/>
              <w:rPr>
                <w:sz w:val="14"/>
              </w:rPr>
            </w:pPr>
            <w:r>
              <w:rPr>
                <w:color w:val="231F20"/>
                <w:sz w:val="14"/>
              </w:rPr>
              <w:t>Q2</w:t>
            </w:r>
          </w:p>
        </w:tc>
        <w:tc>
          <w:tcPr>
            <w:tcW w:w="375" w:type="dxa"/>
          </w:tcPr>
          <w:p>
            <w:pPr>
              <w:pStyle w:val="TableParagraph"/>
              <w:spacing w:line="120" w:lineRule="exact"/>
              <w:ind w:left="5" w:right="39"/>
              <w:jc w:val="center"/>
              <w:rPr>
                <w:sz w:val="14"/>
              </w:rPr>
            </w:pPr>
            <w:r>
              <w:rPr>
                <w:color w:val="231F20"/>
                <w:sz w:val="14"/>
              </w:rPr>
              <w:t>3.4</w:t>
            </w:r>
          </w:p>
        </w:tc>
        <w:tc>
          <w:tcPr>
            <w:tcW w:w="271" w:type="dxa"/>
          </w:tcPr>
          <w:p>
            <w:pPr>
              <w:pStyle w:val="TableParagraph"/>
              <w:rPr>
                <w:sz w:val="8"/>
              </w:rPr>
            </w:pPr>
          </w:p>
        </w:tc>
        <w:tc>
          <w:tcPr>
            <w:tcW w:w="321" w:type="dxa"/>
          </w:tcPr>
          <w:p>
            <w:pPr>
              <w:pStyle w:val="TableParagraph"/>
              <w:spacing w:line="120" w:lineRule="exact"/>
              <w:ind w:right="40"/>
              <w:jc w:val="right"/>
              <w:rPr>
                <w:sz w:val="14"/>
              </w:rPr>
            </w:pPr>
            <w:r>
              <w:rPr>
                <w:color w:val="231F20"/>
                <w:sz w:val="14"/>
              </w:rPr>
              <w:t>-0.2</w:t>
            </w:r>
          </w:p>
        </w:tc>
        <w:tc>
          <w:tcPr>
            <w:tcW w:w="211" w:type="dxa"/>
          </w:tcPr>
          <w:p>
            <w:pPr>
              <w:pStyle w:val="TableParagraph"/>
              <w:rPr>
                <w:sz w:val="8"/>
              </w:rPr>
            </w:pPr>
          </w:p>
        </w:tc>
        <w:tc>
          <w:tcPr>
            <w:tcW w:w="501" w:type="dxa"/>
          </w:tcPr>
          <w:p>
            <w:pPr>
              <w:pStyle w:val="TableParagraph"/>
              <w:spacing w:line="120" w:lineRule="exact"/>
              <w:ind w:right="125"/>
              <w:jc w:val="right"/>
              <w:rPr>
                <w:sz w:val="14"/>
              </w:rPr>
            </w:pPr>
            <w:r>
              <w:rPr>
                <w:color w:val="231F20"/>
                <w:sz w:val="14"/>
              </w:rPr>
              <w:t>2.1</w:t>
            </w:r>
          </w:p>
        </w:tc>
        <w:tc>
          <w:tcPr>
            <w:tcW w:w="251" w:type="dxa"/>
          </w:tcPr>
          <w:p>
            <w:pPr>
              <w:pStyle w:val="TableParagraph"/>
              <w:rPr>
                <w:sz w:val="8"/>
              </w:rPr>
            </w:pPr>
          </w:p>
        </w:tc>
        <w:tc>
          <w:tcPr>
            <w:tcW w:w="625" w:type="dxa"/>
          </w:tcPr>
          <w:p>
            <w:pPr>
              <w:pStyle w:val="TableParagraph"/>
              <w:spacing w:line="120" w:lineRule="exact"/>
              <w:ind w:left="105"/>
              <w:rPr>
                <w:sz w:val="14"/>
              </w:rPr>
            </w:pPr>
            <w:r>
              <w:rPr>
                <w:color w:val="231F20"/>
                <w:sz w:val="14"/>
              </w:rPr>
              <w:t>2.4</w:t>
            </w:r>
          </w:p>
        </w:tc>
        <w:tc>
          <w:tcPr>
            <w:tcW w:w="526" w:type="dxa"/>
          </w:tcPr>
          <w:p>
            <w:pPr>
              <w:pStyle w:val="TableParagraph"/>
              <w:spacing w:line="120" w:lineRule="exact"/>
              <w:ind w:left="-8" w:right="186"/>
              <w:jc w:val="right"/>
              <w:rPr>
                <w:sz w:val="14"/>
              </w:rPr>
            </w:pPr>
            <w:r>
              <w:rPr>
                <w:color w:val="231F20"/>
                <w:sz w:val="14"/>
              </w:rPr>
              <w:t>2.7</w:t>
            </w:r>
          </w:p>
        </w:tc>
      </w:tr>
      <w:tr>
        <w:trPr>
          <w:trHeight w:val="147" w:hRule="atLeast"/>
        </w:trPr>
        <w:tc>
          <w:tcPr>
            <w:tcW w:w="408" w:type="dxa"/>
          </w:tcPr>
          <w:p>
            <w:pPr>
              <w:pStyle w:val="TableParagraph"/>
              <w:rPr>
                <w:sz w:val="8"/>
              </w:rPr>
            </w:pPr>
          </w:p>
        </w:tc>
        <w:tc>
          <w:tcPr>
            <w:tcW w:w="749" w:type="dxa"/>
          </w:tcPr>
          <w:p>
            <w:pPr>
              <w:pStyle w:val="TableParagraph"/>
              <w:spacing w:line="128" w:lineRule="exact"/>
              <w:ind w:left="62"/>
              <w:rPr>
                <w:sz w:val="14"/>
              </w:rPr>
            </w:pPr>
            <w:r>
              <w:rPr>
                <w:color w:val="231F20"/>
                <w:sz w:val="14"/>
              </w:rPr>
              <w:t>Q3</w:t>
            </w:r>
          </w:p>
        </w:tc>
        <w:tc>
          <w:tcPr>
            <w:tcW w:w="375" w:type="dxa"/>
          </w:tcPr>
          <w:p>
            <w:pPr>
              <w:pStyle w:val="TableParagraph"/>
              <w:spacing w:line="128" w:lineRule="exact"/>
              <w:ind w:left="5" w:right="39"/>
              <w:jc w:val="center"/>
              <w:rPr>
                <w:sz w:val="14"/>
              </w:rPr>
            </w:pPr>
            <w:r>
              <w:rPr>
                <w:color w:val="231F20"/>
                <w:sz w:val="14"/>
              </w:rPr>
              <w:t>3.9</w:t>
            </w:r>
          </w:p>
        </w:tc>
        <w:tc>
          <w:tcPr>
            <w:tcW w:w="271" w:type="dxa"/>
          </w:tcPr>
          <w:p>
            <w:pPr>
              <w:pStyle w:val="TableParagraph"/>
              <w:rPr>
                <w:sz w:val="8"/>
              </w:rPr>
            </w:pPr>
          </w:p>
        </w:tc>
        <w:tc>
          <w:tcPr>
            <w:tcW w:w="321" w:type="dxa"/>
          </w:tcPr>
          <w:p>
            <w:pPr>
              <w:pStyle w:val="TableParagraph"/>
              <w:spacing w:line="128" w:lineRule="exact"/>
              <w:ind w:right="40"/>
              <w:jc w:val="right"/>
              <w:rPr>
                <w:sz w:val="14"/>
              </w:rPr>
            </w:pPr>
            <w:r>
              <w:rPr>
                <w:color w:val="231F20"/>
                <w:sz w:val="14"/>
              </w:rPr>
              <w:t>1.0</w:t>
            </w:r>
          </w:p>
        </w:tc>
        <w:tc>
          <w:tcPr>
            <w:tcW w:w="211" w:type="dxa"/>
          </w:tcPr>
          <w:p>
            <w:pPr>
              <w:pStyle w:val="TableParagraph"/>
              <w:rPr>
                <w:sz w:val="8"/>
              </w:rPr>
            </w:pPr>
          </w:p>
        </w:tc>
        <w:tc>
          <w:tcPr>
            <w:tcW w:w="501" w:type="dxa"/>
          </w:tcPr>
          <w:p>
            <w:pPr>
              <w:pStyle w:val="TableParagraph"/>
              <w:spacing w:line="128" w:lineRule="exact"/>
              <w:ind w:right="125"/>
              <w:jc w:val="right"/>
              <w:rPr>
                <w:sz w:val="14"/>
              </w:rPr>
            </w:pPr>
            <w:r>
              <w:rPr>
                <w:color w:val="231F20"/>
                <w:sz w:val="14"/>
              </w:rPr>
              <w:t>2.3</w:t>
            </w:r>
          </w:p>
        </w:tc>
        <w:tc>
          <w:tcPr>
            <w:tcW w:w="251" w:type="dxa"/>
          </w:tcPr>
          <w:p>
            <w:pPr>
              <w:pStyle w:val="TableParagraph"/>
              <w:rPr>
                <w:sz w:val="8"/>
              </w:rPr>
            </w:pPr>
          </w:p>
        </w:tc>
        <w:tc>
          <w:tcPr>
            <w:tcW w:w="625" w:type="dxa"/>
          </w:tcPr>
          <w:p>
            <w:pPr>
              <w:pStyle w:val="TableParagraph"/>
              <w:spacing w:line="128" w:lineRule="exact"/>
              <w:ind w:left="105"/>
              <w:rPr>
                <w:sz w:val="12"/>
              </w:rPr>
            </w:pPr>
            <w:r>
              <w:rPr>
                <w:color w:val="231F20"/>
                <w:sz w:val="14"/>
              </w:rPr>
              <w:t>3.0 </w:t>
            </w:r>
            <w:r>
              <w:rPr>
                <w:color w:val="231F20"/>
                <w:sz w:val="12"/>
              </w:rPr>
              <w:t>(c)</w:t>
            </w:r>
          </w:p>
        </w:tc>
        <w:tc>
          <w:tcPr>
            <w:tcW w:w="526" w:type="dxa"/>
          </w:tcPr>
          <w:p>
            <w:pPr>
              <w:pStyle w:val="TableParagraph"/>
              <w:spacing w:line="128" w:lineRule="exact"/>
              <w:ind w:left="-8" w:right="186"/>
              <w:jc w:val="right"/>
              <w:rPr>
                <w:sz w:val="14"/>
              </w:rPr>
            </w:pPr>
            <w:r>
              <w:rPr>
                <w:color w:val="231F20"/>
                <w:sz w:val="14"/>
              </w:rPr>
              <w:t>n.a.</w:t>
            </w:r>
          </w:p>
        </w:tc>
      </w:tr>
      <w:tr>
        <w:trPr>
          <w:trHeight w:val="344" w:hRule="atLeast"/>
        </w:trPr>
        <w:tc>
          <w:tcPr>
            <w:tcW w:w="4238" w:type="dxa"/>
            <w:gridSpan w:val="10"/>
          </w:tcPr>
          <w:p>
            <w:pPr>
              <w:pStyle w:val="TableParagraph"/>
              <w:spacing w:before="104"/>
              <w:ind w:left="50"/>
              <w:rPr>
                <w:sz w:val="12"/>
              </w:rPr>
            </w:pPr>
            <w:r>
              <w:rPr>
                <w:b/>
                <w:color w:val="231F20"/>
                <w:sz w:val="14"/>
              </w:rPr>
              <w:t>Domestic demand </w:t>
            </w:r>
            <w:r>
              <w:rPr>
                <w:color w:val="231F20"/>
                <w:sz w:val="12"/>
              </w:rPr>
              <w:t>(b)</w:t>
            </w:r>
          </w:p>
        </w:tc>
      </w:tr>
      <w:tr>
        <w:trPr>
          <w:trHeight w:val="147" w:hRule="atLeast"/>
        </w:trPr>
        <w:tc>
          <w:tcPr>
            <w:tcW w:w="408" w:type="dxa"/>
          </w:tcPr>
          <w:p>
            <w:pPr>
              <w:pStyle w:val="TableParagraph"/>
              <w:spacing w:line="128" w:lineRule="exact"/>
              <w:ind w:left="16" w:right="41"/>
              <w:jc w:val="center"/>
              <w:rPr>
                <w:sz w:val="14"/>
              </w:rPr>
            </w:pPr>
            <w:r>
              <w:rPr>
                <w:color w:val="231F20"/>
                <w:sz w:val="14"/>
              </w:rPr>
              <w:t>1996</w:t>
            </w:r>
          </w:p>
        </w:tc>
        <w:tc>
          <w:tcPr>
            <w:tcW w:w="749" w:type="dxa"/>
          </w:tcPr>
          <w:p>
            <w:pPr>
              <w:pStyle w:val="TableParagraph"/>
              <w:spacing w:line="128" w:lineRule="exact"/>
              <w:ind w:left="62"/>
              <w:rPr>
                <w:sz w:val="14"/>
              </w:rPr>
            </w:pPr>
            <w:r>
              <w:rPr>
                <w:color w:val="231F20"/>
                <w:sz w:val="14"/>
              </w:rPr>
              <w:t>Q3</w:t>
            </w:r>
          </w:p>
        </w:tc>
        <w:tc>
          <w:tcPr>
            <w:tcW w:w="375" w:type="dxa"/>
          </w:tcPr>
          <w:p>
            <w:pPr>
              <w:pStyle w:val="TableParagraph"/>
              <w:spacing w:line="128" w:lineRule="exact"/>
              <w:ind w:left="5" w:right="39"/>
              <w:jc w:val="center"/>
              <w:rPr>
                <w:sz w:val="14"/>
              </w:rPr>
            </w:pPr>
            <w:r>
              <w:rPr>
                <w:color w:val="231F20"/>
                <w:sz w:val="14"/>
              </w:rPr>
              <w:t>3.4</w:t>
            </w:r>
          </w:p>
        </w:tc>
        <w:tc>
          <w:tcPr>
            <w:tcW w:w="592" w:type="dxa"/>
            <w:gridSpan w:val="2"/>
          </w:tcPr>
          <w:p>
            <w:pPr>
              <w:pStyle w:val="TableParagraph"/>
              <w:spacing w:line="128" w:lineRule="exact"/>
              <w:ind w:left="374"/>
              <w:rPr>
                <w:sz w:val="14"/>
              </w:rPr>
            </w:pPr>
            <w:r>
              <w:rPr>
                <w:color w:val="231F20"/>
                <w:sz w:val="14"/>
              </w:rPr>
              <w:t>3.8</w:t>
            </w:r>
          </w:p>
        </w:tc>
        <w:tc>
          <w:tcPr>
            <w:tcW w:w="712" w:type="dxa"/>
            <w:gridSpan w:val="2"/>
          </w:tcPr>
          <w:p>
            <w:pPr>
              <w:pStyle w:val="TableParagraph"/>
              <w:spacing w:line="128" w:lineRule="exact"/>
              <w:ind w:left="409"/>
              <w:rPr>
                <w:sz w:val="14"/>
              </w:rPr>
            </w:pPr>
            <w:r>
              <w:rPr>
                <w:color w:val="231F20"/>
                <w:sz w:val="14"/>
              </w:rPr>
              <w:t>0.7</w:t>
            </w:r>
          </w:p>
        </w:tc>
        <w:tc>
          <w:tcPr>
            <w:tcW w:w="876" w:type="dxa"/>
            <w:gridSpan w:val="2"/>
          </w:tcPr>
          <w:p>
            <w:pPr>
              <w:pStyle w:val="TableParagraph"/>
              <w:spacing w:line="128" w:lineRule="exact"/>
              <w:ind w:left="336" w:right="325"/>
              <w:jc w:val="center"/>
              <w:rPr>
                <w:sz w:val="14"/>
              </w:rPr>
            </w:pPr>
            <w:r>
              <w:rPr>
                <w:color w:val="231F20"/>
                <w:sz w:val="14"/>
              </w:rPr>
              <w:t>2.6</w:t>
            </w:r>
          </w:p>
        </w:tc>
        <w:tc>
          <w:tcPr>
            <w:tcW w:w="526" w:type="dxa"/>
          </w:tcPr>
          <w:p>
            <w:pPr>
              <w:pStyle w:val="TableParagraph"/>
              <w:spacing w:line="128" w:lineRule="exact"/>
              <w:ind w:left="-8" w:right="186"/>
              <w:jc w:val="right"/>
              <w:rPr>
                <w:sz w:val="14"/>
              </w:rPr>
            </w:pPr>
            <w:r>
              <w:rPr>
                <w:color w:val="231F20"/>
                <w:sz w:val="14"/>
              </w:rPr>
              <w:t>1.2</w:t>
            </w:r>
          </w:p>
        </w:tc>
      </w:tr>
      <w:tr>
        <w:trPr>
          <w:trHeight w:val="140" w:hRule="atLeast"/>
        </w:trPr>
        <w:tc>
          <w:tcPr>
            <w:tcW w:w="408" w:type="dxa"/>
          </w:tcPr>
          <w:p>
            <w:pPr>
              <w:pStyle w:val="TableParagraph"/>
              <w:rPr>
                <w:sz w:val="8"/>
              </w:rPr>
            </w:pPr>
          </w:p>
        </w:tc>
        <w:tc>
          <w:tcPr>
            <w:tcW w:w="749" w:type="dxa"/>
          </w:tcPr>
          <w:p>
            <w:pPr>
              <w:pStyle w:val="TableParagraph"/>
              <w:spacing w:line="120" w:lineRule="exact"/>
              <w:ind w:left="62"/>
              <w:rPr>
                <w:sz w:val="14"/>
              </w:rPr>
            </w:pPr>
            <w:r>
              <w:rPr>
                <w:color w:val="231F20"/>
                <w:sz w:val="14"/>
              </w:rPr>
              <w:t>Q4</w:t>
            </w:r>
          </w:p>
        </w:tc>
        <w:tc>
          <w:tcPr>
            <w:tcW w:w="375" w:type="dxa"/>
          </w:tcPr>
          <w:p>
            <w:pPr>
              <w:pStyle w:val="TableParagraph"/>
              <w:spacing w:line="120" w:lineRule="exact"/>
              <w:ind w:left="5" w:right="39"/>
              <w:jc w:val="center"/>
              <w:rPr>
                <w:sz w:val="14"/>
              </w:rPr>
            </w:pPr>
            <w:r>
              <w:rPr>
                <w:color w:val="231F20"/>
                <w:sz w:val="14"/>
              </w:rPr>
              <w:t>3.6</w:t>
            </w:r>
          </w:p>
        </w:tc>
        <w:tc>
          <w:tcPr>
            <w:tcW w:w="592" w:type="dxa"/>
            <w:gridSpan w:val="2"/>
          </w:tcPr>
          <w:p>
            <w:pPr>
              <w:pStyle w:val="TableParagraph"/>
              <w:spacing w:line="120" w:lineRule="exact"/>
              <w:ind w:left="374"/>
              <w:rPr>
                <w:sz w:val="14"/>
              </w:rPr>
            </w:pPr>
            <w:r>
              <w:rPr>
                <w:color w:val="231F20"/>
                <w:sz w:val="14"/>
              </w:rPr>
              <w:t>3.3</w:t>
            </w:r>
          </w:p>
        </w:tc>
        <w:tc>
          <w:tcPr>
            <w:tcW w:w="712" w:type="dxa"/>
            <w:gridSpan w:val="2"/>
          </w:tcPr>
          <w:p>
            <w:pPr>
              <w:pStyle w:val="TableParagraph"/>
              <w:spacing w:line="120" w:lineRule="exact"/>
              <w:ind w:left="409"/>
              <w:rPr>
                <w:sz w:val="14"/>
              </w:rPr>
            </w:pPr>
            <w:r>
              <w:rPr>
                <w:color w:val="231F20"/>
                <w:sz w:val="14"/>
              </w:rPr>
              <w:t>1.3</w:t>
            </w:r>
          </w:p>
        </w:tc>
        <w:tc>
          <w:tcPr>
            <w:tcW w:w="876" w:type="dxa"/>
            <w:gridSpan w:val="2"/>
          </w:tcPr>
          <w:p>
            <w:pPr>
              <w:pStyle w:val="TableParagraph"/>
              <w:spacing w:line="120" w:lineRule="exact"/>
              <w:ind w:left="336" w:right="325"/>
              <w:jc w:val="center"/>
              <w:rPr>
                <w:sz w:val="14"/>
              </w:rPr>
            </w:pPr>
            <w:r>
              <w:rPr>
                <w:color w:val="231F20"/>
                <w:sz w:val="14"/>
              </w:rPr>
              <w:t>2.8</w:t>
            </w:r>
          </w:p>
        </w:tc>
        <w:tc>
          <w:tcPr>
            <w:tcW w:w="526" w:type="dxa"/>
          </w:tcPr>
          <w:p>
            <w:pPr>
              <w:pStyle w:val="TableParagraph"/>
              <w:spacing w:line="120" w:lineRule="exact"/>
              <w:ind w:left="-8" w:right="186"/>
              <w:jc w:val="right"/>
              <w:rPr>
                <w:sz w:val="14"/>
              </w:rPr>
            </w:pPr>
            <w:r>
              <w:rPr>
                <w:color w:val="231F20"/>
                <w:sz w:val="14"/>
              </w:rPr>
              <w:t>1.7</w:t>
            </w:r>
          </w:p>
        </w:tc>
      </w:tr>
      <w:tr>
        <w:trPr>
          <w:trHeight w:val="140" w:hRule="atLeast"/>
        </w:trPr>
        <w:tc>
          <w:tcPr>
            <w:tcW w:w="408" w:type="dxa"/>
          </w:tcPr>
          <w:p>
            <w:pPr>
              <w:pStyle w:val="TableParagraph"/>
              <w:spacing w:line="120" w:lineRule="exact"/>
              <w:ind w:left="16" w:right="41"/>
              <w:jc w:val="center"/>
              <w:rPr>
                <w:sz w:val="14"/>
              </w:rPr>
            </w:pPr>
            <w:r>
              <w:rPr>
                <w:color w:val="231F20"/>
                <w:sz w:val="14"/>
              </w:rPr>
              <w:t>1997</w:t>
            </w:r>
          </w:p>
        </w:tc>
        <w:tc>
          <w:tcPr>
            <w:tcW w:w="749" w:type="dxa"/>
          </w:tcPr>
          <w:p>
            <w:pPr>
              <w:pStyle w:val="TableParagraph"/>
              <w:spacing w:line="120" w:lineRule="exact"/>
              <w:ind w:left="62"/>
              <w:rPr>
                <w:sz w:val="14"/>
              </w:rPr>
            </w:pPr>
            <w:r>
              <w:rPr>
                <w:color w:val="231F20"/>
                <w:sz w:val="14"/>
              </w:rPr>
              <w:t>Q1</w:t>
            </w:r>
          </w:p>
        </w:tc>
        <w:tc>
          <w:tcPr>
            <w:tcW w:w="375" w:type="dxa"/>
          </w:tcPr>
          <w:p>
            <w:pPr>
              <w:pStyle w:val="TableParagraph"/>
              <w:spacing w:line="120" w:lineRule="exact"/>
              <w:ind w:left="5" w:right="39"/>
              <w:jc w:val="center"/>
              <w:rPr>
                <w:sz w:val="14"/>
              </w:rPr>
            </w:pPr>
            <w:r>
              <w:rPr>
                <w:color w:val="231F20"/>
                <w:sz w:val="14"/>
              </w:rPr>
              <w:t>4.3</w:t>
            </w:r>
          </w:p>
        </w:tc>
        <w:tc>
          <w:tcPr>
            <w:tcW w:w="592" w:type="dxa"/>
            <w:gridSpan w:val="2"/>
          </w:tcPr>
          <w:p>
            <w:pPr>
              <w:pStyle w:val="TableParagraph"/>
              <w:spacing w:line="120" w:lineRule="exact"/>
              <w:ind w:left="374"/>
              <w:rPr>
                <w:sz w:val="14"/>
              </w:rPr>
            </w:pPr>
            <w:r>
              <w:rPr>
                <w:color w:val="231F20"/>
                <w:sz w:val="14"/>
              </w:rPr>
              <w:t>2.2</w:t>
            </w:r>
          </w:p>
        </w:tc>
        <w:tc>
          <w:tcPr>
            <w:tcW w:w="712" w:type="dxa"/>
            <w:gridSpan w:val="2"/>
          </w:tcPr>
          <w:p>
            <w:pPr>
              <w:pStyle w:val="TableParagraph"/>
              <w:spacing w:line="120" w:lineRule="exact"/>
              <w:ind w:left="409"/>
              <w:rPr>
                <w:sz w:val="14"/>
              </w:rPr>
            </w:pPr>
            <w:r>
              <w:rPr>
                <w:color w:val="231F20"/>
                <w:sz w:val="14"/>
              </w:rPr>
              <w:t>1.8</w:t>
            </w:r>
          </w:p>
        </w:tc>
        <w:tc>
          <w:tcPr>
            <w:tcW w:w="876" w:type="dxa"/>
            <w:gridSpan w:val="2"/>
          </w:tcPr>
          <w:p>
            <w:pPr>
              <w:pStyle w:val="TableParagraph"/>
              <w:spacing w:line="120" w:lineRule="exact"/>
              <w:ind w:left="336" w:right="325"/>
              <w:jc w:val="center"/>
              <w:rPr>
                <w:sz w:val="14"/>
              </w:rPr>
            </w:pPr>
            <w:r>
              <w:rPr>
                <w:color w:val="231F20"/>
                <w:sz w:val="14"/>
              </w:rPr>
              <w:t>2.9</w:t>
            </w:r>
          </w:p>
        </w:tc>
        <w:tc>
          <w:tcPr>
            <w:tcW w:w="526" w:type="dxa"/>
          </w:tcPr>
          <w:p>
            <w:pPr>
              <w:pStyle w:val="TableParagraph"/>
              <w:spacing w:line="120" w:lineRule="exact"/>
              <w:ind w:left="-8" w:right="186"/>
              <w:jc w:val="right"/>
              <w:rPr>
                <w:sz w:val="14"/>
              </w:rPr>
            </w:pPr>
            <w:r>
              <w:rPr>
                <w:color w:val="231F20"/>
                <w:sz w:val="14"/>
              </w:rPr>
              <w:t>1.3</w:t>
            </w:r>
          </w:p>
        </w:tc>
      </w:tr>
      <w:tr>
        <w:trPr>
          <w:trHeight w:val="140" w:hRule="atLeast"/>
        </w:trPr>
        <w:tc>
          <w:tcPr>
            <w:tcW w:w="408" w:type="dxa"/>
          </w:tcPr>
          <w:p>
            <w:pPr>
              <w:pStyle w:val="TableParagraph"/>
              <w:rPr>
                <w:sz w:val="8"/>
              </w:rPr>
            </w:pPr>
          </w:p>
        </w:tc>
        <w:tc>
          <w:tcPr>
            <w:tcW w:w="749" w:type="dxa"/>
          </w:tcPr>
          <w:p>
            <w:pPr>
              <w:pStyle w:val="TableParagraph"/>
              <w:spacing w:line="120" w:lineRule="exact"/>
              <w:ind w:left="62"/>
              <w:rPr>
                <w:sz w:val="14"/>
              </w:rPr>
            </w:pPr>
            <w:r>
              <w:rPr>
                <w:color w:val="231F20"/>
                <w:sz w:val="14"/>
              </w:rPr>
              <w:t>Q2</w:t>
            </w:r>
          </w:p>
        </w:tc>
        <w:tc>
          <w:tcPr>
            <w:tcW w:w="375" w:type="dxa"/>
          </w:tcPr>
          <w:p>
            <w:pPr>
              <w:pStyle w:val="TableParagraph"/>
              <w:spacing w:line="120" w:lineRule="exact"/>
              <w:ind w:left="5" w:right="39"/>
              <w:jc w:val="center"/>
              <w:rPr>
                <w:sz w:val="14"/>
              </w:rPr>
            </w:pPr>
            <w:r>
              <w:rPr>
                <w:color w:val="231F20"/>
                <w:sz w:val="14"/>
              </w:rPr>
              <w:t>3.7</w:t>
            </w:r>
          </w:p>
        </w:tc>
        <w:tc>
          <w:tcPr>
            <w:tcW w:w="592" w:type="dxa"/>
            <w:gridSpan w:val="2"/>
          </w:tcPr>
          <w:p>
            <w:pPr>
              <w:pStyle w:val="TableParagraph"/>
              <w:spacing w:line="120" w:lineRule="exact"/>
              <w:ind w:left="327"/>
              <w:rPr>
                <w:sz w:val="14"/>
              </w:rPr>
            </w:pPr>
            <w:r>
              <w:rPr>
                <w:color w:val="231F20"/>
                <w:sz w:val="14"/>
              </w:rPr>
              <w:t>-1.9</w:t>
            </w:r>
          </w:p>
        </w:tc>
        <w:tc>
          <w:tcPr>
            <w:tcW w:w="712" w:type="dxa"/>
            <w:gridSpan w:val="2"/>
          </w:tcPr>
          <w:p>
            <w:pPr>
              <w:pStyle w:val="TableParagraph"/>
              <w:spacing w:line="120" w:lineRule="exact"/>
              <w:ind w:left="409"/>
              <w:rPr>
                <w:sz w:val="14"/>
              </w:rPr>
            </w:pPr>
            <w:r>
              <w:rPr>
                <w:color w:val="231F20"/>
                <w:sz w:val="14"/>
              </w:rPr>
              <w:t>0.9</w:t>
            </w:r>
          </w:p>
        </w:tc>
        <w:tc>
          <w:tcPr>
            <w:tcW w:w="876" w:type="dxa"/>
            <w:gridSpan w:val="2"/>
          </w:tcPr>
          <w:p>
            <w:pPr>
              <w:pStyle w:val="TableParagraph"/>
              <w:spacing w:line="120" w:lineRule="exact"/>
              <w:ind w:left="336" w:right="325"/>
              <w:jc w:val="center"/>
              <w:rPr>
                <w:sz w:val="14"/>
              </w:rPr>
            </w:pPr>
            <w:r>
              <w:rPr>
                <w:color w:val="231F20"/>
                <w:sz w:val="14"/>
              </w:rPr>
              <w:t>2.3</w:t>
            </w:r>
          </w:p>
        </w:tc>
        <w:tc>
          <w:tcPr>
            <w:tcW w:w="526" w:type="dxa"/>
          </w:tcPr>
          <w:p>
            <w:pPr>
              <w:pStyle w:val="TableParagraph"/>
              <w:spacing w:line="120" w:lineRule="exact"/>
              <w:ind w:left="-8" w:right="186"/>
              <w:jc w:val="right"/>
              <w:rPr>
                <w:sz w:val="14"/>
              </w:rPr>
            </w:pPr>
            <w:r>
              <w:rPr>
                <w:color w:val="231F20"/>
                <w:sz w:val="14"/>
              </w:rPr>
              <w:t>2.3</w:t>
            </w:r>
          </w:p>
        </w:tc>
      </w:tr>
      <w:tr>
        <w:trPr>
          <w:trHeight w:val="147" w:hRule="atLeast"/>
        </w:trPr>
        <w:tc>
          <w:tcPr>
            <w:tcW w:w="408" w:type="dxa"/>
          </w:tcPr>
          <w:p>
            <w:pPr>
              <w:pStyle w:val="TableParagraph"/>
              <w:rPr>
                <w:sz w:val="8"/>
              </w:rPr>
            </w:pPr>
          </w:p>
        </w:tc>
        <w:tc>
          <w:tcPr>
            <w:tcW w:w="749" w:type="dxa"/>
          </w:tcPr>
          <w:p>
            <w:pPr>
              <w:pStyle w:val="TableParagraph"/>
              <w:spacing w:line="128" w:lineRule="exact"/>
              <w:ind w:left="62"/>
              <w:rPr>
                <w:sz w:val="14"/>
              </w:rPr>
            </w:pPr>
            <w:r>
              <w:rPr>
                <w:color w:val="231F20"/>
                <w:sz w:val="14"/>
              </w:rPr>
              <w:t>Q3</w:t>
            </w:r>
          </w:p>
        </w:tc>
        <w:tc>
          <w:tcPr>
            <w:tcW w:w="375" w:type="dxa"/>
          </w:tcPr>
          <w:p>
            <w:pPr>
              <w:pStyle w:val="TableParagraph"/>
              <w:spacing w:line="128" w:lineRule="exact"/>
              <w:ind w:left="5" w:right="39"/>
              <w:jc w:val="center"/>
              <w:rPr>
                <w:sz w:val="14"/>
              </w:rPr>
            </w:pPr>
            <w:r>
              <w:rPr>
                <w:color w:val="231F20"/>
                <w:sz w:val="14"/>
              </w:rPr>
              <w:t>4.2</w:t>
            </w:r>
          </w:p>
        </w:tc>
        <w:tc>
          <w:tcPr>
            <w:tcW w:w="592" w:type="dxa"/>
            <w:gridSpan w:val="2"/>
          </w:tcPr>
          <w:p>
            <w:pPr>
              <w:pStyle w:val="TableParagraph"/>
              <w:spacing w:line="128" w:lineRule="exact"/>
              <w:ind w:left="327"/>
              <w:rPr>
                <w:sz w:val="14"/>
              </w:rPr>
            </w:pPr>
            <w:r>
              <w:rPr>
                <w:color w:val="231F20"/>
                <w:sz w:val="14"/>
              </w:rPr>
              <w:t>-0.4</w:t>
            </w:r>
          </w:p>
        </w:tc>
        <w:tc>
          <w:tcPr>
            <w:tcW w:w="712" w:type="dxa"/>
            <w:gridSpan w:val="2"/>
          </w:tcPr>
          <w:p>
            <w:pPr>
              <w:pStyle w:val="TableParagraph"/>
              <w:spacing w:line="128" w:lineRule="exact"/>
              <w:ind w:left="409"/>
              <w:rPr>
                <w:sz w:val="14"/>
              </w:rPr>
            </w:pPr>
            <w:r>
              <w:rPr>
                <w:color w:val="231F20"/>
                <w:sz w:val="14"/>
              </w:rPr>
              <w:t>0.9</w:t>
            </w:r>
          </w:p>
        </w:tc>
        <w:tc>
          <w:tcPr>
            <w:tcW w:w="876" w:type="dxa"/>
            <w:gridSpan w:val="2"/>
          </w:tcPr>
          <w:p>
            <w:pPr>
              <w:pStyle w:val="TableParagraph"/>
              <w:spacing w:line="128" w:lineRule="exact"/>
              <w:ind w:left="356"/>
              <w:rPr>
                <w:sz w:val="12"/>
              </w:rPr>
            </w:pPr>
            <w:r>
              <w:rPr>
                <w:color w:val="231F20"/>
                <w:sz w:val="14"/>
              </w:rPr>
              <w:t>2.9 </w:t>
            </w:r>
            <w:r>
              <w:rPr>
                <w:color w:val="231F20"/>
                <w:sz w:val="12"/>
              </w:rPr>
              <w:t>(c)</w:t>
            </w:r>
          </w:p>
        </w:tc>
        <w:tc>
          <w:tcPr>
            <w:tcW w:w="526" w:type="dxa"/>
          </w:tcPr>
          <w:p>
            <w:pPr>
              <w:pStyle w:val="TableParagraph"/>
              <w:spacing w:line="128" w:lineRule="exact"/>
              <w:ind w:left="-8" w:right="186"/>
              <w:jc w:val="right"/>
              <w:rPr>
                <w:sz w:val="14"/>
              </w:rPr>
            </w:pPr>
            <w:r>
              <w:rPr>
                <w:color w:val="231F20"/>
                <w:sz w:val="14"/>
              </w:rPr>
              <w:t>n.a.</w:t>
            </w:r>
          </w:p>
        </w:tc>
      </w:tr>
    </w:tbl>
    <w:p>
      <w:pPr>
        <w:spacing w:before="102"/>
        <w:ind w:left="170" w:right="0" w:firstLine="0"/>
        <w:jc w:val="left"/>
        <w:rPr>
          <w:sz w:val="12"/>
        </w:rPr>
      </w:pPr>
      <w:r>
        <w:rPr>
          <w:color w:val="231F20"/>
          <w:sz w:val="12"/>
        </w:rPr>
        <w:t>Source: OECD </w:t>
      </w:r>
      <w:r>
        <w:rPr>
          <w:i/>
          <w:color w:val="231F20"/>
          <w:sz w:val="12"/>
        </w:rPr>
        <w:t>Main Economic Indicators</w:t>
      </w:r>
      <w:r>
        <w:rPr>
          <w:color w:val="231F20"/>
          <w:sz w:val="12"/>
        </w:rPr>
        <w:t>.</w:t>
      </w:r>
    </w:p>
    <w:p>
      <w:pPr>
        <w:pStyle w:val="BodyText"/>
        <w:spacing w:before="2"/>
        <w:rPr>
          <w:sz w:val="10"/>
        </w:rPr>
      </w:pPr>
    </w:p>
    <w:p>
      <w:pPr>
        <w:pStyle w:val="ListParagraph"/>
        <w:numPr>
          <w:ilvl w:val="0"/>
          <w:numId w:val="11"/>
        </w:numPr>
        <w:tabs>
          <w:tab w:pos="410" w:val="left" w:leader="none"/>
        </w:tabs>
        <w:spacing w:line="208" w:lineRule="auto" w:before="0" w:after="0"/>
        <w:ind w:left="410" w:right="573" w:hanging="240"/>
        <w:jc w:val="left"/>
        <w:rPr>
          <w:sz w:val="12"/>
        </w:rPr>
      </w:pPr>
      <w:r>
        <w:rPr>
          <w:color w:val="231F20"/>
          <w:sz w:val="12"/>
        </w:rPr>
        <w:t>The Group of Seven economies are the United States, Japan, </w:t>
      </w:r>
      <w:r>
        <w:rPr>
          <w:color w:val="231F20"/>
          <w:spacing w:val="-3"/>
          <w:sz w:val="12"/>
        </w:rPr>
        <w:t>Germany, </w:t>
      </w:r>
      <w:r>
        <w:rPr>
          <w:color w:val="231F20"/>
          <w:sz w:val="12"/>
        </w:rPr>
        <w:t>Canada, France, Italy and the United Kingdom.</w:t>
      </w:r>
    </w:p>
    <w:p>
      <w:pPr>
        <w:pStyle w:val="ListParagraph"/>
        <w:numPr>
          <w:ilvl w:val="0"/>
          <w:numId w:val="11"/>
        </w:numPr>
        <w:tabs>
          <w:tab w:pos="411" w:val="left" w:leader="none"/>
        </w:tabs>
        <w:spacing w:line="114" w:lineRule="exact" w:before="0" w:after="0"/>
        <w:ind w:left="410" w:right="0" w:hanging="241"/>
        <w:jc w:val="left"/>
        <w:rPr>
          <w:sz w:val="12"/>
        </w:rPr>
      </w:pPr>
      <w:r>
        <w:rPr>
          <w:color w:val="231F20"/>
          <w:sz w:val="12"/>
        </w:rPr>
        <w:t>Domestic demand = GDP – exports + imports.</w:t>
      </w:r>
    </w:p>
    <w:p>
      <w:pPr>
        <w:pStyle w:val="ListParagraph"/>
        <w:numPr>
          <w:ilvl w:val="0"/>
          <w:numId w:val="11"/>
        </w:numPr>
        <w:tabs>
          <w:tab w:pos="410" w:val="left" w:leader="none"/>
        </w:tabs>
        <w:spacing w:line="129" w:lineRule="exact" w:before="0" w:after="0"/>
        <w:ind w:left="409" w:right="0" w:hanging="240"/>
        <w:jc w:val="left"/>
        <w:rPr>
          <w:sz w:val="12"/>
        </w:rPr>
      </w:pPr>
      <w:r>
        <w:rPr>
          <w:color w:val="231F20"/>
          <w:sz w:val="12"/>
        </w:rPr>
        <w:t>Provisional data.</w:t>
      </w:r>
    </w:p>
    <w:p>
      <w:pPr>
        <w:pStyle w:val="BodyText"/>
        <w:rPr>
          <w:sz w:val="12"/>
        </w:rPr>
      </w:pPr>
    </w:p>
    <w:p>
      <w:pPr>
        <w:pStyle w:val="BodyText"/>
        <w:spacing w:before="4"/>
        <w:rPr>
          <w:sz w:val="12"/>
        </w:rPr>
      </w:pPr>
    </w:p>
    <w:p>
      <w:pPr>
        <w:pStyle w:val="Heading9"/>
        <w:spacing w:before="1"/>
        <w:ind w:left="240"/>
      </w:pPr>
      <w:r>
        <w:rPr>
          <w:color w:val="0093C1"/>
        </w:rPr>
        <w:t>Chart 2.1</w:t>
      </w:r>
    </w:p>
    <w:p>
      <w:pPr>
        <w:spacing w:line="249" w:lineRule="auto" w:before="10"/>
        <w:ind w:left="240" w:right="824" w:firstLine="0"/>
        <w:jc w:val="left"/>
        <w:rPr>
          <w:b/>
          <w:sz w:val="20"/>
        </w:rPr>
      </w:pPr>
      <w:r>
        <w:rPr>
          <w:b/>
          <w:color w:val="0093C1"/>
          <w:sz w:val="20"/>
        </w:rPr>
        <w:t>Estimated contributions of net trade to quarterly GDP growth</w:t>
      </w:r>
    </w:p>
    <w:p>
      <w:pPr>
        <w:spacing w:line="170" w:lineRule="atLeast" w:before="91"/>
        <w:ind w:left="500" w:right="2191" w:firstLine="0"/>
        <w:jc w:val="left"/>
        <w:rPr>
          <w:sz w:val="12"/>
        </w:rPr>
      </w:pPr>
      <w:r>
        <w:rPr/>
        <w:drawing>
          <wp:anchor distT="0" distB="0" distL="0" distR="0" allowOverlap="1" layoutInCell="1" locked="0" behindDoc="0" simplePos="0" relativeHeight="15807488">
            <wp:simplePos x="0" y="0"/>
            <wp:positionH relativeFrom="page">
              <wp:posOffset>561975</wp:posOffset>
            </wp:positionH>
            <wp:positionV relativeFrom="paragraph">
              <wp:posOffset>57172</wp:posOffset>
            </wp:positionV>
            <wp:extent cx="107950" cy="209550"/>
            <wp:effectExtent l="0" t="0" r="0" b="0"/>
            <wp:wrapNone/>
            <wp:docPr id="1" name="image6.png"/>
            <wp:cNvGraphicFramePr>
              <a:graphicFrameLocks noChangeAspect="1"/>
            </wp:cNvGraphicFramePr>
            <a:graphic>
              <a:graphicData uri="http://schemas.openxmlformats.org/drawingml/2006/picture">
                <pic:pic>
                  <pic:nvPicPr>
                    <pic:cNvPr id="2" name="image6.png"/>
                    <pic:cNvPicPr/>
                  </pic:nvPicPr>
                  <pic:blipFill>
                    <a:blip r:embed="rId36" cstate="print"/>
                    <a:stretch>
                      <a:fillRect/>
                    </a:stretch>
                  </pic:blipFill>
                  <pic:spPr>
                    <a:xfrm>
                      <a:off x="0" y="0"/>
                      <a:ext cx="107950" cy="209550"/>
                    </a:xfrm>
                    <a:prstGeom prst="rect">
                      <a:avLst/>
                    </a:prstGeom>
                  </pic:spPr>
                </pic:pic>
              </a:graphicData>
            </a:graphic>
          </wp:anchor>
        </w:drawing>
      </w:r>
      <w:r>
        <w:rPr>
          <w:sz w:val="12"/>
        </w:rPr>
        <w:t>Net trade excluding oil and erratics Net trade</w:t>
      </w:r>
    </w:p>
    <w:p>
      <w:pPr>
        <w:pStyle w:val="BodyText"/>
        <w:spacing w:before="7"/>
        <w:rPr>
          <w:sz w:val="22"/>
        </w:rPr>
      </w:pPr>
      <w:r>
        <w:rPr/>
        <w:br w:type="column"/>
      </w:r>
      <w:r>
        <w:rPr>
          <w:sz w:val="22"/>
        </w:rPr>
      </w:r>
    </w:p>
    <w:p>
      <w:pPr>
        <w:pStyle w:val="Heading5"/>
        <w:spacing w:line="242" w:lineRule="auto"/>
        <w:ind w:left="170" w:right="29"/>
      </w:pPr>
      <w:r>
        <w:rPr>
          <w:color w:val="231F20"/>
        </w:rPr>
        <w:t>could be larger than in the central case, and this is reflected in the distribution of risks. A much larger crisis resulting from contagion affecting other countries is possible, but unlikely.</w:t>
      </w:r>
    </w:p>
    <w:p>
      <w:pPr>
        <w:pStyle w:val="BodyText"/>
        <w:spacing w:before="3"/>
        <w:rPr>
          <w:sz w:val="28"/>
        </w:rPr>
      </w:pPr>
    </w:p>
    <w:p>
      <w:pPr>
        <w:spacing w:line="242" w:lineRule="auto" w:before="0"/>
        <w:ind w:left="170" w:right="225" w:firstLine="0"/>
        <w:jc w:val="left"/>
        <w:rPr>
          <w:sz w:val="24"/>
        </w:rPr>
      </w:pPr>
      <w:r>
        <w:rPr>
          <w:color w:val="231F20"/>
          <w:sz w:val="24"/>
        </w:rPr>
        <w:t>Domestic demand in the G7 picked up in 1997 Q3, as </w:t>
      </w:r>
      <w:r>
        <w:rPr>
          <w:color w:val="231F20"/>
          <w:spacing w:val="-4"/>
          <w:sz w:val="24"/>
        </w:rPr>
        <w:t>Table </w:t>
      </w:r>
      <w:r>
        <w:rPr>
          <w:color w:val="231F20"/>
          <w:sz w:val="24"/>
        </w:rPr>
        <w:t>2.A shows. The US economy grew more rapidly in 1997 than in the previous year, and the preliminary estimates for the year to 1997 Q4 were strong: </w:t>
      </w:r>
      <w:r>
        <w:rPr>
          <w:color w:val="231F20"/>
          <w:spacing w:val="-3"/>
          <w:sz w:val="24"/>
        </w:rPr>
        <w:t>domestic </w:t>
      </w:r>
      <w:r>
        <w:rPr>
          <w:color w:val="231F20"/>
          <w:sz w:val="24"/>
        </w:rPr>
        <w:t>demand and GDP grew by 4.3% and 3.9% respectively. The picture in Japan was much weaker: domestic demand fell by 0.4% in the year to 1997 Q3, and GDP grew by 1% in the same period. Growth in European economies picked up in the year to 1997 Q2, partly because of stronger domestic demand</w:t>
      </w:r>
      <w:r>
        <w:rPr>
          <w:color w:val="231F20"/>
          <w:spacing w:val="-2"/>
          <w:sz w:val="24"/>
        </w:rPr>
        <w:t> </w:t>
      </w:r>
      <w:r>
        <w:rPr>
          <w:color w:val="231F20"/>
          <w:sz w:val="24"/>
        </w:rPr>
        <w:t>growth.</w:t>
      </w:r>
    </w:p>
    <w:p>
      <w:pPr>
        <w:pStyle w:val="BodyText"/>
        <w:spacing w:before="11"/>
        <w:rPr>
          <w:sz w:val="28"/>
        </w:rPr>
      </w:pPr>
    </w:p>
    <w:p>
      <w:pPr>
        <w:spacing w:line="242" w:lineRule="auto" w:before="0"/>
        <w:ind w:left="170" w:right="29" w:firstLine="0"/>
        <w:jc w:val="left"/>
        <w:rPr>
          <w:sz w:val="24"/>
        </w:rPr>
      </w:pPr>
      <w:r>
        <w:rPr>
          <w:color w:val="231F20"/>
          <w:sz w:val="24"/>
        </w:rPr>
        <w:t>Data releases and revisions to past numbers suggest that sterling’s 25% appreciation since August 1996 has begun to affect UK trade. The trade deficit with non-EU countries has widened substantially in recent months.</w:t>
      </w:r>
    </w:p>
    <w:p>
      <w:pPr>
        <w:spacing w:after="0" w:line="242" w:lineRule="auto"/>
        <w:jc w:val="left"/>
        <w:rPr>
          <w:sz w:val="24"/>
        </w:rPr>
        <w:sectPr>
          <w:type w:val="continuous"/>
          <w:pgSz w:w="11880" w:h="16840"/>
          <w:pgMar w:top="1200" w:bottom="280" w:left="620" w:right="620"/>
          <w:cols w:num="2" w:equalWidth="0">
            <w:col w:w="4401" w:space="429"/>
            <w:col w:w="5810"/>
          </w:cols>
        </w:sectPr>
      </w:pPr>
    </w:p>
    <w:p>
      <w:pPr>
        <w:spacing w:before="5"/>
        <w:ind w:left="0" w:right="0" w:firstLine="0"/>
        <w:jc w:val="right"/>
        <w:rPr>
          <w:sz w:val="12"/>
        </w:rPr>
      </w:pPr>
      <w:r>
        <w:rPr>
          <w:sz w:val="12"/>
        </w:rPr>
        <w:t>Percentage points</w:t>
      </w:r>
    </w:p>
    <w:p>
      <w:pPr>
        <w:tabs>
          <w:tab w:pos="3565" w:val="left" w:leader="none"/>
        </w:tabs>
        <w:spacing w:line="20" w:lineRule="exact"/>
        <w:ind w:left="265"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rPr>
          <w:sz w:val="13"/>
        </w:rPr>
      </w:pPr>
      <w:r>
        <w:rPr/>
        <w:pict>
          <v:shape style="position:absolute;margin-left:44.5pt;margin-top:9.700976pt;width:5pt;height:.1pt;mso-position-horizontal-relative:page;mso-position-vertical-relative:paragraph;z-index:-15657472;mso-wrap-distance-left:0;mso-wrap-distance-right:0" coordorigin="890,194" coordsize="100,0" path="m990,194l890,194e" filled="false" stroked="true" strokeweight=".5pt" strokecolor="#000000">
            <v:path arrowok="t"/>
            <v:stroke dashstyle="solid"/>
            <w10:wrap type="topAndBottom"/>
          </v:shape>
        </w:pict>
      </w:r>
      <w:r>
        <w:rPr/>
        <w:pict>
          <v:shape style="position:absolute;margin-left:209.5pt;margin-top:9.700976pt;width:4pt;height:.1pt;mso-position-horizontal-relative:page;mso-position-vertical-relative:paragraph;z-index:-15656960;mso-wrap-distance-left:0;mso-wrap-distance-right:0" coordorigin="4190,194" coordsize="80,0" path="m4270,194l4190,194e" filled="false" stroked="true" strokeweight=".5pt" strokecolor="#000000">
            <v:path arrowok="t"/>
            <v:stroke dashstyle="solid"/>
            <w10:wrap type="topAndBottom"/>
          </v:shape>
        </w:pict>
      </w:r>
    </w:p>
    <w:p>
      <w:pPr>
        <w:spacing w:before="98"/>
        <w:ind w:left="18" w:right="0" w:firstLine="0"/>
        <w:jc w:val="left"/>
        <w:rPr>
          <w:sz w:val="12"/>
        </w:rPr>
      </w:pPr>
      <w:r>
        <w:rPr/>
        <w:br w:type="column"/>
      </w:r>
      <w:r>
        <w:rPr>
          <w:sz w:val="12"/>
        </w:rPr>
        <w:t>0.6</w:t>
      </w:r>
    </w:p>
    <w:p>
      <w:pPr>
        <w:pStyle w:val="BodyText"/>
        <w:rPr>
          <w:sz w:val="12"/>
        </w:rPr>
      </w:pPr>
    </w:p>
    <w:p>
      <w:pPr>
        <w:pStyle w:val="BodyText"/>
        <w:spacing w:before="6"/>
        <w:rPr>
          <w:sz w:val="12"/>
        </w:rPr>
      </w:pPr>
    </w:p>
    <w:p>
      <w:pPr>
        <w:spacing w:before="1"/>
        <w:ind w:left="18" w:right="0" w:firstLine="0"/>
        <w:jc w:val="left"/>
        <w:rPr>
          <w:sz w:val="12"/>
        </w:rPr>
      </w:pPr>
      <w:r>
        <w:rPr>
          <w:sz w:val="12"/>
        </w:rPr>
        <w:t>0.4</w:t>
      </w:r>
    </w:p>
    <w:p>
      <w:pPr>
        <w:pStyle w:val="Heading5"/>
        <w:spacing w:line="187" w:lineRule="exact"/>
        <w:ind w:left="265"/>
      </w:pPr>
      <w:r>
        <w:rPr/>
        <w:br w:type="column"/>
      </w:r>
      <w:r>
        <w:rPr>
          <w:color w:val="231F20"/>
        </w:rPr>
        <w:t>Though the deficit with EU countries has been fairly</w:t>
      </w:r>
    </w:p>
    <w:p>
      <w:pPr>
        <w:spacing w:line="242" w:lineRule="auto" w:before="4"/>
        <w:ind w:left="265" w:right="548" w:firstLine="0"/>
        <w:jc w:val="left"/>
        <w:rPr>
          <w:sz w:val="24"/>
        </w:rPr>
      </w:pPr>
      <w:r>
        <w:rPr>
          <w:color w:val="231F20"/>
          <w:sz w:val="24"/>
        </w:rPr>
        <w:t>stable, this may be partly because of strong domestic demand growth in continental Europe.</w:t>
      </w:r>
    </w:p>
    <w:p>
      <w:pPr>
        <w:spacing w:after="0" w:line="242" w:lineRule="auto"/>
        <w:jc w:val="left"/>
        <w:rPr>
          <w:sz w:val="24"/>
        </w:rPr>
        <w:sectPr>
          <w:type w:val="continuous"/>
          <w:pgSz w:w="11880" w:h="16840"/>
          <w:pgMar w:top="1200" w:bottom="280" w:left="620" w:right="620"/>
          <w:cols w:num="3" w:equalWidth="0">
            <w:col w:w="3656" w:space="40"/>
            <w:col w:w="209" w:space="830"/>
            <w:col w:w="5905"/>
          </w:cols>
        </w:sectPr>
      </w:pPr>
    </w:p>
    <w:p>
      <w:pPr>
        <w:pStyle w:val="BodyText"/>
        <w:rPr>
          <w:sz w:val="10"/>
        </w:rPr>
      </w:pPr>
    </w:p>
    <w:p>
      <w:pPr>
        <w:spacing w:after="0"/>
        <w:rPr>
          <w:sz w:val="10"/>
        </w:rPr>
        <w:sectPr>
          <w:type w:val="continuous"/>
          <w:pgSz w:w="11880" w:h="16840"/>
          <w:pgMar w:top="1200" w:bottom="280" w:left="620" w:right="620"/>
        </w:sectPr>
      </w:pPr>
    </w:p>
    <w:p>
      <w:pPr>
        <w:pStyle w:val="BodyText"/>
        <w:spacing w:before="9" w:after="1"/>
        <w:rPr>
          <w:sz w:val="13"/>
        </w:rPr>
      </w:pPr>
    </w:p>
    <w:p>
      <w:pPr>
        <w:pStyle w:val="BodyText"/>
        <w:spacing w:line="20" w:lineRule="exact"/>
        <w:ind w:left="2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rPr>
          <w:sz w:val="11"/>
        </w:rPr>
      </w:pPr>
      <w:r>
        <w:rPr/>
        <w:pict>
          <v:shape style="position:absolute;margin-left:44.5pt;margin-top:8.750977pt;width:5pt;height:.1pt;mso-position-horizontal-relative:page;mso-position-vertical-relative:paragraph;z-index:-15655936;mso-wrap-distance-left:0;mso-wrap-distance-right:0" coordorigin="890,175" coordsize="100,0" path="m990,175l890,175e" filled="false" stroked="true" strokeweight=".5pt" strokecolor="#000000">
            <v:path arrowok="t"/>
            <v:stroke dashstyle="solid"/>
            <w10:wrap type="topAndBottom"/>
          </v:shape>
        </w:pict>
      </w:r>
      <w:r>
        <w:rPr/>
        <w:pict>
          <v:shape style="position:absolute;margin-left:44.5pt;margin-top:29.750977pt;width:5pt;height:.1pt;mso-position-horizontal-relative:page;mso-position-vertical-relative:paragraph;z-index:-15655424;mso-wrap-distance-left:0;mso-wrap-distance-right:0" coordorigin="890,595" coordsize="100,0" path="m990,595l890,595e" filled="false" stroked="true" strokeweight=".5pt" strokecolor="#000000">
            <v:path arrowok="t"/>
            <v:stroke dashstyle="solid"/>
            <w10:wrap type="topAndBottom"/>
          </v:shape>
        </w:pict>
      </w:r>
    </w:p>
    <w:p>
      <w:pPr>
        <w:pStyle w:val="BodyText"/>
        <w:spacing w:before="8"/>
        <w:rPr>
          <w:sz w:val="29"/>
        </w:rPr>
      </w:pPr>
    </w:p>
    <w:p>
      <w:pPr>
        <w:pStyle w:val="BodyText"/>
        <w:rPr>
          <w:sz w:val="20"/>
        </w:rPr>
      </w:pPr>
    </w:p>
    <w:p>
      <w:pPr>
        <w:pStyle w:val="BodyText"/>
        <w:spacing w:before="5"/>
        <w:rPr>
          <w:sz w:val="11"/>
        </w:rPr>
      </w:pPr>
      <w:r>
        <w:rPr/>
        <w:pict>
          <v:shape style="position:absolute;margin-left:44.5pt;margin-top:8.800977pt;width:5pt;height:.1pt;mso-position-horizontal-relative:page;mso-position-vertical-relative:paragraph;z-index:-15654912;mso-wrap-distance-left:0;mso-wrap-distance-right:0" coordorigin="890,176" coordsize="100,0" path="m990,176l890,176e" filled="false" stroked="true" strokeweight=".5pt" strokecolor="#000000">
            <v:path arrowok="t"/>
            <v:stroke dashstyle="solid"/>
            <w10:wrap type="topAndBottom"/>
          </v:shape>
        </w:pict>
      </w:r>
      <w:r>
        <w:rPr/>
        <w:pict>
          <v:shape style="position:absolute;margin-left:44.5pt;margin-top:29.800976pt;width:5pt;height:.1pt;mso-position-horizontal-relative:page;mso-position-vertical-relative:paragraph;z-index:-15654400;mso-wrap-distance-left:0;mso-wrap-distance-right:0" coordorigin="890,596" coordsize="100,0" path="m990,596l890,596e" filled="false" stroked="true" strokeweight=".5pt" strokecolor="#000000">
            <v:path arrowok="t"/>
            <v:stroke dashstyle="solid"/>
            <w10:wrap type="topAndBottom"/>
          </v:shape>
        </w:pict>
      </w:r>
    </w:p>
    <w:p>
      <w:pPr>
        <w:pStyle w:val="BodyText"/>
        <w:spacing w:before="8"/>
        <w:rPr>
          <w:sz w:val="29"/>
        </w:rPr>
      </w:pPr>
    </w:p>
    <w:p>
      <w:pPr>
        <w:pStyle w:val="BodyText"/>
        <w:rPr>
          <w:sz w:val="12"/>
        </w:rPr>
      </w:pPr>
    </w:p>
    <w:p>
      <w:pPr>
        <w:pStyle w:val="BodyText"/>
        <w:rPr>
          <w:sz w:val="12"/>
        </w:rPr>
      </w:pPr>
    </w:p>
    <w:p>
      <w:pPr>
        <w:tabs>
          <w:tab w:pos="1899" w:val="left" w:leader="none"/>
          <w:tab w:pos="2893" w:val="left" w:leader="none"/>
        </w:tabs>
        <w:spacing w:line="220" w:lineRule="atLeast" w:before="92"/>
        <w:ind w:left="1860" w:right="0" w:hanging="974"/>
        <w:jc w:val="left"/>
        <w:rPr>
          <w:sz w:val="12"/>
        </w:rPr>
      </w:pPr>
      <w:r>
        <w:rPr/>
        <w:pict>
          <v:line style="position:absolute;mso-position-horizontal-relative:page;mso-position-vertical-relative:paragraph;z-index:15803392" from="49.5pt,6.469158pt" to="44.5pt,6.469158pt" stroked="true" strokeweight=".5pt" strokecolor="#000000">
            <v:stroke dashstyle="solid"/>
            <w10:wrap type="none"/>
          </v:line>
        </w:pict>
      </w:r>
      <w:r>
        <w:rPr>
          <w:sz w:val="12"/>
        </w:rPr>
        <w:t>Q1</w:t>
        <w:tab/>
        <w:tab/>
        <w:t>Q2</w:t>
        <w:tab/>
      </w:r>
      <w:r>
        <w:rPr>
          <w:spacing w:val="-10"/>
          <w:sz w:val="12"/>
        </w:rPr>
        <w:t>Q3 </w:t>
      </w:r>
      <w:r>
        <w:rPr>
          <w:sz w:val="12"/>
        </w:rPr>
        <w:t>1997</w:t>
      </w:r>
    </w:p>
    <w:p>
      <w:pPr>
        <w:spacing w:before="95"/>
        <w:ind w:left="0" w:right="38" w:firstLine="0"/>
        <w:jc w:val="right"/>
        <w:rPr>
          <w:sz w:val="12"/>
        </w:rPr>
      </w:pPr>
      <w:r>
        <w:rPr/>
        <w:br w:type="column"/>
      </w:r>
      <w:r>
        <w:rPr>
          <w:sz w:val="12"/>
        </w:rPr>
        <w:t>0.2</w:t>
      </w:r>
    </w:p>
    <w:p>
      <w:pPr>
        <w:spacing w:before="38"/>
        <w:ind w:left="559" w:right="0" w:firstLine="0"/>
        <w:jc w:val="left"/>
        <w:rPr>
          <w:sz w:val="16"/>
        </w:rPr>
      </w:pPr>
      <w:r>
        <w:rPr/>
        <w:pict>
          <v:group style="position:absolute;margin-left:54.5pt;margin-top:-40.714241pt;width:150pt;height:144.5pt;mso-position-horizontal-relative:page;mso-position-vertical-relative:paragraph;z-index:-20285952" coordorigin="1090,-814" coordsize="3000,2890">
            <v:shape style="position:absolute;left:1090;top:348;width:3000;height:5" coordorigin="1090,348" coordsize="3000,5" path="m1090,348l1590,348m1930,348l2250,348m2590,348l4090,348m1090,353l2590,353m2930,353l3270,353m3930,353l4090,353e" filled="false" stroked="true" strokeweight=".25pt" strokecolor="#000000">
              <v:path arrowok="t"/>
              <v:stroke dashstyle="solid"/>
            </v:shape>
            <v:rect style="position:absolute;left:1250;top:-810;width:340;height:1160" filled="true" fillcolor="#008256" stroked="false">
              <v:fill type="solid"/>
            </v:rect>
            <v:rect style="position:absolute;left:1250;top:-810;width:340;height:1160" filled="false" stroked="true" strokeweight=".5pt" strokecolor="#000000">
              <v:stroke dashstyle="solid"/>
            </v:rect>
            <v:rect style="position:absolute;left:2250;top:150;width:340;height:200" filled="true" fillcolor="#008256" stroked="false">
              <v:fill type="solid"/>
            </v:rect>
            <v:rect style="position:absolute;left:2250;top:150;width:340;height:200" filled="false" stroked="true" strokeweight=".5pt" strokecolor="#000000">
              <v:stroke dashstyle="solid"/>
            </v:rect>
            <v:rect style="position:absolute;left:3270;top:350;width:320;height:1640" filled="true" fillcolor="#008256" stroked="false">
              <v:fill type="solid"/>
            </v:rect>
            <v:rect style="position:absolute;left:3270;top:350;width:320;height:1640" filled="false" stroked="true" strokeweight=".5pt" strokecolor="#000000">
              <v:stroke dashstyle="solid"/>
            </v:rect>
            <v:rect style="position:absolute;left:1590;top:-170;width:340;height:520" filled="true" fillcolor="#e1eecd" stroked="false">
              <v:fill type="solid"/>
            </v:rect>
            <v:rect style="position:absolute;left:1590;top:-170;width:340;height:520" filled="false" stroked="true" strokeweight=".5pt" strokecolor="#000000">
              <v:stroke dashstyle="solid"/>
            </v:rect>
            <v:rect style="position:absolute;left:2590;top:350;width:340;height:960" filled="true" fillcolor="#e1eecd" stroked="false">
              <v:fill type="solid"/>
            </v:rect>
            <v:rect style="position:absolute;left:2590;top:350;width:340;height:960" filled="false" stroked="true" strokeweight=".5pt" strokecolor="#000000">
              <v:stroke dashstyle="solid"/>
            </v:rect>
            <v:rect style="position:absolute;left:3590;top:350;width:340;height:160" filled="true" fillcolor="#e1eecd" stroked="false">
              <v:fill type="solid"/>
            </v:rect>
            <v:rect style="position:absolute;left:3590;top:350;width:340;height:160" filled="false" stroked="true" strokeweight=".5pt" strokecolor="#000000">
              <v:stroke dashstyle="solid"/>
            </v:rect>
            <v:shape style="position:absolute;left:1090;top:1970;width:3000;height:100" coordorigin="1090,1971" coordsize="3000,100" path="m1590,2071l1590,2031m2590,2071l2590,2031m3590,2071l3590,2031m1590,2071l1590,1971m4090,2071l1090,2071e" filled="false" stroked="true" strokeweight=".5pt" strokecolor="#000000">
              <v:path arrowok="t"/>
              <v:stroke dashstyle="solid"/>
            </v:shape>
            <w10:wrap type="none"/>
          </v:group>
        </w:pict>
      </w:r>
      <w:r>
        <w:rPr/>
        <w:pict>
          <v:line style="position:absolute;mso-position-horizontal-relative:page;mso-position-vertical-relative:paragraph;z-index:15806976" from="213.5pt,-3.464241pt" to="209.5pt,-3.464241pt" stroked="true" strokeweight=".5pt" strokecolor="#000000">
            <v:stroke dashstyle="solid"/>
            <w10:wrap type="none"/>
          </v:line>
        </w:pict>
      </w:r>
      <w:r>
        <w:rPr>
          <w:sz w:val="16"/>
        </w:rPr>
        <w:t>+</w:t>
      </w:r>
    </w:p>
    <w:p>
      <w:pPr>
        <w:spacing w:line="127" w:lineRule="exact" w:before="80"/>
        <w:ind w:left="633" w:right="0" w:firstLine="0"/>
        <w:jc w:val="left"/>
        <w:rPr>
          <w:sz w:val="12"/>
        </w:rPr>
      </w:pPr>
      <w:r>
        <w:rPr/>
        <w:pict>
          <v:line style="position:absolute;mso-position-horizontal-relative:page;mso-position-vertical-relative:paragraph;z-index:15806464" from="213.5pt,6.434557pt" to="209.5pt,6.434557pt" stroked="true" strokeweight=".5pt" strokecolor="#000000">
            <v:stroke dashstyle="solid"/>
            <w10:wrap type="none"/>
          </v:line>
        </w:pict>
      </w:r>
      <w:r>
        <w:rPr>
          <w:sz w:val="12"/>
        </w:rPr>
        <w:t>0.0</w:t>
      </w:r>
    </w:p>
    <w:p>
      <w:pPr>
        <w:spacing w:line="173" w:lineRule="exact" w:before="0"/>
        <w:ind w:left="559" w:right="0" w:firstLine="0"/>
        <w:jc w:val="left"/>
        <w:rPr>
          <w:sz w:val="16"/>
        </w:rPr>
      </w:pPr>
      <w:r>
        <w:rPr>
          <w:sz w:val="16"/>
        </w:rPr>
        <w:t>_</w:t>
      </w:r>
    </w:p>
    <w:p>
      <w:pPr>
        <w:spacing w:before="120"/>
        <w:ind w:left="0" w:right="38" w:firstLine="0"/>
        <w:jc w:val="right"/>
        <w:rPr>
          <w:sz w:val="12"/>
        </w:rPr>
      </w:pPr>
      <w:r>
        <w:rPr/>
        <w:pict>
          <v:line style="position:absolute;mso-position-horizontal-relative:page;mso-position-vertical-relative:paragraph;z-index:15804416" from="213.5pt,8.434557pt" to="209.5pt,8.434557pt" stroked="true" strokeweight=".5pt" strokecolor="#000000">
            <v:stroke dashstyle="solid"/>
            <w10:wrap type="none"/>
          </v:line>
        </w:pict>
      </w:r>
      <w:r>
        <w:rPr>
          <w:sz w:val="12"/>
        </w:rPr>
        <w:t>0.2</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04928" from="213.5pt,3.434557pt" to="209.5pt,3.434557pt" stroked="true" strokeweight=".5pt" strokecolor="#000000">
            <v:stroke dashstyle="solid"/>
            <w10:wrap type="none"/>
          </v:line>
        </w:pict>
      </w:r>
      <w:r>
        <w:rPr>
          <w:sz w:val="12"/>
        </w:rPr>
        <w:t>0.4</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05440" from="213.5pt,2.434557pt" to="209.5pt,2.434557pt" stroked="true" strokeweight=".5pt" strokecolor="#000000">
            <v:stroke dashstyle="solid"/>
            <w10:wrap type="none"/>
          </v:line>
        </w:pict>
      </w:r>
      <w:r>
        <w:rPr>
          <w:sz w:val="12"/>
        </w:rPr>
        <w:t>0.6</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05952" from="213.5pt,3.434557pt" to="209.5pt,3.434557pt" stroked="true" strokeweight=".5pt" strokecolor="#000000">
            <v:stroke dashstyle="solid"/>
            <w10:wrap type="none"/>
          </v:line>
        </w:pict>
      </w:r>
      <w:r>
        <w:rPr>
          <w:sz w:val="12"/>
        </w:rPr>
        <w:t>0.8</w:t>
      </w:r>
    </w:p>
    <w:p>
      <w:pPr>
        <w:pStyle w:val="Heading5"/>
        <w:spacing w:line="242" w:lineRule="auto" w:before="207"/>
        <w:ind w:left="886"/>
      </w:pPr>
      <w:r>
        <w:rPr/>
        <w:br w:type="column"/>
      </w:r>
      <w:r>
        <w:rPr>
          <w:color w:val="231F20"/>
        </w:rPr>
        <w:t>Bank estimates suggest that the contribution of net trade, excluding oil and erratics, to GDP growth turned from positive to negative during 1997 (see Chart 2.1).</w:t>
      </w:r>
    </w:p>
    <w:p>
      <w:pPr>
        <w:spacing w:line="242" w:lineRule="auto" w:before="4"/>
        <w:ind w:left="886" w:right="414" w:firstLine="0"/>
        <w:jc w:val="left"/>
        <w:rPr>
          <w:sz w:val="24"/>
        </w:rPr>
      </w:pPr>
      <w:r>
        <w:rPr>
          <w:color w:val="231F20"/>
          <w:sz w:val="24"/>
        </w:rPr>
        <w:t>Excluding oil and erratics, trade in goods and services made negative contributions, of 0.5 percentage points and 0.2 percentage points respectively, to GDP in 1997 Q3. More recent monthly data confirm this picture. As Chart 2.2 shows, export volumes of goods (excluding oil and erratics) fell by 1.3% in the three</w:t>
      </w:r>
    </w:p>
    <w:p>
      <w:pPr>
        <w:spacing w:after="0" w:line="242" w:lineRule="auto"/>
        <w:jc w:val="left"/>
        <w:rPr>
          <w:sz w:val="24"/>
        </w:rPr>
        <w:sectPr>
          <w:type w:val="continuous"/>
          <w:pgSz w:w="11880" w:h="16840"/>
          <w:pgMar w:top="1200" w:bottom="280" w:left="620" w:right="620"/>
          <w:cols w:num="3" w:equalWidth="0">
            <w:col w:w="3041" w:space="40"/>
            <w:col w:w="824" w:space="209"/>
            <w:col w:w="6526"/>
          </w:cols>
        </w:sectPr>
      </w:pPr>
    </w:p>
    <w:p>
      <w:pPr>
        <w:spacing w:before="41"/>
        <w:ind w:left="220" w:right="0" w:firstLine="0"/>
        <w:jc w:val="left"/>
        <w:rPr>
          <w:sz w:val="12"/>
        </w:rPr>
      </w:pPr>
      <w:r>
        <w:rPr>
          <w:color w:val="231F20"/>
          <w:sz w:val="12"/>
        </w:rPr>
        <w:t>Source: Bank of England estimates based on ONS data.</w:t>
      </w:r>
    </w:p>
    <w:p>
      <w:pPr>
        <w:pStyle w:val="BodyText"/>
        <w:rPr>
          <w:sz w:val="12"/>
        </w:rPr>
      </w:pPr>
    </w:p>
    <w:p>
      <w:pPr>
        <w:pStyle w:val="BodyText"/>
        <w:spacing w:before="8"/>
        <w:rPr>
          <w:sz w:val="11"/>
        </w:rPr>
      </w:pPr>
    </w:p>
    <w:p>
      <w:pPr>
        <w:pStyle w:val="Heading9"/>
        <w:spacing w:before="0"/>
        <w:ind w:left="215"/>
      </w:pPr>
      <w:r>
        <w:rPr>
          <w:color w:val="0093C1"/>
        </w:rPr>
        <w:t>Chart 2.2</w:t>
      </w:r>
    </w:p>
    <w:p>
      <w:pPr>
        <w:spacing w:before="10"/>
        <w:ind w:left="215" w:right="0" w:firstLine="0"/>
        <w:jc w:val="left"/>
        <w:rPr>
          <w:sz w:val="12"/>
        </w:rPr>
      </w:pPr>
      <w:r>
        <w:rPr>
          <w:b/>
          <w:color w:val="0093C1"/>
          <w:sz w:val="20"/>
        </w:rPr>
        <w:t>Growth of UK goods export volumes</w:t>
      </w:r>
      <w:r>
        <w:rPr>
          <w:color w:val="231F20"/>
          <w:position w:val="4"/>
          <w:sz w:val="12"/>
        </w:rPr>
        <w:t>(a)</w:t>
      </w:r>
    </w:p>
    <w:p>
      <w:pPr>
        <w:spacing w:before="65"/>
        <w:ind w:left="3130" w:right="0" w:firstLine="0"/>
        <w:jc w:val="left"/>
        <w:rPr>
          <w:sz w:val="12"/>
        </w:rPr>
      </w:pPr>
      <w:r>
        <w:rPr/>
        <w:pict>
          <v:line style="position:absolute;mso-position-horizontal-relative:page;mso-position-vertical-relative:paragraph;z-index:15811584" from="50.279999pt,12.351558pt" to="45.279999pt,12.351558pt" stroked="true" strokeweight=".5pt" strokecolor="#000000">
            <v:stroke dashstyle="solid"/>
            <w10:wrap type="none"/>
          </v:line>
        </w:pict>
      </w:r>
      <w:r>
        <w:rPr/>
        <w:pict>
          <v:group style="position:absolute;margin-left:54.779999pt;margin-top:12.851558pt;width:152pt;height:136pt;mso-position-horizontal-relative:page;mso-position-vertical-relative:paragraph;z-index:15812608" coordorigin="1096,257" coordsize="3040,2720">
            <v:shape style="position:absolute;left:1105;top:267;width:3020;height:2700" coordorigin="1106,267" coordsize="3020,2700" path="m1106,1327l1206,1907,1286,1547,1366,1987,1466,1867,1546,2307,1646,1387,1726,947,1806,407,1906,1487,1986,1667,2086,2387,2166,1627,2266,2027,2346,1327,2446,1587,2526,1167,2606,1507,2706,1467,2786,1667,2886,1667,2966,1327,3046,1427,3146,2047,3226,2327,3326,2167,3406,1407,3506,1127,3586,1107,3666,267,3766,1047,3846,947,3946,2387,4026,2087,4126,2967e" filled="false" stroked="true" strokeweight="1pt" strokecolor="#95459a">
              <v:path arrowok="t"/>
              <v:stroke dashstyle="solid"/>
            </v:shape>
            <v:shape style="position:absolute;left:1105;top:2290;width:3020;height:133" type="#_x0000_t202" filled="false" stroked="false">
              <v:textbox inset="0,0,0,0">
                <w:txbxContent>
                  <w:p>
                    <w:pPr>
                      <w:tabs>
                        <w:tab w:pos="2999" w:val="left" w:leader="none"/>
                      </w:tabs>
                      <w:spacing w:line="133" w:lineRule="exact" w:before="0"/>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817216" from="215.279999pt,12.351558pt" to="211.279999pt,12.351558pt" stroked="true" strokeweight=".5pt" strokecolor="#000000">
            <v:stroke dashstyle="solid"/>
            <w10:wrap type="none"/>
          </v:line>
        </w:pict>
      </w:r>
      <w:r>
        <w:rPr>
          <w:sz w:val="12"/>
        </w:rPr>
        <w:t>Per cent (b) </w:t>
      </w:r>
      <w:r>
        <w:rPr>
          <w:position w:val="-7"/>
          <w:sz w:val="12"/>
        </w:rPr>
        <w:t>5</w:t>
      </w:r>
    </w:p>
    <w:p>
      <w:pPr>
        <w:pStyle w:val="BodyText"/>
        <w:spacing w:before="6"/>
        <w:rPr>
          <w:sz w:val="24"/>
        </w:rPr>
      </w:pPr>
    </w:p>
    <w:p>
      <w:pPr>
        <w:spacing w:before="0"/>
        <w:ind w:left="0" w:right="38" w:firstLine="0"/>
        <w:jc w:val="right"/>
        <w:rPr>
          <w:sz w:val="12"/>
        </w:rPr>
      </w:pPr>
      <w:r>
        <w:rPr/>
        <w:pict>
          <v:line style="position:absolute;mso-position-horizontal-relative:page;mso-position-vertical-relative:paragraph;z-index:15811072" from="50.279999pt,5.101558pt" to="45.279999pt,5.101558pt" stroked="true" strokeweight=".5pt" strokecolor="#000000">
            <v:stroke dashstyle="solid"/>
            <w10:wrap type="none"/>
          </v:line>
        </w:pict>
      </w:r>
      <w:r>
        <w:rPr/>
        <w:pict>
          <v:line style="position:absolute;mso-position-horizontal-relative:page;mso-position-vertical-relative:paragraph;z-index:15816704" from="215.279999pt,5.101558pt" to="211.279999pt,5.101558pt" stroked="true" strokeweight=".5pt" strokecolor="#000000">
            <v:stroke dashstyle="solid"/>
            <w10:wrap type="none"/>
          </v:line>
        </w:pict>
      </w:r>
      <w:r>
        <w:rPr>
          <w:sz w:val="12"/>
        </w:rPr>
        <w:t>4</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810560" from="50.279999pt,5.101558pt" to="45.279999pt,5.101558pt" stroked="true" strokeweight=".5pt" strokecolor="#000000">
            <v:stroke dashstyle="solid"/>
            <w10:wrap type="none"/>
          </v:line>
        </w:pict>
      </w:r>
      <w:r>
        <w:rPr/>
        <w:pict>
          <v:line style="position:absolute;mso-position-horizontal-relative:page;mso-position-vertical-relative:paragraph;z-index:15816192" from="215.279999pt,5.101558pt" to="211.279999pt,5.101558pt" stroked="true" strokeweight=".5pt" strokecolor="#000000">
            <v:stroke dashstyle="solid"/>
            <w10:wrap type="none"/>
          </v:line>
        </w:pict>
      </w:r>
      <w:r>
        <w:rPr>
          <w:sz w:val="12"/>
        </w:rPr>
        <w:t>3</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10048" from="50.279999pt,5.101558pt" to="45.279999pt,5.101558pt" stroked="true" strokeweight=".5pt" strokecolor="#000000">
            <v:stroke dashstyle="solid"/>
            <w10:wrap type="none"/>
          </v:line>
        </w:pict>
      </w:r>
      <w:r>
        <w:rPr/>
        <w:pict>
          <v:line style="position:absolute;mso-position-horizontal-relative:page;mso-position-vertical-relative:paragraph;z-index:15815680" from="215.279999pt,5.101558pt" to="211.279999pt,5.101558pt" stroked="true" strokeweight=".5pt" strokecolor="#000000">
            <v:stroke dashstyle="solid"/>
            <w10:wrap type="none"/>
          </v:line>
        </w:pict>
      </w:r>
      <w:r>
        <w:rPr>
          <w:sz w:val="12"/>
        </w:rPr>
        <w:t>2</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09536" from="50.279999pt,5.101558pt" to="45.279999pt,5.101558pt" stroked="true" strokeweight=".5pt" strokecolor="#000000">
            <v:stroke dashstyle="solid"/>
            <w10:wrap type="none"/>
          </v:line>
        </w:pict>
      </w:r>
      <w:r>
        <w:rPr/>
        <w:pict>
          <v:line style="position:absolute;mso-position-horizontal-relative:page;mso-position-vertical-relative:paragraph;z-index:15815168" from="215.279999pt,5.101558pt" to="211.279999pt,5.101558pt" stroked="true" strokeweight=".5pt" strokecolor="#000000">
            <v:stroke dashstyle="solid"/>
            <w10:wrap type="none"/>
          </v:line>
        </w:pict>
      </w:r>
      <w:r>
        <w:rPr>
          <w:sz w:val="12"/>
        </w:rPr>
        <w:t>1</w:t>
      </w:r>
    </w:p>
    <w:p>
      <w:pPr>
        <w:spacing w:before="85"/>
        <w:ind w:left="3682" w:right="0" w:firstLine="0"/>
        <w:jc w:val="left"/>
        <w:rPr>
          <w:sz w:val="16"/>
        </w:rPr>
      </w:pPr>
      <w:r>
        <w:rPr>
          <w:sz w:val="16"/>
        </w:rPr>
        <w:t>+</w:t>
      </w:r>
    </w:p>
    <w:p>
      <w:pPr>
        <w:spacing w:before="33"/>
        <w:ind w:left="0" w:right="38" w:firstLine="0"/>
        <w:jc w:val="right"/>
        <w:rPr>
          <w:sz w:val="12"/>
        </w:rPr>
      </w:pPr>
      <w:r>
        <w:rPr/>
        <w:pict>
          <v:line style="position:absolute;mso-position-horizontal-relative:page;mso-position-vertical-relative:paragraph;z-index:15809024" from="50.279999pt,6.751558pt" to="45.279999pt,6.751558pt" stroked="true" strokeweight=".5pt" strokecolor="#000000">
            <v:stroke dashstyle="solid"/>
            <w10:wrap type="none"/>
          </v:line>
        </w:pict>
      </w:r>
      <w:r>
        <w:rPr/>
        <w:pict>
          <v:line style="position:absolute;mso-position-horizontal-relative:page;mso-position-vertical-relative:paragraph;z-index:15814656" from="215.279999pt,6.751558pt" to="211.279999pt,6.751558pt" stroked="true" strokeweight=".5pt" strokecolor="#000000">
            <v:stroke dashstyle="solid"/>
            <w10:wrap type="none"/>
          </v:line>
        </w:pict>
      </w:r>
      <w:r>
        <w:rPr>
          <w:sz w:val="12"/>
        </w:rPr>
        <w:t>0</w:t>
      </w:r>
    </w:p>
    <w:p>
      <w:pPr>
        <w:spacing w:before="5"/>
        <w:ind w:left="3682" w:right="0" w:firstLine="0"/>
        <w:jc w:val="left"/>
        <w:rPr>
          <w:sz w:val="16"/>
        </w:rPr>
      </w:pPr>
      <w:r>
        <w:rPr>
          <w:sz w:val="16"/>
        </w:rPr>
        <w:t>_</w:t>
      </w:r>
    </w:p>
    <w:p>
      <w:pPr>
        <w:spacing w:before="113"/>
        <w:ind w:left="0" w:right="38" w:firstLine="0"/>
        <w:jc w:val="right"/>
        <w:rPr>
          <w:sz w:val="12"/>
        </w:rPr>
      </w:pPr>
      <w:r>
        <w:rPr/>
        <w:pict>
          <v:line style="position:absolute;mso-position-horizontal-relative:page;mso-position-vertical-relative:paragraph;z-index:15808000" from="50.279999pt,10.751565pt" to="45.279999pt,10.751565pt" stroked="true" strokeweight=".5pt" strokecolor="#000000">
            <v:stroke dashstyle="solid"/>
            <w10:wrap type="none"/>
          </v:line>
        </w:pict>
      </w:r>
      <w:r>
        <w:rPr/>
        <w:pict>
          <v:line style="position:absolute;mso-position-horizontal-relative:page;mso-position-vertical-relative:paragraph;z-index:15813632" from="215.279999pt,10.751565pt" to="211.279999pt,10.751565pt" stroked="true" strokeweight=".5pt" strokecolor="#000000">
            <v:stroke dashstyle="solid"/>
            <w10:wrap type="none"/>
          </v:line>
        </w:pict>
      </w:r>
      <w:r>
        <w:rPr>
          <w:sz w:val="12"/>
        </w:rPr>
        <w:t>1</w:t>
      </w:r>
    </w:p>
    <w:p>
      <w:pPr>
        <w:pStyle w:val="BodyText"/>
        <w:rPr>
          <w:sz w:val="12"/>
        </w:rPr>
      </w:pPr>
    </w:p>
    <w:p>
      <w:pPr>
        <w:pStyle w:val="BodyText"/>
        <w:spacing w:before="6"/>
        <w:rPr>
          <w:sz w:val="12"/>
        </w:rPr>
      </w:pPr>
    </w:p>
    <w:p>
      <w:pPr>
        <w:spacing w:line="129" w:lineRule="exact" w:before="0"/>
        <w:ind w:left="3755" w:right="0" w:firstLine="0"/>
        <w:jc w:val="left"/>
        <w:rPr>
          <w:sz w:val="12"/>
        </w:rPr>
      </w:pPr>
      <w:r>
        <w:rPr/>
        <w:pict>
          <v:line style="position:absolute;mso-position-horizontal-relative:page;mso-position-vertical-relative:paragraph;z-index:15808512" from="50.279999pt,5.101565pt" to="45.279999pt,5.101565pt" stroked="true" strokeweight=".5pt" strokecolor="#000000">
            <v:stroke dashstyle="solid"/>
            <w10:wrap type="none"/>
          </v:line>
        </w:pict>
      </w:r>
      <w:r>
        <w:rPr/>
        <w:pict>
          <v:shape style="position:absolute;margin-left:55.279999pt;margin-top:.101565pt;width:150pt;height:5pt;mso-position-horizontal-relative:page;mso-position-vertical-relative:paragraph;z-index:15813120" coordorigin="1106,2" coordsize="3000,100" path="m1106,102l4106,102m1106,102l1106,62m1186,102l1186,62m1276,102l1276,62m1366,102l1366,62m1456,102l1456,62m1546,102l1546,62m1636,102l1636,62m1726,102l1726,62m1816,102l1816,62m1906,102l1906,62m1996,102l1996,62m2086,102l2086,62m2166,102l2166,62m2266,102l2266,62m2354,102l2354,62m2442,102l2442,62m2530,102l2530,62m2618,102l2618,62m2706,102l2706,62m2794,102l2794,62m2882,102l2882,62m2970,102l2970,62m3058,102l3058,62m3146,102l3146,62m3226,102l3226,62m3326,102l3326,62m3413,102l3413,62m3501,102l3501,62m3588,102l3588,62m3676,102l3676,62m3763,102l3763,62m3851,102l3851,62m3938,102l3938,62m4026,102l4026,62m4106,102l4106,62m1106,102l1106,2m2166,102l2166,2m3226,102l3226,2e" filled="false" stroked="true" strokeweight=".5pt" strokecolor="#000000">
            <v:path arrowok="t"/>
            <v:stroke dashstyle="solid"/>
            <w10:wrap type="none"/>
          </v:shape>
        </w:pict>
      </w:r>
      <w:r>
        <w:rPr/>
        <w:pict>
          <v:line style="position:absolute;mso-position-horizontal-relative:page;mso-position-vertical-relative:paragraph;z-index:15814144" from="215.279999pt,5.101565pt" to="211.279999pt,5.101565pt" stroked="true" strokeweight=".5pt" strokecolor="#000000">
            <v:stroke dashstyle="solid"/>
            <w10:wrap type="none"/>
          </v:line>
        </w:pict>
      </w:r>
      <w:r>
        <w:rPr>
          <w:sz w:val="12"/>
        </w:rPr>
        <w:t>2</w:t>
      </w:r>
    </w:p>
    <w:p>
      <w:pPr>
        <w:tabs>
          <w:tab w:pos="2022" w:val="left" w:leader="none"/>
          <w:tab w:pos="2995" w:val="left" w:leader="none"/>
        </w:tabs>
        <w:spacing w:line="129" w:lineRule="exact" w:before="0"/>
        <w:ind w:left="875" w:right="0" w:firstLine="0"/>
        <w:jc w:val="left"/>
        <w:rPr>
          <w:sz w:val="12"/>
        </w:rPr>
      </w:pPr>
      <w:r>
        <w:rPr>
          <w:sz w:val="12"/>
        </w:rPr>
        <w:t>1995</w:t>
        <w:tab/>
        <w:t>96</w:t>
        <w:tab/>
        <w:t>97</w:t>
      </w:r>
    </w:p>
    <w:p>
      <w:pPr>
        <w:pStyle w:val="BodyText"/>
        <w:spacing w:before="10"/>
        <w:rPr>
          <w:sz w:val="17"/>
        </w:rPr>
      </w:pPr>
    </w:p>
    <w:p>
      <w:pPr>
        <w:pStyle w:val="ListParagraph"/>
        <w:numPr>
          <w:ilvl w:val="0"/>
          <w:numId w:val="12"/>
        </w:numPr>
        <w:tabs>
          <w:tab w:pos="456" w:val="left" w:leader="none"/>
        </w:tabs>
        <w:spacing w:line="129" w:lineRule="exact" w:before="1" w:after="0"/>
        <w:ind w:left="455" w:right="0" w:hanging="241"/>
        <w:jc w:val="left"/>
        <w:rPr>
          <w:sz w:val="12"/>
        </w:rPr>
      </w:pPr>
      <w:r>
        <w:rPr>
          <w:color w:val="231F20"/>
          <w:sz w:val="12"/>
        </w:rPr>
        <w:t>Excluding oil and erratics.</w:t>
      </w:r>
    </w:p>
    <w:p>
      <w:pPr>
        <w:pStyle w:val="ListParagraph"/>
        <w:numPr>
          <w:ilvl w:val="0"/>
          <w:numId w:val="12"/>
        </w:numPr>
        <w:tabs>
          <w:tab w:pos="456" w:val="left" w:leader="none"/>
        </w:tabs>
        <w:spacing w:line="129" w:lineRule="exact" w:before="0" w:after="0"/>
        <w:ind w:left="455" w:right="0" w:hanging="241"/>
        <w:jc w:val="left"/>
        <w:rPr>
          <w:sz w:val="12"/>
        </w:rPr>
      </w:pPr>
      <w:r>
        <w:rPr>
          <w:color w:val="231F20"/>
          <w:sz w:val="12"/>
        </w:rPr>
        <w:t>Percentage changes. Latest three months on previous three months.</w:t>
      </w:r>
    </w:p>
    <w:p>
      <w:pPr>
        <w:pStyle w:val="Heading5"/>
        <w:spacing w:line="242" w:lineRule="auto" w:before="8"/>
        <w:ind w:left="215" w:right="173"/>
      </w:pPr>
      <w:r>
        <w:rPr/>
        <w:br w:type="column"/>
      </w:r>
      <w:r>
        <w:rPr>
          <w:color w:val="231F20"/>
        </w:rPr>
        <w:t>months to November compared with the previous three months, the first such fall since 1993, and import volumes rose during the period.</w:t>
      </w:r>
    </w:p>
    <w:p>
      <w:pPr>
        <w:pStyle w:val="BodyText"/>
        <w:spacing w:before="4"/>
        <w:rPr>
          <w:sz w:val="26"/>
        </w:rPr>
      </w:pPr>
    </w:p>
    <w:p>
      <w:pPr>
        <w:spacing w:line="242" w:lineRule="auto" w:before="1"/>
        <w:ind w:left="215" w:right="202" w:firstLine="0"/>
        <w:jc w:val="left"/>
        <w:rPr>
          <w:sz w:val="24"/>
        </w:rPr>
      </w:pPr>
      <w:r>
        <w:rPr>
          <w:color w:val="231F20"/>
          <w:sz w:val="24"/>
        </w:rPr>
        <w:t>The United Kingdom’s net trade position was relatively strong during the first half of 1997, but is now deteriorating. The strength came mostly from growth in exports with countries outside the European Union (EU) (see Chart 2.3). But the non-EU trade deficit for</w:t>
      </w:r>
    </w:p>
    <w:p>
      <w:pPr>
        <w:spacing w:line="242" w:lineRule="auto" w:before="6"/>
        <w:ind w:left="215" w:right="214" w:firstLine="0"/>
        <w:jc w:val="left"/>
        <w:rPr>
          <w:sz w:val="24"/>
        </w:rPr>
      </w:pPr>
      <w:r>
        <w:rPr>
          <w:color w:val="231F20"/>
          <w:sz w:val="24"/>
        </w:rPr>
        <w:t>1997 Q4 was £3.1 billion, £1.7 billion higher than in the previous quarter. Chart 2.4 shows that the downturn in net trade with non-EU countries has been spread fairly evenly across regions. The trade balance with EU countries has been broadly stable in recent months.</w:t>
      </w:r>
    </w:p>
    <w:p>
      <w:pPr>
        <w:spacing w:line="242" w:lineRule="auto" w:before="6"/>
        <w:ind w:left="215" w:right="276" w:firstLine="0"/>
        <w:jc w:val="left"/>
        <w:rPr>
          <w:sz w:val="24"/>
        </w:rPr>
      </w:pPr>
      <w:r>
        <w:rPr>
          <w:color w:val="231F20"/>
          <w:sz w:val="24"/>
        </w:rPr>
        <w:t>Though exports (excluding oil and erratics) to the EU fell by 3.7% in the three months to November on the previous three months, import growth from the EU has been subdued.</w:t>
      </w:r>
    </w:p>
    <w:p>
      <w:pPr>
        <w:spacing w:after="0" w:line="242" w:lineRule="auto"/>
        <w:jc w:val="left"/>
        <w:rPr>
          <w:sz w:val="24"/>
        </w:rPr>
        <w:sectPr>
          <w:type w:val="continuous"/>
          <w:pgSz w:w="11880" w:h="16840"/>
          <w:pgMar w:top="1200" w:bottom="280" w:left="620" w:right="620"/>
          <w:cols w:num="2" w:equalWidth="0">
            <w:col w:w="3856" w:space="928"/>
            <w:col w:w="5856"/>
          </w:cols>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spacing w:after="0"/>
        <w:rPr>
          <w:sz w:val="20"/>
        </w:rPr>
        <w:sectPr>
          <w:pgSz w:w="11880" w:h="16840"/>
          <w:pgMar w:header="586" w:footer="617" w:top="780" w:bottom="800" w:left="620" w:right="620"/>
        </w:sectPr>
      </w:pPr>
    </w:p>
    <w:p>
      <w:pPr>
        <w:pStyle w:val="BodyText"/>
        <w:rPr>
          <w:sz w:val="19"/>
        </w:rPr>
      </w:pPr>
    </w:p>
    <w:p>
      <w:pPr>
        <w:pStyle w:val="Heading9"/>
        <w:spacing w:before="1"/>
        <w:ind w:left="180"/>
      </w:pPr>
      <w:bookmarkStart w:name="Domestic demand" w:id="34"/>
      <w:bookmarkEnd w:id="34"/>
      <w:r>
        <w:rPr>
          <w:b w:val="0"/>
        </w:rPr>
      </w:r>
      <w:bookmarkStart w:name="Consumption" w:id="35"/>
      <w:bookmarkEnd w:id="35"/>
      <w:r>
        <w:rPr>
          <w:b w:val="0"/>
        </w:rPr>
      </w:r>
      <w:bookmarkStart w:name="_bookmark11" w:id="36"/>
      <w:bookmarkEnd w:id="36"/>
      <w:r>
        <w:rPr>
          <w:b w:val="0"/>
        </w:rPr>
      </w:r>
      <w:r>
        <w:rPr>
          <w:color w:val="0093C1"/>
        </w:rPr>
        <w:t>Chart 2.3</w:t>
      </w:r>
    </w:p>
    <w:p>
      <w:pPr>
        <w:spacing w:before="10"/>
        <w:ind w:left="180" w:right="0" w:firstLine="0"/>
        <w:jc w:val="left"/>
        <w:rPr>
          <w:sz w:val="12"/>
        </w:rPr>
      </w:pPr>
      <w:r>
        <w:rPr>
          <w:b/>
          <w:color w:val="0093C1"/>
          <w:sz w:val="20"/>
        </w:rPr>
        <w:t>UK goods trade balances</w:t>
      </w:r>
      <w:r>
        <w:rPr>
          <w:color w:val="231F20"/>
          <w:position w:val="4"/>
          <w:sz w:val="12"/>
        </w:rPr>
        <w:t>(a)</w:t>
      </w:r>
    </w:p>
    <w:p>
      <w:pPr>
        <w:pStyle w:val="BodyText"/>
        <w:spacing w:before="7" w:after="39"/>
        <w:rPr>
          <w:sz w:val="17"/>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40.5pt;margin-top:12.750977pt;width:5pt;height:.1pt;mso-position-horizontal-relative:page;mso-position-vertical-relative:paragraph;z-index:-15638528;mso-wrap-distance-left:0;mso-wrap-distance-right:0" coordorigin="810,255" coordsize="100,0" path="m910,255l810,255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0.5pt;margin-top:11.800977pt;width:5pt;height:.1pt;mso-position-horizontal-relative:page;mso-position-vertical-relative:paragraph;z-index:-15638016;mso-wrap-distance-left:0;mso-wrap-distance-right:0" coordorigin="810,236" coordsize="100,0" path="m910,236l810,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0.5pt;margin-top:11.800977pt;width:5pt;height:.1pt;mso-position-horizontal-relative:page;mso-position-vertical-relative:paragraph;z-index:-15637504;mso-wrap-distance-left:0;mso-wrap-distance-right:0" coordorigin="810,236" coordsize="100,0" path="m910,236l810,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0.5pt;margin-top:11.800977pt;width:5pt;height:.1pt;mso-position-horizontal-relative:page;mso-position-vertical-relative:paragraph;z-index:-15636992;mso-wrap-distance-left:0;mso-wrap-distance-right:0" coordorigin="810,236" coordsize="100,0" path="m910,236l810,236e" filled="false" stroked="true" strokeweight=".5pt" strokecolor="#000000">
            <v:path arrowok="t"/>
            <v:stroke dashstyle="solid"/>
            <w10:wrap type="topAndBottom"/>
          </v:shape>
        </w:pict>
      </w:r>
    </w:p>
    <w:p>
      <w:pPr>
        <w:pStyle w:val="BodyText"/>
        <w:rPr>
          <w:sz w:val="20"/>
        </w:rPr>
      </w:pPr>
      <w:r>
        <w:rPr/>
        <w:br w:type="column"/>
      </w:r>
      <w:r>
        <w:rPr>
          <w:sz w:val="20"/>
        </w:rPr>
      </w:r>
    </w:p>
    <w:p>
      <w:pPr>
        <w:pStyle w:val="BodyText"/>
        <w:rPr>
          <w:sz w:val="20"/>
        </w:rPr>
      </w:pPr>
    </w:p>
    <w:p>
      <w:pPr>
        <w:pStyle w:val="BodyText"/>
        <w:spacing w:before="8"/>
        <w:rPr>
          <w:sz w:val="26"/>
        </w:rPr>
      </w:pPr>
    </w:p>
    <w:p>
      <w:pPr>
        <w:spacing w:before="0"/>
        <w:ind w:left="180" w:right="0" w:firstLine="0"/>
        <w:jc w:val="left"/>
        <w:rPr>
          <w:sz w:val="12"/>
        </w:rPr>
      </w:pPr>
      <w:r>
        <w:rPr>
          <w:sz w:val="12"/>
        </w:rPr>
        <w:t>£ billions </w:t>
      </w:r>
      <w:r>
        <w:rPr>
          <w:spacing w:val="4"/>
          <w:sz w:val="12"/>
        </w:rPr>
        <w:t> </w:t>
      </w:r>
      <w:r>
        <w:rPr>
          <w:position w:val="-6"/>
          <w:sz w:val="12"/>
        </w:rPr>
        <w:t>0.00</w:t>
      </w:r>
    </w:p>
    <w:p>
      <w:pPr>
        <w:pStyle w:val="BodyText"/>
        <w:rPr>
          <w:sz w:val="20"/>
        </w:rPr>
      </w:pPr>
    </w:p>
    <w:p>
      <w:pPr>
        <w:spacing w:before="129"/>
        <w:ind w:left="0" w:right="38" w:firstLine="0"/>
        <w:jc w:val="right"/>
        <w:rPr>
          <w:sz w:val="12"/>
        </w:rPr>
      </w:pPr>
      <w:r>
        <w:rPr/>
        <w:pict>
          <v:group style="position:absolute;margin-left:50.25pt;margin-top:-1.948442pt;width:151.75pt;height:138.75pt;mso-position-horizontal-relative:page;mso-position-vertical-relative:paragraph;z-index:15835648" coordorigin="1005,-39" coordsize="3035,2775">
            <v:shape style="position:absolute;left:1030;top:811;width:2900;height:1860" coordorigin="1030,811" coordsize="2900,1860" path="m1030,811l1110,1111,1190,1431,1290,1911,1390,1771,1570,2131,1650,2671,1750,2091,1830,1811,1930,1491,2030,2051,2110,2191,2210,2271,2290,2031,2390,1871,2470,1831,2570,1691,2670,1851,2750,1451,2850,1611,2930,1471,3030,1451,3110,1431,3210,1391,3290,1651,3390,1491,3490,1671,3570,1371,3670,1371,3750,1511,3850,1931,3930,2471e" filled="false" stroked="true" strokeweight=".5pt" strokecolor="#ed1b2d">
              <v:path arrowok="t"/>
              <v:stroke dashstyle="solid"/>
            </v:shape>
            <v:shape style="position:absolute;left:1030;top:-29;width:2900;height:880" coordorigin="1030,-29" coordsize="2900,880" path="m1030,191l1110,531,1190,731,1290,851,1390,391,1470,231,1570,391,1650,791,1750,511,1830,191,1930,-29,2030,291,2110,391,2210,571,2290,531,2390,411,2470,391,2570,311,2670,411,2750,271,2850,391,2930,431,3030,471,3110,451,3210,311,3290,511,3390,331,3490,511,3570,411,3670,511,3750,551,3850,471,3930,551e" filled="false" stroked="true" strokeweight="1pt" strokecolor="#faab54">
              <v:path arrowok="t"/>
              <v:stroke dashstyle="solid"/>
            </v:shape>
            <v:shape style="position:absolute;left:1030;top:311;width:3000;height:1520" coordorigin="1030,311" coordsize="3000,1520" path="m1030,351l1110,311,1190,451,1290,771,1390,1111,1470,1431,1570,1451,1650,1611,1750,1291,1830,1351,1930,1251,2030,1491,2110,1531,2210,1431,2290,1231,2390,1191,2470,1151,2570,1111,2670,1151,2750,911,2850,931,2930,771,3030,711,3110,711,3210,811,3310,891,3390,891,3490,911,3570,691,3670,591,3750,671,3850,1191,3930,1671,4030,1831e" filled="false" stroked="true" strokeweight="1pt" strokecolor="#75442b">
              <v:path arrowok="t"/>
              <v:stroke dashstyle="solid"/>
            </v:shape>
            <v:shape style="position:absolute;left:1010;top:2651;width:3020;height:80" coordorigin="1010,2651" coordsize="3020,80" path="m1010,2731l4030,2731m1010,2731l1010,2691m1110,2731l1110,2691m1200,2731l1200,2691m1290,2731l1290,2691m1380,2731l1380,2691m1470,2731l1470,2691m1560,2731l1560,2691m1650,2731l1650,2691m1740,2731l1740,2691m1830,2731l1830,2691m1930,2731l1930,2691m2030,2731l2030,2691m2120,2731l2120,2691m2210,2731l2210,2691m2300,2731l2300,2691m2390,2731l2390,2691m2480,2731l2480,2691m2570,2731l2570,2691m2660,2731l2660,2691m2750,2731l2750,2691m2840,2731l2840,2691m2930,2731l2930,2691m3030,2731l3030,2691m3110,2731l3110,2691m3201,2731l3201,2691m3292,2731l3292,2691m3383,2731l3383,2691m3474,2731l3474,2691m3566,2731l3566,2691m3657,2731l3657,2691m3748,2731l3748,2691m3839,2731l3839,2691m3930,2731l3930,2691m4030,2731l4030,2691m1930,2731l1930,2651m3030,2731l3030,2651e" filled="false" stroked="true" strokeweight=".5pt" strokecolor="#000000">
              <v:path arrowok="t"/>
              <v:stroke dashstyle="solid"/>
            </v:shape>
            <v:shape style="position:absolute;left:2160;top:294;width:180;height:133" type="#_x0000_t202" filled="false" stroked="false">
              <v:textbox inset="0,0,0,0">
                <w:txbxContent>
                  <w:p>
                    <w:pPr>
                      <w:spacing w:line="133" w:lineRule="exact" w:before="0"/>
                      <w:ind w:left="0" w:right="0" w:firstLine="0"/>
                      <w:jc w:val="left"/>
                      <w:rPr>
                        <w:sz w:val="12"/>
                      </w:rPr>
                    </w:pPr>
                    <w:r>
                      <w:rPr>
                        <w:sz w:val="12"/>
                      </w:rPr>
                      <w:t>EU</w:t>
                    </w:r>
                  </w:p>
                </w:txbxContent>
              </v:textbox>
              <w10:wrap type="none"/>
            </v:shape>
            <v:shape style="position:absolute;left:2020;top:1034;width:427;height:133" type="#_x0000_t202" filled="false" stroked="false">
              <v:textbox inset="0,0,0,0">
                <w:txbxContent>
                  <w:p>
                    <w:pPr>
                      <w:spacing w:line="133" w:lineRule="exact" w:before="0"/>
                      <w:ind w:left="0" w:right="0" w:firstLine="0"/>
                      <w:jc w:val="left"/>
                      <w:rPr>
                        <w:sz w:val="12"/>
                      </w:rPr>
                    </w:pPr>
                    <w:r>
                      <w:rPr>
                        <w:sz w:val="12"/>
                      </w:rPr>
                      <w:t>Non-EU</w:t>
                    </w:r>
                  </w:p>
                </w:txbxContent>
              </v:textbox>
              <w10:wrap type="none"/>
            </v:shape>
            <v:shape style="position:absolute;left:2060;top:1794;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w10:wrap type="none"/>
          </v:group>
        </w:pict>
      </w:r>
      <w:r>
        <w:rPr/>
        <w:pict>
          <v:line style="position:absolute;mso-position-horizontal-relative:page;mso-position-vertical-relative:paragraph;z-index:15836160" from="212.5pt,11.551558pt" to="207.5pt,11.551558pt" stroked="true" strokeweight=".5pt" strokecolor="#000000">
            <v:stroke dashstyle="solid"/>
            <w10:wrap type="none"/>
          </v:line>
        </w:pict>
      </w:r>
      <w:r>
        <w:rPr/>
        <w:pict>
          <v:line style="position:absolute;mso-position-horizontal-relative:page;mso-position-vertical-relative:paragraph;z-index:15839232" from="212.5pt,-13.448442pt" to="207.5pt,-13.448442pt" stroked="true" strokeweight=".5pt" strokecolor="#000000">
            <v:stroke dashstyle="solid"/>
            <w10:wrap type="none"/>
          </v:line>
        </w:pict>
      </w:r>
      <w:r>
        <w:rPr>
          <w:sz w:val="12"/>
        </w:rPr>
        <w:t>-0.25</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36672" from="212.5pt,9.401558pt" to="207.5pt,9.401558pt" stroked="true" strokeweight=".5pt" strokecolor="#000000">
            <v:stroke dashstyle="solid"/>
            <w10:wrap type="none"/>
          </v:line>
        </w:pict>
      </w:r>
      <w:r>
        <w:rPr>
          <w:sz w:val="12"/>
        </w:rPr>
        <w:t>-0.50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37184" from="212.5pt,9.401558pt" to="207.5pt,9.401558pt" stroked="true" strokeweight=".5pt" strokecolor="#000000">
            <v:stroke dashstyle="solid"/>
            <w10:wrap type="none"/>
          </v:line>
        </w:pict>
      </w:r>
      <w:r>
        <w:rPr>
          <w:sz w:val="12"/>
        </w:rPr>
        <w:t>-0.75</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837696" from="212.5pt,9.401558pt" to="207.5pt,9.401558pt" stroked="true" strokeweight=".5pt" strokecolor="#000000">
            <v:stroke dashstyle="solid"/>
            <w10:wrap type="none"/>
          </v:line>
        </w:pict>
      </w:r>
      <w:r>
        <w:rPr>
          <w:sz w:val="12"/>
        </w:rPr>
        <w:t>-1.00</w:t>
      </w:r>
    </w:p>
    <w:p>
      <w:pPr>
        <w:pStyle w:val="Heading3"/>
        <w:numPr>
          <w:ilvl w:val="1"/>
          <w:numId w:val="8"/>
        </w:numPr>
        <w:tabs>
          <w:tab w:pos="3321" w:val="left" w:leader="none"/>
          <w:tab w:pos="3322" w:val="left" w:leader="none"/>
          <w:tab w:pos="5682" w:val="left" w:leader="none"/>
        </w:tabs>
        <w:spacing w:line="240" w:lineRule="auto" w:before="210" w:after="0"/>
        <w:ind w:left="3321" w:right="0" w:hanging="3142"/>
        <w:jc w:val="left"/>
      </w:pPr>
      <w:r>
        <w:rPr>
          <w:color w:val="009483"/>
          <w:u w:val="thick" w:color="0093C1"/>
        </w:rPr>
        <w:br w:type="column"/>
        <w:t>Domestic demand</w:t>
        <w:tab/>
      </w:r>
    </w:p>
    <w:p>
      <w:pPr>
        <w:pStyle w:val="Heading5"/>
        <w:spacing w:line="242" w:lineRule="auto" w:before="264"/>
        <w:ind w:left="180" w:right="181"/>
      </w:pPr>
      <w:r>
        <w:rPr>
          <w:color w:val="231F20"/>
        </w:rPr>
        <w:t>Domestic demand grew at an average quarterly rate of 1% during the first three quarters of 1997, its highest since 1994. This was driven by rapid growth in personal sector wealth during the year, mainly as a result of rising equity prices. But the unwinding of windfall spending, past monetary policy tightening and the tight fiscal stance should help to reduce the inflationary pressures from this source.</w:t>
      </w:r>
    </w:p>
    <w:p>
      <w:pPr>
        <w:spacing w:after="0" w:line="242" w:lineRule="auto"/>
        <w:sectPr>
          <w:type w:val="continuous"/>
          <w:pgSz w:w="11880" w:h="16840"/>
          <w:pgMar w:top="1200" w:bottom="280" w:left="620" w:right="620"/>
          <w:cols w:num="3" w:equalWidth="0">
            <w:col w:w="2481" w:space="524"/>
            <w:col w:w="946" w:space="849"/>
            <w:col w:w="5840"/>
          </w:cols>
        </w:sectPr>
      </w:pPr>
    </w:p>
    <w:p>
      <w:pPr>
        <w:pStyle w:val="BodyText"/>
        <w:spacing w:before="5"/>
        <w:rPr>
          <w:sz w:val="17"/>
        </w:rPr>
      </w:pPr>
    </w:p>
    <w:p>
      <w:pPr>
        <w:spacing w:after="0"/>
        <w:rPr>
          <w:sz w:val="17"/>
        </w:rPr>
        <w:sectPr>
          <w:type w:val="continuous"/>
          <w:pgSz w:w="11880" w:h="16840"/>
          <w:pgMar w:top="1200" w:bottom="280" w:left="620" w:right="620"/>
        </w:sectPr>
      </w:pPr>
    </w:p>
    <w:p>
      <w:pPr>
        <w:pStyle w:val="BodyText"/>
        <w:spacing w:before="9"/>
        <w:rPr>
          <w:sz w:val="17"/>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pPr>
      <w:r>
        <w:rPr/>
        <w:pict>
          <v:shape style="position:absolute;margin-left:40.5pt;margin-top:12.750977pt;width:5pt;height:.1pt;mso-position-horizontal-relative:page;mso-position-vertical-relative:paragraph;z-index:-15635968;mso-wrap-distance-left:0;mso-wrap-distance-right:0" coordorigin="810,255" coordsize="100,0" path="m910,255l810,255e" filled="false" stroked="true" strokeweight=".5pt" strokecolor="#000000">
            <v:path arrowok="t"/>
            <v:stroke dashstyle="solid"/>
            <w10:wrap type="topAndBottom"/>
          </v:shape>
        </w:pict>
      </w:r>
    </w:p>
    <w:p>
      <w:pPr>
        <w:spacing w:line="76" w:lineRule="exact" w:before="0"/>
        <w:ind w:left="0" w:right="0" w:firstLine="0"/>
        <w:jc w:val="right"/>
        <w:rPr>
          <w:sz w:val="12"/>
        </w:rPr>
      </w:pPr>
      <w:r>
        <w:rPr>
          <w:sz w:val="12"/>
        </w:rPr>
        <w:t>1995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5"/>
        <w:rPr>
          <w:sz w:val="16"/>
        </w:rPr>
      </w:pPr>
    </w:p>
    <w:p>
      <w:pPr>
        <w:tabs>
          <w:tab w:pos="1799" w:val="left" w:leader="none"/>
        </w:tabs>
        <w:spacing w:line="79" w:lineRule="exact" w:before="0"/>
        <w:ind w:left="700" w:right="0" w:firstLine="0"/>
        <w:jc w:val="left"/>
        <w:rPr>
          <w:sz w:val="12"/>
        </w:rPr>
      </w:pPr>
      <w:r>
        <w:rPr>
          <w:sz w:val="12"/>
        </w:rPr>
        <w:t>96</w:t>
        <w:tab/>
      </w:r>
      <w:r>
        <w:rPr>
          <w:spacing w:val="-10"/>
          <w:sz w:val="12"/>
        </w:rPr>
        <w:t>97</w:t>
      </w:r>
    </w:p>
    <w:p>
      <w:pPr>
        <w:pStyle w:val="BodyText"/>
        <w:spacing w:before="1"/>
        <w:rPr>
          <w:sz w:val="11"/>
        </w:rPr>
      </w:pPr>
      <w:r>
        <w:rPr/>
        <w:br w:type="column"/>
      </w:r>
      <w:r>
        <w:rPr>
          <w:sz w:val="11"/>
        </w:rPr>
      </w:r>
    </w:p>
    <w:p>
      <w:pPr>
        <w:spacing w:before="0"/>
        <w:ind w:left="0" w:right="38" w:firstLine="0"/>
        <w:jc w:val="right"/>
        <w:rPr>
          <w:sz w:val="12"/>
        </w:rPr>
      </w:pPr>
      <w:r>
        <w:rPr>
          <w:sz w:val="12"/>
        </w:rPr>
        <w:t>-1.25</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38208" from="212.5pt,-16.598442pt" to="207.5pt,-16.598442pt" stroked="true" strokeweight=".5pt" strokecolor="#000000">
            <v:stroke dashstyle="solid"/>
            <w10:wrap type="none"/>
          </v:line>
        </w:pict>
      </w:r>
      <w:r>
        <w:rPr/>
        <w:pict>
          <v:line style="position:absolute;mso-position-horizontal-relative:page;mso-position-vertical-relative:paragraph;z-index:15838720" from="212.5pt,8.401558pt" to="207.5pt,8.401558pt" stroked="true" strokeweight=".5pt" strokecolor="#000000">
            <v:stroke dashstyle="solid"/>
            <w10:wrap type="none"/>
          </v:line>
        </w:pict>
      </w:r>
      <w:r>
        <w:rPr>
          <w:sz w:val="12"/>
        </w:rPr>
        <w:t>-1.50</w:t>
      </w:r>
    </w:p>
    <w:p>
      <w:pPr>
        <w:pStyle w:val="Heading6"/>
        <w:spacing w:before="90"/>
        <w:ind w:left="813"/>
        <w:rPr>
          <w:i/>
        </w:rPr>
      </w:pPr>
      <w:r>
        <w:rPr>
          <w:i w:val="0"/>
        </w:rPr>
        <w:br w:type="column"/>
      </w:r>
      <w:r>
        <w:rPr>
          <w:i/>
          <w:color w:val="009483"/>
        </w:rPr>
        <w:t>Consumption</w:t>
      </w:r>
    </w:p>
    <w:p>
      <w:pPr>
        <w:spacing w:before="164"/>
        <w:ind w:left="813" w:right="0" w:firstLine="0"/>
        <w:jc w:val="left"/>
        <w:rPr>
          <w:sz w:val="24"/>
        </w:rPr>
      </w:pPr>
      <w:r>
        <w:rPr>
          <w:color w:val="231F20"/>
          <w:sz w:val="24"/>
        </w:rPr>
        <w:t>Consumers’ expenditure grew rapidly during the first</w:t>
      </w:r>
    </w:p>
    <w:p>
      <w:pPr>
        <w:spacing w:after="0"/>
        <w:jc w:val="left"/>
        <w:rPr>
          <w:sz w:val="24"/>
        </w:rPr>
        <w:sectPr>
          <w:type w:val="continuous"/>
          <w:pgSz w:w="11880" w:h="16840"/>
          <w:pgMar w:top="1200" w:bottom="280" w:left="620" w:right="620"/>
          <w:cols w:num="4" w:equalWidth="0">
            <w:col w:w="1054" w:space="40"/>
            <w:col w:w="1921" w:space="39"/>
            <w:col w:w="897" w:space="216"/>
            <w:col w:w="6473"/>
          </w:cols>
        </w:sectPr>
      </w:pPr>
    </w:p>
    <w:p>
      <w:pPr>
        <w:pStyle w:val="BodyText"/>
        <w:spacing w:before="8"/>
        <w:rPr>
          <w:sz w:val="12"/>
        </w:rPr>
      </w:pPr>
    </w:p>
    <w:p>
      <w:pPr>
        <w:spacing w:before="0"/>
        <w:ind w:left="180" w:right="0" w:firstLine="0"/>
        <w:jc w:val="left"/>
        <w:rPr>
          <w:sz w:val="12"/>
        </w:rPr>
      </w:pPr>
      <w:r>
        <w:rPr>
          <w:color w:val="231F20"/>
          <w:sz w:val="12"/>
        </w:rPr>
        <w:t>(a) Three-month moving average.</w:t>
      </w:r>
    </w:p>
    <w:p>
      <w:pPr>
        <w:pStyle w:val="BodyText"/>
        <w:rPr>
          <w:sz w:val="17"/>
        </w:rPr>
      </w:pPr>
    </w:p>
    <w:p>
      <w:pPr>
        <w:pStyle w:val="Heading9"/>
        <w:spacing w:before="0"/>
        <w:ind w:left="188"/>
      </w:pPr>
      <w:r>
        <w:rPr>
          <w:color w:val="0093C1"/>
        </w:rPr>
        <w:t>Chart 2.4</w:t>
      </w:r>
    </w:p>
    <w:p>
      <w:pPr>
        <w:spacing w:line="249" w:lineRule="auto" w:before="10"/>
        <w:ind w:left="188" w:right="21" w:firstLine="0"/>
        <w:jc w:val="left"/>
        <w:rPr>
          <w:sz w:val="12"/>
        </w:rPr>
      </w:pPr>
      <w:r>
        <w:rPr>
          <w:b/>
          <w:color w:val="0093C1"/>
          <w:sz w:val="20"/>
        </w:rPr>
        <w:t>Estimated geographical composition of changes in non-EU trade balance</w:t>
      </w:r>
      <w:r>
        <w:rPr>
          <w:color w:val="231F20"/>
          <w:position w:val="4"/>
          <w:sz w:val="12"/>
        </w:rPr>
        <w:t>(a)</w:t>
      </w:r>
    </w:p>
    <w:p>
      <w:pPr>
        <w:spacing w:line="256" w:lineRule="auto" w:before="57"/>
        <w:ind w:left="415" w:right="1768" w:firstLine="0"/>
        <w:jc w:val="left"/>
        <w:rPr>
          <w:sz w:val="12"/>
        </w:rPr>
      </w:pPr>
      <w:r>
        <w:rPr/>
        <w:pict>
          <v:group style="position:absolute;margin-left:40.366001pt;margin-top:2.535543pt;width:7.5pt;height:40pt;mso-position-horizontal-relative:page;mso-position-vertical-relative:paragraph;z-index:15828480" coordorigin="807,51" coordsize="150,800">
            <v:line style="position:absolute" from="917,845" to="817,845" stroked="true" strokeweight=".5pt" strokecolor="#000000">
              <v:stroke dashstyle="solid"/>
            </v:line>
            <v:shape style="position:absolute;left:807;top:50;width:150;height:730" type="#_x0000_t75" stroked="false">
              <v:imagedata r:id="rId37" o:title=""/>
            </v:shape>
            <w10:wrap type="none"/>
          </v:group>
        </w:pict>
      </w:r>
      <w:r>
        <w:rPr>
          <w:sz w:val="12"/>
        </w:rPr>
        <w:t>OPEC and Latin America East Asia (excluding Japan) North America</w:t>
      </w:r>
    </w:p>
    <w:p>
      <w:pPr>
        <w:spacing w:before="2"/>
        <w:ind w:left="415" w:right="0" w:firstLine="0"/>
        <w:jc w:val="left"/>
        <w:rPr>
          <w:sz w:val="12"/>
        </w:rPr>
      </w:pPr>
      <w:r>
        <w:rPr>
          <w:sz w:val="12"/>
        </w:rPr>
        <w:t>Japan</w:t>
      </w:r>
    </w:p>
    <w:p>
      <w:pPr>
        <w:pStyle w:val="Heading5"/>
        <w:spacing w:line="242" w:lineRule="auto"/>
        <w:ind w:left="180" w:right="144"/>
      </w:pPr>
      <w:r>
        <w:rPr/>
        <w:br w:type="column"/>
      </w:r>
      <w:r>
        <w:rPr>
          <w:color w:val="231F20"/>
        </w:rPr>
        <w:t>half of 1997 (see Table 2.B). It grew more slowly in the third quarter, partly because of a temporary fall in consumers’ expenditure during the week preceding the funeral of Diana, Princess of Wales. This may have reduced consumption growth by as much as</w:t>
      </w:r>
    </w:p>
    <w:p>
      <w:pPr>
        <w:spacing w:before="0"/>
        <w:ind w:left="180" w:right="0" w:firstLine="0"/>
        <w:jc w:val="left"/>
        <w:rPr>
          <w:sz w:val="24"/>
        </w:rPr>
      </w:pPr>
      <w:r>
        <w:rPr>
          <w:color w:val="231F20"/>
          <w:sz w:val="24"/>
        </w:rPr>
        <w:t>0.5 percentage points in the quarter.</w:t>
      </w:r>
    </w:p>
    <w:p>
      <w:pPr>
        <w:spacing w:after="0"/>
        <w:jc w:val="left"/>
        <w:rPr>
          <w:sz w:val="24"/>
        </w:rPr>
        <w:sectPr>
          <w:type w:val="continuous"/>
          <w:pgSz w:w="11880" w:h="16840"/>
          <w:pgMar w:top="1200" w:bottom="280" w:left="620" w:right="620"/>
          <w:cols w:num="2" w:equalWidth="0">
            <w:col w:w="3546" w:space="1254"/>
            <w:col w:w="5840"/>
          </w:cols>
        </w:sectPr>
      </w:pPr>
    </w:p>
    <w:p>
      <w:pPr>
        <w:spacing w:before="10"/>
        <w:ind w:left="415" w:right="0" w:firstLine="0"/>
        <w:jc w:val="left"/>
        <w:rPr>
          <w:sz w:val="12"/>
        </w:rPr>
      </w:pPr>
      <w:r>
        <w:rPr>
          <w:sz w:val="12"/>
        </w:rPr>
        <w:t>Other</w:t>
      </w:r>
    </w:p>
    <w:p>
      <w:pPr>
        <w:pStyle w:val="BodyText"/>
        <w:spacing w:before="5" w:after="40"/>
        <w:rPr>
          <w:sz w:val="25"/>
        </w:rPr>
      </w:pPr>
    </w:p>
    <w:p>
      <w:pPr>
        <w:pStyle w:val="BodyText"/>
        <w:spacing w:line="20" w:lineRule="exact"/>
        <w:ind w:left="19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2"/>
        </w:rPr>
      </w:pPr>
      <w:r>
        <w:rPr/>
        <w:pict>
          <v:shape style="position:absolute;margin-left:40.939999pt;margin-top:15.25pt;width:5pt;height:.1pt;mso-position-horizontal-relative:page;mso-position-vertical-relative:paragraph;z-index:-15634944;mso-wrap-distance-left:0;mso-wrap-distance-right:0" coordorigin="819,305" coordsize="100,0" path="m919,305l819,305e" filled="false" stroked="true" strokeweight=".5pt" strokecolor="#000000">
            <v:path arrowok="t"/>
            <v:stroke dashstyle="solid"/>
            <w10:wrap type="topAndBottom"/>
          </v:shape>
        </w:pict>
      </w:r>
      <w:r>
        <w:rPr/>
        <w:pict>
          <v:shape style="position:absolute;margin-left:40.939999pt;margin-top:30.25pt;width:5pt;height:.1pt;mso-position-horizontal-relative:page;mso-position-vertical-relative:paragraph;z-index:-15634432;mso-wrap-distance-left:0;mso-wrap-distance-right:0" coordorigin="819,605" coordsize="100,0" path="m919,605l819,605e" filled="false" stroked="true" strokeweight=".5pt" strokecolor="#000000">
            <v:path arrowok="t"/>
            <v:stroke dashstyle="solid"/>
            <w10:wrap type="topAndBottom"/>
          </v:shape>
        </w:pict>
      </w:r>
      <w:r>
        <w:rPr/>
        <w:pict>
          <v:shape style="position:absolute;margin-left:40.939999pt;margin-top:45.25pt;width:5pt;height:.1pt;mso-position-horizontal-relative:page;mso-position-vertical-relative:paragraph;z-index:-15633920;mso-wrap-distance-left:0;mso-wrap-distance-right:0" coordorigin="819,905" coordsize="100,0" path="m919,905l819,905e" filled="false" stroked="true" strokeweight=".5pt" strokecolor="#000000">
            <v:path arrowok="t"/>
            <v:stroke dashstyle="solid"/>
            <w10:wrap type="topAndBottom"/>
          </v:shape>
        </w:pict>
      </w:r>
      <w:r>
        <w:rPr/>
        <w:pict>
          <v:shape style="position:absolute;margin-left:40.939999pt;margin-top:60.25pt;width:5pt;height:.1pt;mso-position-horizontal-relative:page;mso-position-vertical-relative:paragraph;z-index:-15633408;mso-wrap-distance-left:0;mso-wrap-distance-right:0" coordorigin="819,1205" coordsize="100,0" path="m919,1205l819,1205e" filled="false" stroked="true" strokeweight=".5pt" strokecolor="#000000">
            <v:path arrowok="t"/>
            <v:stroke dashstyle="solid"/>
            <w10:wrap type="topAndBottom"/>
          </v:shape>
        </w:pict>
      </w:r>
      <w:r>
        <w:rPr/>
        <w:pict>
          <v:shape style="position:absolute;margin-left:40.939999pt;margin-top:75.25pt;width:5pt;height:.1pt;mso-position-horizontal-relative:page;mso-position-vertical-relative:paragraph;z-index:-15632896;mso-wrap-distance-left:0;mso-wrap-distance-right:0" coordorigin="819,1505" coordsize="100,0" path="m919,1505l819,1505e" filled="false" stroked="true" strokeweight=".5pt" strokecolor="#000000">
            <v:path arrowok="t"/>
            <v:stroke dashstyle="solid"/>
            <w10:wrap type="topAndBottom"/>
          </v:shape>
        </w:pict>
      </w:r>
      <w:r>
        <w:rPr/>
        <w:pict>
          <v:shape style="position:absolute;margin-left:40.939999pt;margin-top:90.25pt;width:5pt;height:.1pt;mso-position-horizontal-relative:page;mso-position-vertical-relative:paragraph;z-index:-15632384;mso-wrap-distance-left:0;mso-wrap-distance-right:0" coordorigin="819,1805" coordsize="100,0" path="m919,1805l819,1805e" filled="false" stroked="true" strokeweight=".5pt" strokecolor="#000000">
            <v:path arrowok="t"/>
            <v:stroke dashstyle="solid"/>
            <w10:wrap type="topAndBottom"/>
          </v:shape>
        </w:pict>
      </w:r>
      <w:r>
        <w:rPr/>
        <w:pict>
          <v:shape style="position:absolute;margin-left:40.939999pt;margin-top:105.25pt;width:5pt;height:.1pt;mso-position-horizontal-relative:page;mso-position-vertical-relative:paragraph;z-index:-15631872;mso-wrap-distance-left:0;mso-wrap-distance-right:0" coordorigin="819,2105" coordsize="100,0" path="m919,2105l819,2105e" filled="false" stroked="true" strokeweight=".5pt" strokecolor="#000000">
            <v:path arrowok="t"/>
            <v:stroke dashstyle="solid"/>
            <w10:wrap type="topAndBottom"/>
          </v:shape>
        </w:pict>
      </w:r>
      <w:r>
        <w:rPr/>
        <w:pict>
          <v:shape style="position:absolute;margin-left:40.939999pt;margin-top:120.25pt;width:5pt;height:.1pt;mso-position-horizontal-relative:page;mso-position-vertical-relative:paragraph;z-index:-15631360;mso-wrap-distance-left:0;mso-wrap-distance-right:0" coordorigin="819,2405" coordsize="100,0" path="m919,2405l819,2405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spacing w:line="119" w:lineRule="exact" w:before="33"/>
        <w:ind w:left="415" w:right="0" w:firstLine="0"/>
        <w:jc w:val="left"/>
        <w:rPr>
          <w:sz w:val="12"/>
        </w:rPr>
      </w:pPr>
      <w:r>
        <w:rPr/>
        <w:br w:type="column"/>
      </w:r>
      <w:r>
        <w:rPr>
          <w:sz w:val="12"/>
        </w:rPr>
        <w:t>£ millions</w:t>
      </w:r>
    </w:p>
    <w:p>
      <w:pPr>
        <w:spacing w:line="119" w:lineRule="exact" w:before="0"/>
        <w:ind w:left="955" w:right="0" w:firstLine="0"/>
        <w:jc w:val="left"/>
        <w:rPr>
          <w:sz w:val="12"/>
        </w:rPr>
      </w:pPr>
      <w:r>
        <w:rPr/>
        <w:pict>
          <v:line style="position:absolute;mso-position-horizontal-relative:page;mso-position-vertical-relative:paragraph;z-index:15833600" from="208.940002pt,2.651868pt" to="203.940002pt,2.651868pt" stroked="true" strokeweight=".5pt" strokecolor="#000000">
            <v:stroke dashstyle="solid"/>
            <w10:wrap type="none"/>
          </v:line>
        </w:pict>
      </w:r>
      <w:r>
        <w:rPr>
          <w:sz w:val="12"/>
        </w:rPr>
        <w:t>250</w:t>
      </w:r>
    </w:p>
    <w:p>
      <w:pPr>
        <w:pStyle w:val="BodyText"/>
        <w:spacing w:before="8"/>
        <w:rPr>
          <w:sz w:val="11"/>
        </w:rPr>
      </w:pPr>
    </w:p>
    <w:p>
      <w:pPr>
        <w:spacing w:before="1"/>
        <w:ind w:left="0" w:right="38" w:firstLine="0"/>
        <w:jc w:val="right"/>
        <w:rPr>
          <w:sz w:val="12"/>
        </w:rPr>
      </w:pPr>
      <w:r>
        <w:rPr/>
        <w:pict>
          <v:group style="position:absolute;margin-left:49.939999pt;margin-top:-2.577448pt;width:150pt;height:135.4pt;mso-position-horizontal-relative:page;mso-position-vertical-relative:paragraph;z-index:15828992" coordorigin="999,-52" coordsize="3000,2708">
            <v:shape style="position:absolute;left:998;top:1297;width:460;height:5" coordorigin="999,1297" coordsize="460,5" path="m999,1297l1459,1297m999,1302l1459,1302e" filled="false" stroked="true" strokeweight=".25pt" strokecolor="#000000">
              <v:path arrowok="t"/>
              <v:stroke dashstyle="solid"/>
            </v:shape>
            <v:shape style="position:absolute;left:1073;top:834;width:210;height:510" type="#_x0000_t75" stroked="false">
              <v:imagedata r:id="rId38" o:title=""/>
            </v:shape>
            <v:rect style="position:absolute;left:1078;top:1339;width:200;height:500" filled="true" fillcolor="#9aca3c" stroked="false">
              <v:fill type="solid"/>
            </v:rect>
            <v:rect style="position:absolute;left:1078;top:1339;width:200;height:500" filled="false" stroked="true" strokeweight=".5pt" strokecolor="#000000">
              <v:stroke dashstyle="solid"/>
            </v:rect>
            <v:shape style="position:absolute;left:1638;top:1297;width:960;height:5" coordorigin="1639,1297" coordsize="960,5" path="m1639,1297l2599,1297m1639,1302l1839,1302m2019,1302l2219,1302m2399,1302l2599,1302e" filled="false" stroked="true" strokeweight=".25pt" strokecolor="#000000">
              <v:path arrowok="t"/>
              <v:stroke dashstyle="solid"/>
            </v:shape>
            <v:rect style="position:absolute;left:1458;top:1299;width:180;height:200" filled="true" fillcolor="#0066a5" stroked="false">
              <v:fill type="solid"/>
            </v:rect>
            <v:rect style="position:absolute;left:1458;top:1299;width:180;height:200" filled="false" stroked="true" strokeweight=".5pt" strokecolor="#000000">
              <v:stroke dashstyle="solid"/>
            </v:rect>
            <v:rect style="position:absolute;left:1458;top:1499;width:180;height:120" filled="true" fillcolor="#ffc40c" stroked="false">
              <v:fill type="solid"/>
            </v:rect>
            <v:rect style="position:absolute;left:1458;top:1499;width:180;height:120" filled="false" stroked="true" strokeweight=".5pt" strokecolor="#000000">
              <v:stroke dashstyle="solid"/>
            </v:rect>
            <v:rect style="position:absolute;left:1458;top:1619;width:180;height:220" filled="true" fillcolor="#95459a" stroked="false">
              <v:fill type="solid"/>
            </v:rect>
            <v:rect style="position:absolute;left:1458;top:1619;width:180;height:220" filled="false" stroked="true" strokeweight=".5pt" strokecolor="#000000">
              <v:stroke dashstyle="solid"/>
            </v:rect>
            <v:rect style="position:absolute;left:1458;top:979;width:180;height:320" filled="true" fillcolor="#00a995" stroked="false">
              <v:fill type="solid"/>
            </v:rect>
            <v:rect style="position:absolute;left:1458;top:979;width:180;height:320" filled="false" stroked="true" strokeweight=".5pt" strokecolor="#000000">
              <v:stroke dashstyle="solid"/>
            </v:rect>
            <v:rect style="position:absolute;left:1458;top:759;width:180;height:220" filled="true" fillcolor="#9aca3c" stroked="false">
              <v:fill type="solid"/>
            </v:rect>
            <v:rect style="position:absolute;left:1458;top:759;width:180;height:220" filled="false" stroked="true" strokeweight=".5pt" strokecolor="#000000">
              <v:stroke dashstyle="solid"/>
            </v:rect>
            <v:rect style="position:absolute;left:1838;top:1299;width:180;height:340" filled="true" fillcolor="#0066a5" stroked="false">
              <v:fill type="solid"/>
            </v:rect>
            <v:rect style="position:absolute;left:1838;top:1299;width:180;height:340" filled="false" stroked="true" strokeweight=".5pt" strokecolor="#000000">
              <v:stroke dashstyle="solid"/>
            </v:rect>
            <v:rect style="position:absolute;left:1838;top:1639;width:180;height:120" filled="true" fillcolor="#ffc40c" stroked="false">
              <v:fill type="solid"/>
            </v:rect>
            <v:rect style="position:absolute;left:1838;top:1639;width:180;height:120" filled="false" stroked="true" strokeweight=".5pt" strokecolor="#000000">
              <v:stroke dashstyle="solid"/>
            </v:rect>
            <v:rect style="position:absolute;left:1838;top:914;width:180;height:380" filled="true" fillcolor="#00a995" stroked="false">
              <v:fill type="solid"/>
            </v:rect>
            <v:rect style="position:absolute;left:1838;top:914;width:180;height:380" filled="false" stroked="true" strokeweight=".5pt" strokecolor="#000000">
              <v:stroke dashstyle="solid"/>
            </v:rect>
            <v:rect style="position:absolute;left:1838;top:-47;width:180;height:960" filled="true" fillcolor="#9aca3c" stroked="false">
              <v:fill type="solid"/>
            </v:rect>
            <v:rect style="position:absolute;left:1838;top:-47;width:180;height:960" filled="false" stroked="true" strokeweight=".5pt" strokecolor="#000000">
              <v:stroke dashstyle="solid"/>
            </v:rect>
            <v:rect style="position:absolute;left:2218;top:1299;width:180;height:100" filled="true" fillcolor="#0066a5" stroked="false">
              <v:fill type="solid"/>
            </v:rect>
            <v:rect style="position:absolute;left:2218;top:1299;width:180;height:100" filled="false" stroked="true" strokeweight=".5pt" strokecolor="#000000">
              <v:stroke dashstyle="solid"/>
            </v:rect>
            <v:rect style="position:absolute;left:2218;top:1399;width:180;height:240" filled="true" fillcolor="#ffc40c" stroked="false">
              <v:fill type="solid"/>
            </v:rect>
            <v:rect style="position:absolute;left:2218;top:1399;width:180;height:240" filled="false" stroked="true" strokeweight=".5pt" strokecolor="#000000">
              <v:stroke dashstyle="solid"/>
            </v:rect>
            <v:rect style="position:absolute;left:2218;top:1219;width:180;height:80" filled="true" fillcolor="#95459a" stroked="false">
              <v:fill type="solid"/>
            </v:rect>
            <v:rect style="position:absolute;left:2218;top:1219;width:180;height:80" filled="false" stroked="true" strokeweight=".5pt" strokecolor="#000000">
              <v:stroke dashstyle="solid"/>
            </v:rect>
            <v:rect style="position:absolute;left:2218;top:859;width:180;height:360" filled="true" fillcolor="#00a995" stroked="false">
              <v:fill type="solid"/>
            </v:rect>
            <v:rect style="position:absolute;left:2218;top:859;width:180;height:360" filled="false" stroked="true" strokeweight=".5pt" strokecolor="#000000">
              <v:stroke dashstyle="solid"/>
            </v:rect>
            <v:rect style="position:absolute;left:2218;top:819;width:180;height:40" filled="true" fillcolor="#9aca3c" stroked="false">
              <v:fill type="solid"/>
            </v:rect>
            <v:rect style="position:absolute;left:2218;top:819;width:180;height:40" filled="false" stroked="true" strokeweight=".5pt" strokecolor="#000000">
              <v:stroke dashstyle="solid"/>
            </v:rect>
            <v:shape style="position:absolute;left:2778;top:1297;width:1220;height:5" coordorigin="2779,1297" coordsize="1220,5" path="m2779,1297l3999,1297m2779,1302l3339,1302m3539,1302l3719,1302m3899,1302l3999,1302e" filled="false" stroked="true" strokeweight=".25pt" strokecolor="#000000">
              <v:path arrowok="t"/>
              <v:stroke dashstyle="solid"/>
            </v:shape>
            <v:rect style="position:absolute;left:2598;top:959;width:180;height:340" filled="true" fillcolor="#0066a5" stroked="false">
              <v:fill type="solid"/>
            </v:rect>
            <v:rect style="position:absolute;left:2598;top:959;width:180;height:340" filled="false" stroked="true" strokeweight=".5pt" strokecolor="#000000">
              <v:stroke dashstyle="solid"/>
            </v:rect>
            <v:rect style="position:absolute;left:2598;top:1299;width:180;height:120" filled="true" fillcolor="#ffc40c" stroked="false">
              <v:fill type="solid"/>
            </v:rect>
            <v:rect style="position:absolute;left:2598;top:1299;width:180;height:120" filled="false" stroked="true" strokeweight=".5pt" strokecolor="#000000">
              <v:stroke dashstyle="solid"/>
            </v:rect>
            <v:rect style="position:absolute;left:2598;top:899;width:180;height:60" filled="true" fillcolor="#95459a" stroked="false">
              <v:fill type="solid"/>
            </v:rect>
            <v:rect style="position:absolute;left:2598;top:899;width:180;height:60" filled="false" stroked="true" strokeweight=".5pt" strokecolor="#000000">
              <v:stroke dashstyle="solid"/>
            </v:rect>
            <v:rect style="position:absolute;left:2598;top:859;width:180;height:40" filled="true" fillcolor="#00a995" stroked="false">
              <v:fill type="solid"/>
            </v:rect>
            <v:rect style="position:absolute;left:2598;top:859;width:180;height:40" filled="false" stroked="true" strokeweight=".5pt" strokecolor="#000000">
              <v:stroke dashstyle="solid"/>
            </v:rect>
            <v:rect style="position:absolute;left:2598;top:1419;width:180;height:140" filled="true" fillcolor="#9aca3c" stroked="false">
              <v:fill type="solid"/>
            </v:rect>
            <v:rect style="position:absolute;left:2598;top:1419;width:180;height:140" filled="false" stroked="true" strokeweight=".5pt" strokecolor="#000000">
              <v:stroke dashstyle="solid"/>
            </v:rect>
            <v:shape style="position:absolute;left:2953;top:1304;width:200;height:2" coordorigin="2954,1305" coordsize="200,0" path="m3154,1305l2954,1305,3154,1305xe" filled="true" fillcolor="#0066a5" stroked="false">
              <v:path arrowok="t"/>
              <v:fill type="solid"/>
            </v:shape>
            <v:shape style="position:absolute;left:2953;top:1304;width:200;height:2" coordorigin="2954,1305" coordsize="200,0" path="m2954,1305l3154,1305,2954,1305xe" filled="false" stroked="true" strokeweight=".5pt" strokecolor="#000000">
              <v:path arrowok="t"/>
              <v:stroke dashstyle="solid"/>
            </v:shape>
            <v:rect style="position:absolute;left:2955;top:1310;width:200;height:40" filled="true" fillcolor="#ffc40c" stroked="false">
              <v:fill type="solid"/>
            </v:rect>
            <v:rect style="position:absolute;left:2955;top:1310;width:200;height:40" filled="false" stroked="true" strokeweight=".5pt" strokecolor="#000000">
              <v:stroke dashstyle="solid"/>
            </v:rect>
            <v:rect style="position:absolute;left:2955;top:1348;width:200;height:19" filled="true" fillcolor="#95459a" stroked="false">
              <v:fill type="solid"/>
            </v:rect>
            <v:shape style="position:absolute;left:2950;top:1357;width:210;height:15" coordorigin="2950,1357" coordsize="210,15" path="m2950,1372l3160,1372m2950,1357l3160,1357e" filled="false" stroked="true" strokeweight=".062pt" strokecolor="#000000">
              <v:path arrowok="t"/>
              <v:stroke dashstyle="solid"/>
            </v:shape>
            <v:rect style="position:absolute;left:2955;top:1370;width:200;height:220" filled="true" fillcolor="#00a995" stroked="false">
              <v:fill type="solid"/>
            </v:rect>
            <v:rect style="position:absolute;left:2955;top:1370;width:200;height:220" filled="false" stroked="true" strokeweight=".5pt" strokecolor="#000000">
              <v:stroke dashstyle="solid"/>
            </v:rect>
            <v:rect style="position:absolute;left:2955;top:1590;width:200;height:1060" filled="true" fillcolor="#9aca3c" stroked="false">
              <v:fill type="solid"/>
            </v:rect>
            <v:rect style="position:absolute;left:2955;top:1590;width:200;height:1060" filled="false" stroked="true" strokeweight=".5pt" strokecolor="#000000">
              <v:stroke dashstyle="solid"/>
            </v:rect>
            <v:rect style="position:absolute;left:3338;top:1299;width:200;height:300" filled="true" fillcolor="#0066a5" stroked="false">
              <v:fill type="solid"/>
            </v:rect>
            <v:rect style="position:absolute;left:3338;top:1299;width:200;height:300" filled="false" stroked="true" strokeweight=".5pt" strokecolor="#000000">
              <v:stroke dashstyle="solid"/>
            </v:rect>
            <v:rect style="position:absolute;left:3338;top:1599;width:200;height:200" filled="true" fillcolor="#ffc40c" stroked="false">
              <v:fill type="solid"/>
            </v:rect>
            <v:rect style="position:absolute;left:3338;top:1599;width:200;height:200" filled="false" stroked="true" strokeweight=".5pt" strokecolor="#000000">
              <v:stroke dashstyle="solid"/>
            </v:rect>
            <v:rect style="position:absolute;left:3338;top:1799;width:200;height:260" filled="true" fillcolor="#95459a" stroked="false">
              <v:fill type="solid"/>
            </v:rect>
            <v:rect style="position:absolute;left:3338;top:1799;width:200;height:260" filled="false" stroked="true" strokeweight=".5pt" strokecolor="#000000">
              <v:stroke dashstyle="solid"/>
            </v:rect>
            <v:rect style="position:absolute;left:3338;top:2059;width:200;height:200" filled="true" fillcolor="#00a995" stroked="false">
              <v:fill type="solid"/>
            </v:rect>
            <v:rect style="position:absolute;left:3338;top:2059;width:200;height:200" filled="false" stroked="true" strokeweight=".5pt" strokecolor="#000000">
              <v:stroke dashstyle="solid"/>
            </v:rect>
            <v:rect style="position:absolute;left:3338;top:2259;width:200;height:260" filled="true" fillcolor="#9aca3c" stroked="false">
              <v:fill type="solid"/>
            </v:rect>
            <v:rect style="position:absolute;left:3338;top:2259;width:200;height:260" filled="false" stroked="true" strokeweight=".5pt" strokecolor="#000000">
              <v:stroke dashstyle="solid"/>
            </v:rect>
            <v:rect style="position:absolute;left:3718;top:1299;width:180;height:320" filled="true" fillcolor="#0066a5" stroked="false">
              <v:fill type="solid"/>
            </v:rect>
            <v:rect style="position:absolute;left:3718;top:1299;width:180;height:320" filled="false" stroked="true" strokeweight=".5pt" strokecolor="#000000">
              <v:stroke dashstyle="solid"/>
            </v:rect>
            <v:rect style="position:absolute;left:3718;top:1619;width:180;height:220" filled="true" fillcolor="#ffc40c" stroked="false">
              <v:fill type="solid"/>
            </v:rect>
            <v:rect style="position:absolute;left:3718;top:1619;width:180;height:220" filled="false" stroked="true" strokeweight=".5pt" strokecolor="#000000">
              <v:stroke dashstyle="solid"/>
            </v:rect>
            <v:rect style="position:absolute;left:3718;top:1259;width:180;height:40" filled="true" fillcolor="#95459a" stroked="false">
              <v:fill type="solid"/>
            </v:rect>
            <v:rect style="position:absolute;left:3718;top:1259;width:180;height:40" filled="false" stroked="true" strokeweight=".5pt" strokecolor="#000000">
              <v:stroke dashstyle="solid"/>
            </v:rect>
            <v:rect style="position:absolute;left:3718;top:599;width:180;height:660" filled="true" fillcolor="#00a995" stroked="false">
              <v:fill type="solid"/>
            </v:rect>
            <v:rect style="position:absolute;left:3718;top:599;width:180;height:660" filled="false" stroked="true" strokeweight=".5pt" strokecolor="#000000">
              <v:stroke dashstyle="solid"/>
            </v:rect>
            <v:rect style="position:absolute;left:3718;top:1839;width:180;height:340" filled="true" fillcolor="#9aca3c" stroked="false">
              <v:fill type="solid"/>
            </v:rect>
            <v:rect style="position:absolute;left:3718;top:1839;width:180;height:340" filled="false" stroked="true" strokeweight=".5pt" strokecolor="#000000">
              <v:stroke dashstyle="solid"/>
            </v:rect>
            <w10:wrap type="none"/>
          </v:group>
        </w:pict>
      </w:r>
      <w:r>
        <w:rPr/>
        <w:pict>
          <v:line style="position:absolute;mso-position-horizontal-relative:page;mso-position-vertical-relative:paragraph;z-index:15833088" from="208.940002pt,3.984552pt" to="203.940002pt,3.984552pt" stroked="true" strokeweight=".5pt" strokecolor="#000000">
            <v:stroke dashstyle="solid"/>
            <w10:wrap type="none"/>
          </v:line>
        </w:pict>
      </w:r>
      <w:r>
        <w:rPr>
          <w:sz w:val="12"/>
        </w:rPr>
        <w:t>200</w:t>
      </w:r>
    </w:p>
    <w:p>
      <w:pPr>
        <w:pStyle w:val="BodyText"/>
        <w:rPr>
          <w:sz w:val="14"/>
        </w:rPr>
      </w:pPr>
    </w:p>
    <w:p>
      <w:pPr>
        <w:spacing w:before="1"/>
        <w:ind w:left="0" w:right="38" w:firstLine="0"/>
        <w:jc w:val="right"/>
        <w:rPr>
          <w:sz w:val="12"/>
        </w:rPr>
      </w:pPr>
      <w:r>
        <w:rPr/>
        <w:pict>
          <v:line style="position:absolute;mso-position-horizontal-relative:page;mso-position-vertical-relative:paragraph;z-index:15832576" from="208.940002pt,4.984552pt" to="203.940002pt,4.984552pt" stroked="true" strokeweight=".5pt" strokecolor="#000000">
            <v:stroke dashstyle="solid"/>
            <w10:wrap type="none"/>
          </v:line>
        </w:pict>
      </w:r>
      <w:r>
        <w:rPr>
          <w:sz w:val="12"/>
        </w:rPr>
        <w:t>150</w:t>
      </w:r>
    </w:p>
    <w:p>
      <w:pPr>
        <w:pStyle w:val="BodyText"/>
        <w:rPr>
          <w:sz w:val="14"/>
        </w:rPr>
      </w:pPr>
    </w:p>
    <w:p>
      <w:pPr>
        <w:spacing w:before="1"/>
        <w:ind w:left="0" w:right="38" w:firstLine="0"/>
        <w:jc w:val="right"/>
        <w:rPr>
          <w:sz w:val="12"/>
        </w:rPr>
      </w:pPr>
      <w:r>
        <w:rPr/>
        <w:pict>
          <v:line style="position:absolute;mso-position-horizontal-relative:page;mso-position-vertical-relative:paragraph;z-index:15832064" from="208.940002pt,4.984552pt" to="203.940002pt,4.984552pt" stroked="true" strokeweight=".5pt" strokecolor="#000000">
            <v:stroke dashstyle="solid"/>
            <w10:wrap type="none"/>
          </v:line>
        </w:pict>
      </w:r>
      <w:r>
        <w:rPr>
          <w:sz w:val="12"/>
        </w:rPr>
        <w:t>100</w:t>
      </w:r>
    </w:p>
    <w:p>
      <w:pPr>
        <w:pStyle w:val="BodyText"/>
        <w:spacing w:before="9"/>
        <w:rPr>
          <w:sz w:val="15"/>
        </w:rPr>
      </w:pPr>
    </w:p>
    <w:p>
      <w:pPr>
        <w:spacing w:line="119" w:lineRule="exact" w:before="0"/>
        <w:ind w:left="1015" w:right="0" w:firstLine="0"/>
        <w:jc w:val="left"/>
        <w:rPr>
          <w:sz w:val="12"/>
        </w:rPr>
      </w:pPr>
      <w:r>
        <w:rPr/>
        <w:pict>
          <v:line style="position:absolute;mso-position-horizontal-relative:page;mso-position-vertical-relative:paragraph;z-index:15831552" from="208.940002pt,3.934552pt" to="203.940002pt,3.934552pt" stroked="true" strokeweight=".5pt" strokecolor="#000000">
            <v:stroke dashstyle="solid"/>
            <w10:wrap type="none"/>
          </v:line>
        </w:pict>
      </w:r>
      <w:r>
        <w:rPr>
          <w:sz w:val="12"/>
        </w:rPr>
        <w:t>50</w:t>
      </w:r>
    </w:p>
    <w:p>
      <w:pPr>
        <w:spacing w:line="163" w:lineRule="exact" w:before="0"/>
        <w:ind w:left="915" w:right="0" w:firstLine="0"/>
        <w:jc w:val="left"/>
        <w:rPr>
          <w:sz w:val="16"/>
        </w:rPr>
      </w:pPr>
      <w:r>
        <w:rPr>
          <w:sz w:val="16"/>
        </w:rPr>
        <w:t>+</w:t>
      </w:r>
    </w:p>
    <w:p>
      <w:pPr>
        <w:spacing w:line="107" w:lineRule="exact" w:before="0"/>
        <w:ind w:left="0" w:right="38" w:firstLine="0"/>
        <w:jc w:val="right"/>
        <w:rPr>
          <w:sz w:val="12"/>
        </w:rPr>
      </w:pPr>
      <w:r>
        <w:rPr>
          <w:sz w:val="12"/>
        </w:rPr>
        <w:t>0</w:t>
      </w:r>
    </w:p>
    <w:p>
      <w:pPr>
        <w:pStyle w:val="BodyText"/>
        <w:spacing w:line="20" w:lineRule="exact"/>
        <w:ind w:left="7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135" w:lineRule="exact" w:before="0"/>
        <w:ind w:left="915" w:right="0" w:firstLine="0"/>
        <w:jc w:val="left"/>
        <w:rPr>
          <w:sz w:val="16"/>
        </w:rPr>
      </w:pPr>
      <w:r>
        <w:rPr>
          <w:sz w:val="16"/>
        </w:rPr>
        <w:t>_</w:t>
      </w:r>
    </w:p>
    <w:p>
      <w:pPr>
        <w:spacing w:before="56"/>
        <w:ind w:left="0" w:right="38" w:firstLine="0"/>
        <w:jc w:val="right"/>
        <w:rPr>
          <w:sz w:val="12"/>
        </w:rPr>
      </w:pPr>
      <w:r>
        <w:rPr/>
        <w:pict>
          <v:line style="position:absolute;mso-position-horizontal-relative:page;mso-position-vertical-relative:paragraph;z-index:15829504" from="208.940002pt,6.734552pt" to="203.940002pt,6.734552pt" stroked="true" strokeweight=".5pt" strokecolor="#000000">
            <v:stroke dashstyle="solid"/>
            <w10:wrap type="none"/>
          </v:line>
        </w:pict>
      </w:r>
      <w:r>
        <w:rPr>
          <w:sz w:val="12"/>
        </w:rPr>
        <w:t>50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30016" from="208.940002pt,3.934552pt" to="203.940002pt,3.934552pt" stroked="true" strokeweight=".5pt" strokecolor="#000000">
            <v:stroke dashstyle="solid"/>
            <w10:wrap type="none"/>
          </v:line>
        </w:pict>
      </w:r>
      <w:r>
        <w:rPr>
          <w:sz w:val="12"/>
        </w:rPr>
        <w:t>100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30528" from="208.940002pt,3.934552pt" to="203.940002pt,3.934552pt" stroked="true" strokeweight=".5pt" strokecolor="#000000">
            <v:stroke dashstyle="solid"/>
            <w10:wrap type="none"/>
          </v:line>
        </w:pict>
      </w:r>
      <w:r>
        <w:rPr>
          <w:sz w:val="12"/>
        </w:rPr>
        <w:t>150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31040" from="208.940002pt,3.934552pt" to="203.940002pt,3.934552pt" stroked="true" strokeweight=".5pt" strokecolor="#000000">
            <v:stroke dashstyle="solid"/>
            <w10:wrap type="none"/>
          </v:line>
        </w:pict>
      </w:r>
      <w:r>
        <w:rPr>
          <w:sz w:val="12"/>
        </w:rPr>
        <w:t>200</w:t>
      </w:r>
    </w:p>
    <w:p>
      <w:pPr>
        <w:pStyle w:val="Heading5"/>
        <w:spacing w:line="242" w:lineRule="auto" w:before="112"/>
        <w:ind w:left="415" w:right="128"/>
      </w:pPr>
      <w:r>
        <w:rPr/>
        <w:br w:type="column"/>
      </w:r>
      <w:r>
        <w:rPr>
          <w:color w:val="231F20"/>
        </w:rPr>
        <w:t>A Bank/M</w:t>
      </w:r>
      <w:r>
        <w:rPr>
          <w:color w:val="231F20"/>
          <w:sz w:val="20"/>
        </w:rPr>
        <w:t>ORI </w:t>
      </w:r>
      <w:r>
        <w:rPr>
          <w:color w:val="231F20"/>
        </w:rPr>
        <w:t>survey of windfall gains suggested that much of the effect of windfall payouts from building societies would be concentrated in 1997.</w:t>
      </w:r>
      <w:r>
        <w:rPr>
          <w:color w:val="231F20"/>
          <w:position w:val="5"/>
          <w:sz w:val="16"/>
        </w:rPr>
        <w:t>(1) </w:t>
      </w:r>
      <w:r>
        <w:rPr>
          <w:color w:val="231F20"/>
        </w:rPr>
        <w:t>A significant proportion of windfall payouts was expected to be spent on durable goods during the year. Chart 2.5 shows that spending on durable goods rose rapidly in the first three quarters of 1997 relative to spending on non-durables; this was probably related in part to windfall spending.</w:t>
      </w:r>
    </w:p>
    <w:p>
      <w:pPr>
        <w:spacing w:line="242" w:lineRule="auto" w:before="10"/>
        <w:ind w:left="415" w:right="128" w:firstLine="0"/>
        <w:jc w:val="left"/>
        <w:rPr>
          <w:sz w:val="24"/>
        </w:rPr>
      </w:pPr>
      <w:r>
        <w:rPr>
          <w:color w:val="231F20"/>
          <w:sz w:val="24"/>
        </w:rPr>
        <w:t>Though spending on durables slowed in 1997 Q3, the growth of spending on services rose.</w:t>
      </w:r>
    </w:p>
    <w:p>
      <w:pPr>
        <w:spacing w:after="0" w:line="242" w:lineRule="auto"/>
        <w:jc w:val="left"/>
        <w:rPr>
          <w:sz w:val="24"/>
        </w:rPr>
        <w:sectPr>
          <w:type w:val="continuous"/>
          <w:pgSz w:w="11880" w:h="16840"/>
          <w:pgMar w:top="1200" w:bottom="280" w:left="620" w:right="620"/>
          <w:cols w:num="3" w:equalWidth="0">
            <w:col w:w="729" w:space="1934"/>
            <w:col w:w="1176" w:space="725"/>
            <w:col w:w="6076"/>
          </w:cols>
        </w:sectPr>
      </w:pPr>
    </w:p>
    <w:p>
      <w:pPr>
        <w:pStyle w:val="BodyText"/>
        <w:spacing w:before="1"/>
        <w:rPr>
          <w:sz w:val="17"/>
        </w:rPr>
      </w:pPr>
    </w:p>
    <w:p>
      <w:pPr>
        <w:spacing w:line="50" w:lineRule="exact"/>
        <w:ind w:left="193" w:right="-87" w:firstLine="0"/>
        <w:rPr>
          <w:sz w:val="2"/>
        </w:rPr>
      </w:pPr>
      <w:r>
        <w:rPr>
          <w:position w:val="0"/>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position w:val="0"/>
          <w:sz w:val="2"/>
        </w:rPr>
      </w:r>
      <w:r>
        <w:rPr>
          <w:spacing w:val="37"/>
          <w:position w:val="0"/>
          <w:sz w:val="5"/>
        </w:rPr>
        <w:t> </w:t>
      </w:r>
      <w:r>
        <w:rPr>
          <w:spacing w:val="37"/>
          <w:position w:val="0"/>
          <w:sz w:val="5"/>
        </w:rPr>
        <w:pict>
          <v:group style="width:150pt;height:2.25pt;mso-position-horizontal-relative:char;mso-position-vertical-relative:line" coordorigin="0,0" coordsize="3000,45">
            <v:shape style="position:absolute;left:0;top:0;width:3000;height:40" coordorigin="0,0" coordsize="3000,40" path="m180,40l180,0m560,40l560,0m940,40l940,0m1320,40l1320,0m1680,40l1680,0m2060,40l2060,0m2440,40l2440,0m2820,40l2820,0m0,40l3000,40e" filled="false" stroked="true" strokeweight=".5pt" strokecolor="#000000">
              <v:path arrowok="t"/>
              <v:stroke dashstyle="solid"/>
            </v:shape>
          </v:group>
        </w:pict>
      </w:r>
      <w:r>
        <w:rPr>
          <w:spacing w:val="37"/>
          <w:position w:val="0"/>
          <w:sz w:val="5"/>
        </w:rPr>
      </w:r>
      <w:r>
        <w:rPr>
          <w:spacing w:val="52"/>
          <w:position w:val="0"/>
          <w:sz w:val="2"/>
        </w:rPr>
        <w:t> </w:t>
      </w:r>
      <w:r>
        <w:rPr>
          <w:spacing w:val="52"/>
          <w:position w:val="0"/>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pacing w:val="52"/>
          <w:position w:val="0"/>
          <w:sz w:val="2"/>
        </w:rPr>
      </w:r>
    </w:p>
    <w:p>
      <w:pPr>
        <w:spacing w:before="26"/>
        <w:ind w:left="228" w:right="0" w:firstLine="0"/>
        <w:jc w:val="center"/>
        <w:rPr>
          <w:sz w:val="12"/>
        </w:rPr>
      </w:pPr>
      <w:r>
        <w:rPr>
          <w:sz w:val="12"/>
        </w:rPr>
        <w:t>May June July Aug. Sept. Oct. Nov. Dec.</w:t>
      </w:r>
    </w:p>
    <w:p>
      <w:pPr>
        <w:spacing w:before="49"/>
        <w:ind w:left="238" w:right="0" w:firstLine="0"/>
        <w:jc w:val="center"/>
        <w:rPr>
          <w:sz w:val="12"/>
        </w:rPr>
      </w:pPr>
      <w:r>
        <w:rPr>
          <w:sz w:val="12"/>
        </w:rPr>
        <w:t>1997</w:t>
      </w:r>
    </w:p>
    <w:p>
      <w:pPr>
        <w:spacing w:before="41"/>
        <w:ind w:left="182" w:right="0" w:firstLine="0"/>
        <w:jc w:val="center"/>
        <w:rPr>
          <w:sz w:val="12"/>
        </w:rPr>
      </w:pPr>
      <w:r>
        <w:rPr>
          <w:color w:val="231F20"/>
          <w:sz w:val="12"/>
        </w:rPr>
        <w:t>Source: Bank of England estimates based on overseas trade statistics.</w:t>
      </w:r>
    </w:p>
    <w:p>
      <w:pPr>
        <w:spacing w:before="102"/>
        <w:ind w:left="182" w:right="0" w:firstLine="0"/>
        <w:jc w:val="left"/>
        <w:rPr>
          <w:sz w:val="12"/>
        </w:rPr>
      </w:pPr>
      <w:r>
        <w:rPr>
          <w:color w:val="231F20"/>
          <w:sz w:val="12"/>
        </w:rPr>
        <w:t>(a) Three-month moving average of balance of trade in goods.</w:t>
      </w:r>
    </w:p>
    <w:p>
      <w:pPr>
        <w:pStyle w:val="BodyText"/>
        <w:rPr>
          <w:sz w:val="12"/>
        </w:rPr>
      </w:pPr>
    </w:p>
    <w:p>
      <w:pPr>
        <w:pStyle w:val="BodyText"/>
        <w:spacing w:before="1"/>
        <w:rPr>
          <w:sz w:val="11"/>
        </w:rPr>
      </w:pPr>
    </w:p>
    <w:p>
      <w:pPr>
        <w:pStyle w:val="Heading9"/>
        <w:spacing w:before="1"/>
        <w:ind w:left="220"/>
      </w:pPr>
      <w:r>
        <w:rPr>
          <w:color w:val="0093C1"/>
        </w:rPr>
        <w:t>Table 2.B</w:t>
      </w:r>
    </w:p>
    <w:p>
      <w:pPr>
        <w:spacing w:before="10"/>
        <w:ind w:left="220" w:right="0" w:firstLine="0"/>
        <w:jc w:val="left"/>
        <w:rPr>
          <w:b/>
          <w:sz w:val="20"/>
        </w:rPr>
      </w:pPr>
      <w:r>
        <w:rPr>
          <w:b/>
          <w:color w:val="0093C1"/>
          <w:sz w:val="20"/>
        </w:rPr>
        <w:t>Expenditure components of GDP</w:t>
      </w:r>
    </w:p>
    <w:p>
      <w:pPr>
        <w:spacing w:before="106"/>
        <w:ind w:left="220" w:right="0" w:firstLine="0"/>
        <w:jc w:val="left"/>
        <w:rPr>
          <w:sz w:val="14"/>
        </w:rPr>
      </w:pPr>
      <w:r>
        <w:rPr>
          <w:color w:val="231F20"/>
          <w:sz w:val="14"/>
        </w:rPr>
        <w:t>Per cent</w:t>
      </w:r>
    </w:p>
    <w:p>
      <w:pPr>
        <w:pStyle w:val="BodyText"/>
        <w:spacing w:before="1"/>
        <w:rPr>
          <w:sz w:val="14"/>
        </w:rPr>
      </w:pPr>
      <w:r>
        <w:rPr/>
        <w:br w:type="column"/>
      </w:r>
      <w:r>
        <w:rPr>
          <w:sz w:val="14"/>
        </w:rPr>
      </w:r>
    </w:p>
    <w:p>
      <w:pPr>
        <w:spacing w:before="1"/>
        <w:ind w:left="40" w:right="0" w:firstLine="0"/>
        <w:jc w:val="left"/>
        <w:rPr>
          <w:sz w:val="12"/>
        </w:rPr>
      </w:pPr>
      <w:r>
        <w:rPr>
          <w:sz w:val="12"/>
        </w:rPr>
        <w:t>250</w:t>
      </w:r>
    </w:p>
    <w:p>
      <w:pPr>
        <w:pStyle w:val="Heading5"/>
        <w:spacing w:line="242" w:lineRule="auto" w:before="228"/>
        <w:ind w:left="182"/>
      </w:pPr>
      <w:r>
        <w:rPr/>
        <w:br w:type="column"/>
      </w:r>
      <w:r>
        <w:rPr>
          <w:color w:val="231F20"/>
        </w:rPr>
        <w:t>Retail sales volumes fell by 0.1% in December, having fallen by 0.5% in the previous month. The three-month growth rate of retail sales peaked in July before falling during the second half of the year, but retail sales growth remains high (see Chart 2.6).</w:t>
      </w:r>
    </w:p>
    <w:p>
      <w:pPr>
        <w:pStyle w:val="BodyText"/>
        <w:spacing w:before="10"/>
        <w:rPr>
          <w:sz w:val="24"/>
        </w:rPr>
      </w:pPr>
    </w:p>
    <w:p>
      <w:pPr>
        <w:spacing w:line="236" w:lineRule="exact" w:before="1"/>
        <w:ind w:left="182" w:right="0" w:firstLine="0"/>
        <w:jc w:val="left"/>
        <w:rPr>
          <w:sz w:val="24"/>
        </w:rPr>
      </w:pPr>
      <w:r>
        <w:rPr>
          <w:color w:val="231F20"/>
          <w:sz w:val="24"/>
        </w:rPr>
        <w:t>Several factors suggest that consumption growth will</w:t>
      </w:r>
    </w:p>
    <w:p>
      <w:pPr>
        <w:spacing w:after="0" w:line="236" w:lineRule="exact"/>
        <w:jc w:val="left"/>
        <w:rPr>
          <w:sz w:val="24"/>
        </w:rPr>
        <w:sectPr>
          <w:type w:val="continuous"/>
          <w:pgSz w:w="11880" w:h="16840"/>
          <w:pgMar w:top="1200" w:bottom="280" w:left="620" w:right="620"/>
          <w:cols w:num="3" w:equalWidth="0">
            <w:col w:w="3539" w:space="40"/>
            <w:col w:w="261" w:space="957"/>
            <w:col w:w="5843"/>
          </w:cols>
        </w:sectPr>
      </w:pPr>
    </w:p>
    <w:p>
      <w:pPr>
        <w:tabs>
          <w:tab w:pos="3761" w:val="left" w:leader="none"/>
        </w:tabs>
        <w:spacing w:line="144" w:lineRule="exact" w:before="0"/>
        <w:ind w:left="1721" w:right="0" w:firstLine="0"/>
        <w:jc w:val="left"/>
        <w:rPr>
          <w:sz w:val="14"/>
        </w:rPr>
      </w:pPr>
      <w:r>
        <w:rPr>
          <w:color w:val="231F20"/>
          <w:sz w:val="14"/>
        </w:rPr>
        <w:t>Percentage changes on</w:t>
        <w:tab/>
        <w:t>Contribution</w:t>
      </w:r>
    </w:p>
    <w:p>
      <w:pPr>
        <w:tabs>
          <w:tab w:pos="3569" w:val="left" w:leader="none"/>
          <w:tab w:pos="3761" w:val="left" w:leader="none"/>
        </w:tabs>
        <w:spacing w:line="208" w:lineRule="auto" w:before="6"/>
        <w:ind w:left="1721" w:right="38" w:firstLine="0"/>
        <w:jc w:val="left"/>
        <w:rPr>
          <w:sz w:val="14"/>
        </w:rPr>
      </w:pPr>
      <w:r>
        <w:rPr>
          <w:color w:val="231F20"/>
          <w:sz w:val="14"/>
        </w:rPr>
        <w:t>previous quarter</w:t>
        <w:tab/>
        <w:tab/>
        <w:t>to quarterly </w:t>
      </w:r>
      <w:r>
        <w:rPr>
          <w:color w:val="231F20"/>
          <w:sz w:val="14"/>
          <w:u w:val="single" w:color="231F20"/>
        </w:rPr>
        <w:t>1997</w:t>
        <w:tab/>
        <w:t>GDP growth</w:t>
      </w:r>
      <w:r>
        <w:rPr>
          <w:color w:val="231F20"/>
          <w:spacing w:val="12"/>
          <w:sz w:val="14"/>
          <w:u w:val="single" w:color="231F20"/>
        </w:rPr>
        <w:t> </w:t>
      </w:r>
    </w:p>
    <w:p>
      <w:pPr>
        <w:pStyle w:val="BodyText"/>
        <w:spacing w:before="6"/>
        <w:rPr>
          <w:sz w:val="2"/>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320"/>
        <w:gridCol w:w="470"/>
        <w:gridCol w:w="291"/>
        <w:gridCol w:w="492"/>
        <w:gridCol w:w="269"/>
        <w:gridCol w:w="192"/>
        <w:gridCol w:w="759"/>
      </w:tblGrid>
      <w:tr>
        <w:trPr>
          <w:trHeight w:val="168" w:hRule="atLeast"/>
        </w:trPr>
        <w:tc>
          <w:tcPr>
            <w:tcW w:w="1559" w:type="dxa"/>
          </w:tcPr>
          <w:p>
            <w:pPr>
              <w:pStyle w:val="TableParagraph"/>
              <w:rPr>
                <w:sz w:val="10"/>
              </w:rPr>
            </w:pPr>
          </w:p>
        </w:tc>
        <w:tc>
          <w:tcPr>
            <w:tcW w:w="320" w:type="dxa"/>
            <w:tcBorders>
              <w:bottom w:val="single" w:sz="2" w:space="0" w:color="231F20"/>
            </w:tcBorders>
          </w:tcPr>
          <w:p>
            <w:pPr>
              <w:pStyle w:val="TableParagraph"/>
              <w:spacing w:line="148" w:lineRule="exact"/>
              <w:ind w:left="17"/>
              <w:rPr>
                <w:sz w:val="14"/>
              </w:rPr>
            </w:pPr>
            <w:r>
              <w:rPr>
                <w:color w:val="231F20"/>
                <w:sz w:val="14"/>
              </w:rPr>
              <w:t>Q1</w:t>
            </w:r>
          </w:p>
        </w:tc>
        <w:tc>
          <w:tcPr>
            <w:tcW w:w="470" w:type="dxa"/>
          </w:tcPr>
          <w:p>
            <w:pPr>
              <w:pStyle w:val="TableParagraph"/>
              <w:rPr>
                <w:sz w:val="10"/>
              </w:rPr>
            </w:pPr>
          </w:p>
        </w:tc>
        <w:tc>
          <w:tcPr>
            <w:tcW w:w="291" w:type="dxa"/>
            <w:tcBorders>
              <w:bottom w:val="single" w:sz="2" w:space="0" w:color="231F20"/>
            </w:tcBorders>
          </w:tcPr>
          <w:p>
            <w:pPr>
              <w:pStyle w:val="TableParagraph"/>
              <w:spacing w:line="148" w:lineRule="exact"/>
              <w:ind w:left="-1"/>
              <w:rPr>
                <w:sz w:val="14"/>
              </w:rPr>
            </w:pPr>
            <w:r>
              <w:rPr>
                <w:color w:val="231F20"/>
                <w:sz w:val="14"/>
              </w:rPr>
              <w:t>Q2</w:t>
            </w:r>
          </w:p>
        </w:tc>
        <w:tc>
          <w:tcPr>
            <w:tcW w:w="492" w:type="dxa"/>
          </w:tcPr>
          <w:p>
            <w:pPr>
              <w:pStyle w:val="TableParagraph"/>
              <w:rPr>
                <w:sz w:val="10"/>
              </w:rPr>
            </w:pPr>
          </w:p>
        </w:tc>
        <w:tc>
          <w:tcPr>
            <w:tcW w:w="269" w:type="dxa"/>
            <w:tcBorders>
              <w:bottom w:val="single" w:sz="2" w:space="0" w:color="231F20"/>
            </w:tcBorders>
          </w:tcPr>
          <w:p>
            <w:pPr>
              <w:pStyle w:val="TableParagraph"/>
              <w:spacing w:line="148" w:lineRule="exact"/>
              <w:ind w:left="-2"/>
              <w:rPr>
                <w:sz w:val="14"/>
              </w:rPr>
            </w:pPr>
            <w:r>
              <w:rPr>
                <w:color w:val="231F20"/>
                <w:sz w:val="14"/>
              </w:rPr>
              <w:t>Q3</w:t>
            </w:r>
          </w:p>
        </w:tc>
        <w:tc>
          <w:tcPr>
            <w:tcW w:w="192" w:type="dxa"/>
          </w:tcPr>
          <w:p>
            <w:pPr>
              <w:pStyle w:val="TableParagraph"/>
              <w:rPr>
                <w:sz w:val="10"/>
              </w:rPr>
            </w:pPr>
          </w:p>
        </w:tc>
        <w:tc>
          <w:tcPr>
            <w:tcW w:w="759" w:type="dxa"/>
            <w:tcBorders>
              <w:bottom w:val="single" w:sz="2" w:space="0" w:color="231F20"/>
            </w:tcBorders>
          </w:tcPr>
          <w:p>
            <w:pPr>
              <w:pStyle w:val="TableParagraph"/>
              <w:spacing w:line="148" w:lineRule="exact"/>
              <w:ind w:left="-3"/>
              <w:rPr>
                <w:sz w:val="12"/>
              </w:rPr>
            </w:pPr>
            <w:r>
              <w:rPr>
                <w:color w:val="231F20"/>
                <w:sz w:val="14"/>
              </w:rPr>
              <w:t>1997 Q3 </w:t>
            </w:r>
            <w:r>
              <w:rPr>
                <w:color w:val="231F20"/>
                <w:sz w:val="12"/>
              </w:rPr>
              <w:t>(a)</w:t>
            </w:r>
          </w:p>
        </w:tc>
      </w:tr>
      <w:tr>
        <w:trPr>
          <w:trHeight w:val="214" w:hRule="atLeast"/>
        </w:trPr>
        <w:tc>
          <w:tcPr>
            <w:tcW w:w="1559" w:type="dxa"/>
          </w:tcPr>
          <w:p>
            <w:pPr>
              <w:pStyle w:val="TableParagraph"/>
              <w:spacing w:line="133" w:lineRule="exact" w:before="60"/>
              <w:ind w:left="50"/>
              <w:rPr>
                <w:sz w:val="14"/>
              </w:rPr>
            </w:pPr>
            <w:r>
              <w:rPr>
                <w:color w:val="231F20"/>
                <w:sz w:val="14"/>
              </w:rPr>
              <w:t>Private consumption</w:t>
            </w:r>
          </w:p>
        </w:tc>
        <w:tc>
          <w:tcPr>
            <w:tcW w:w="320" w:type="dxa"/>
            <w:tcBorders>
              <w:top w:val="single" w:sz="2" w:space="0" w:color="231F20"/>
            </w:tcBorders>
          </w:tcPr>
          <w:p>
            <w:pPr>
              <w:pStyle w:val="TableParagraph"/>
              <w:spacing w:line="133" w:lineRule="exact" w:before="60"/>
              <w:ind w:right="5"/>
              <w:jc w:val="right"/>
              <w:rPr>
                <w:sz w:val="14"/>
              </w:rPr>
            </w:pPr>
            <w:r>
              <w:rPr>
                <w:color w:val="231F20"/>
                <w:sz w:val="14"/>
              </w:rPr>
              <w:t>0.9</w:t>
            </w:r>
          </w:p>
        </w:tc>
        <w:tc>
          <w:tcPr>
            <w:tcW w:w="470" w:type="dxa"/>
          </w:tcPr>
          <w:p>
            <w:pPr>
              <w:pStyle w:val="TableParagraph"/>
              <w:rPr>
                <w:sz w:val="14"/>
              </w:rPr>
            </w:pPr>
          </w:p>
        </w:tc>
        <w:tc>
          <w:tcPr>
            <w:tcW w:w="291" w:type="dxa"/>
            <w:tcBorders>
              <w:top w:val="single" w:sz="2" w:space="0" w:color="231F20"/>
            </w:tcBorders>
          </w:tcPr>
          <w:p>
            <w:pPr>
              <w:pStyle w:val="TableParagraph"/>
              <w:spacing w:line="133" w:lineRule="exact" w:before="60"/>
              <w:ind w:left="53"/>
              <w:rPr>
                <w:sz w:val="14"/>
              </w:rPr>
            </w:pPr>
            <w:r>
              <w:rPr>
                <w:color w:val="231F20"/>
                <w:sz w:val="14"/>
              </w:rPr>
              <w:t>1.6</w:t>
            </w:r>
          </w:p>
        </w:tc>
        <w:tc>
          <w:tcPr>
            <w:tcW w:w="492" w:type="dxa"/>
          </w:tcPr>
          <w:p>
            <w:pPr>
              <w:pStyle w:val="TableParagraph"/>
              <w:rPr>
                <w:sz w:val="14"/>
              </w:rPr>
            </w:pPr>
          </w:p>
        </w:tc>
        <w:tc>
          <w:tcPr>
            <w:tcW w:w="269" w:type="dxa"/>
            <w:tcBorders>
              <w:top w:val="single" w:sz="2" w:space="0" w:color="231F20"/>
            </w:tcBorders>
          </w:tcPr>
          <w:p>
            <w:pPr>
              <w:pStyle w:val="TableParagraph"/>
              <w:spacing w:line="133" w:lineRule="exact" w:before="60"/>
              <w:ind w:left="52"/>
              <w:rPr>
                <w:sz w:val="14"/>
              </w:rPr>
            </w:pPr>
            <w:r>
              <w:rPr>
                <w:color w:val="231F20"/>
                <w:sz w:val="14"/>
              </w:rPr>
              <w:t>0.7</w:t>
            </w:r>
          </w:p>
        </w:tc>
        <w:tc>
          <w:tcPr>
            <w:tcW w:w="192" w:type="dxa"/>
          </w:tcPr>
          <w:p>
            <w:pPr>
              <w:pStyle w:val="TableParagraph"/>
              <w:rPr>
                <w:sz w:val="14"/>
              </w:rPr>
            </w:pPr>
          </w:p>
        </w:tc>
        <w:tc>
          <w:tcPr>
            <w:tcW w:w="759" w:type="dxa"/>
            <w:tcBorders>
              <w:top w:val="single" w:sz="2" w:space="0" w:color="231F20"/>
            </w:tcBorders>
          </w:tcPr>
          <w:p>
            <w:pPr>
              <w:pStyle w:val="TableParagraph"/>
              <w:spacing w:line="133" w:lineRule="exact" w:before="60"/>
              <w:ind w:left="259" w:right="191"/>
              <w:jc w:val="center"/>
              <w:rPr>
                <w:sz w:val="14"/>
              </w:rPr>
            </w:pPr>
            <w:r>
              <w:rPr>
                <w:color w:val="231F20"/>
                <w:sz w:val="14"/>
              </w:rPr>
              <w:t>0.5</w:t>
            </w:r>
          </w:p>
        </w:tc>
      </w:tr>
      <w:tr>
        <w:trPr>
          <w:trHeight w:val="140" w:hRule="atLeast"/>
        </w:trPr>
        <w:tc>
          <w:tcPr>
            <w:tcW w:w="1559" w:type="dxa"/>
          </w:tcPr>
          <w:p>
            <w:pPr>
              <w:pStyle w:val="TableParagraph"/>
              <w:spacing w:line="120" w:lineRule="exact"/>
              <w:ind w:left="50"/>
              <w:rPr>
                <w:sz w:val="14"/>
              </w:rPr>
            </w:pPr>
            <w:r>
              <w:rPr>
                <w:color w:val="231F20"/>
                <w:sz w:val="14"/>
              </w:rPr>
              <w:t>Public consumption</w:t>
            </w:r>
          </w:p>
        </w:tc>
        <w:tc>
          <w:tcPr>
            <w:tcW w:w="320" w:type="dxa"/>
          </w:tcPr>
          <w:p>
            <w:pPr>
              <w:pStyle w:val="TableParagraph"/>
              <w:spacing w:line="120" w:lineRule="exact"/>
              <w:ind w:right="5"/>
              <w:jc w:val="right"/>
              <w:rPr>
                <w:sz w:val="14"/>
              </w:rPr>
            </w:pPr>
            <w:r>
              <w:rPr>
                <w:color w:val="231F20"/>
                <w:sz w:val="14"/>
              </w:rPr>
              <w:t>-0.1</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0.9</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1.4</w:t>
            </w:r>
          </w:p>
        </w:tc>
        <w:tc>
          <w:tcPr>
            <w:tcW w:w="192" w:type="dxa"/>
          </w:tcPr>
          <w:p>
            <w:pPr>
              <w:pStyle w:val="TableParagraph"/>
              <w:rPr>
                <w:sz w:val="8"/>
              </w:rPr>
            </w:pPr>
          </w:p>
        </w:tc>
        <w:tc>
          <w:tcPr>
            <w:tcW w:w="759" w:type="dxa"/>
          </w:tcPr>
          <w:p>
            <w:pPr>
              <w:pStyle w:val="TableParagraph"/>
              <w:spacing w:line="120" w:lineRule="exact"/>
              <w:ind w:left="259" w:right="191"/>
              <w:jc w:val="center"/>
              <w:rPr>
                <w:sz w:val="14"/>
              </w:rPr>
            </w:pPr>
            <w:r>
              <w:rPr>
                <w:color w:val="231F20"/>
                <w:sz w:val="14"/>
              </w:rPr>
              <w:t>0.3</w:t>
            </w:r>
          </w:p>
        </w:tc>
      </w:tr>
      <w:tr>
        <w:trPr>
          <w:trHeight w:val="140" w:hRule="atLeast"/>
        </w:trPr>
        <w:tc>
          <w:tcPr>
            <w:tcW w:w="1559" w:type="dxa"/>
          </w:tcPr>
          <w:p>
            <w:pPr>
              <w:pStyle w:val="TableParagraph"/>
              <w:spacing w:line="120" w:lineRule="exact"/>
              <w:ind w:left="50"/>
              <w:rPr>
                <w:sz w:val="14"/>
              </w:rPr>
            </w:pPr>
            <w:r>
              <w:rPr>
                <w:color w:val="231F20"/>
                <w:sz w:val="14"/>
              </w:rPr>
              <w:t>Investment</w:t>
            </w:r>
          </w:p>
        </w:tc>
        <w:tc>
          <w:tcPr>
            <w:tcW w:w="320" w:type="dxa"/>
          </w:tcPr>
          <w:p>
            <w:pPr>
              <w:pStyle w:val="TableParagraph"/>
              <w:spacing w:line="120" w:lineRule="exact"/>
              <w:ind w:right="5"/>
              <w:jc w:val="right"/>
              <w:rPr>
                <w:sz w:val="14"/>
              </w:rPr>
            </w:pPr>
            <w:r>
              <w:rPr>
                <w:color w:val="231F20"/>
                <w:sz w:val="14"/>
              </w:rPr>
              <w:t>-0.2</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2.7</w:t>
            </w:r>
          </w:p>
        </w:tc>
        <w:tc>
          <w:tcPr>
            <w:tcW w:w="492" w:type="dxa"/>
          </w:tcPr>
          <w:p>
            <w:pPr>
              <w:pStyle w:val="TableParagraph"/>
              <w:rPr>
                <w:sz w:val="8"/>
              </w:rPr>
            </w:pPr>
          </w:p>
        </w:tc>
        <w:tc>
          <w:tcPr>
            <w:tcW w:w="269" w:type="dxa"/>
          </w:tcPr>
          <w:p>
            <w:pPr>
              <w:pStyle w:val="TableParagraph"/>
              <w:spacing w:line="120" w:lineRule="exact"/>
              <w:ind w:left="6"/>
              <w:rPr>
                <w:sz w:val="14"/>
              </w:rPr>
            </w:pPr>
            <w:r>
              <w:rPr>
                <w:color w:val="231F20"/>
                <w:sz w:val="14"/>
              </w:rPr>
              <w:t>-0.5</w:t>
            </w:r>
          </w:p>
        </w:tc>
        <w:tc>
          <w:tcPr>
            <w:tcW w:w="192" w:type="dxa"/>
          </w:tcPr>
          <w:p>
            <w:pPr>
              <w:pStyle w:val="TableParagraph"/>
              <w:rPr>
                <w:sz w:val="8"/>
              </w:rPr>
            </w:pPr>
          </w:p>
        </w:tc>
        <w:tc>
          <w:tcPr>
            <w:tcW w:w="759" w:type="dxa"/>
          </w:tcPr>
          <w:p>
            <w:pPr>
              <w:pStyle w:val="TableParagraph"/>
              <w:spacing w:line="120" w:lineRule="exact"/>
              <w:ind w:left="259" w:right="238"/>
              <w:jc w:val="center"/>
              <w:rPr>
                <w:sz w:val="14"/>
              </w:rPr>
            </w:pPr>
            <w:r>
              <w:rPr>
                <w:color w:val="231F20"/>
                <w:sz w:val="14"/>
              </w:rPr>
              <w:t>-0.1</w:t>
            </w:r>
          </w:p>
        </w:tc>
      </w:tr>
      <w:tr>
        <w:trPr>
          <w:trHeight w:val="140" w:hRule="atLeast"/>
        </w:trPr>
        <w:tc>
          <w:tcPr>
            <w:tcW w:w="1559" w:type="dxa"/>
          </w:tcPr>
          <w:p>
            <w:pPr>
              <w:pStyle w:val="TableParagraph"/>
              <w:spacing w:line="120" w:lineRule="exact"/>
              <w:ind w:left="50"/>
              <w:rPr>
                <w:sz w:val="14"/>
              </w:rPr>
            </w:pPr>
            <w:r>
              <w:rPr>
                <w:color w:val="231F20"/>
                <w:sz w:val="14"/>
              </w:rPr>
              <w:t>Final domestic demand</w:t>
            </w:r>
          </w:p>
        </w:tc>
        <w:tc>
          <w:tcPr>
            <w:tcW w:w="320" w:type="dxa"/>
          </w:tcPr>
          <w:p>
            <w:pPr>
              <w:pStyle w:val="TableParagraph"/>
              <w:spacing w:line="120" w:lineRule="exact"/>
              <w:ind w:right="5"/>
              <w:jc w:val="right"/>
              <w:rPr>
                <w:sz w:val="14"/>
              </w:rPr>
            </w:pPr>
            <w:r>
              <w:rPr>
                <w:color w:val="231F20"/>
                <w:sz w:val="14"/>
              </w:rPr>
              <w:t>0.5</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1.6</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0.6</w:t>
            </w:r>
          </w:p>
        </w:tc>
        <w:tc>
          <w:tcPr>
            <w:tcW w:w="192" w:type="dxa"/>
          </w:tcPr>
          <w:p>
            <w:pPr>
              <w:pStyle w:val="TableParagraph"/>
              <w:rPr>
                <w:sz w:val="8"/>
              </w:rPr>
            </w:pPr>
          </w:p>
        </w:tc>
        <w:tc>
          <w:tcPr>
            <w:tcW w:w="759" w:type="dxa"/>
          </w:tcPr>
          <w:p>
            <w:pPr>
              <w:pStyle w:val="TableParagraph"/>
              <w:spacing w:line="120" w:lineRule="exact"/>
              <w:ind w:left="259" w:right="192"/>
              <w:jc w:val="center"/>
              <w:rPr>
                <w:sz w:val="14"/>
              </w:rPr>
            </w:pPr>
            <w:r>
              <w:rPr>
                <w:color w:val="231F20"/>
                <w:sz w:val="14"/>
              </w:rPr>
              <w:t>0.7</w:t>
            </w:r>
          </w:p>
        </w:tc>
      </w:tr>
      <w:tr>
        <w:trPr>
          <w:trHeight w:val="140" w:hRule="atLeast"/>
        </w:trPr>
        <w:tc>
          <w:tcPr>
            <w:tcW w:w="1559" w:type="dxa"/>
          </w:tcPr>
          <w:p>
            <w:pPr>
              <w:pStyle w:val="TableParagraph"/>
              <w:spacing w:line="120" w:lineRule="exact"/>
              <w:ind w:left="50"/>
              <w:rPr>
                <w:sz w:val="12"/>
              </w:rPr>
            </w:pPr>
            <w:r>
              <w:rPr>
                <w:color w:val="231F20"/>
                <w:sz w:val="14"/>
              </w:rPr>
              <w:t>Stockbuilding </w:t>
            </w:r>
            <w:r>
              <w:rPr>
                <w:color w:val="231F20"/>
                <w:sz w:val="12"/>
              </w:rPr>
              <w:t>(b)(c)</w:t>
            </w:r>
          </w:p>
        </w:tc>
        <w:tc>
          <w:tcPr>
            <w:tcW w:w="320" w:type="dxa"/>
          </w:tcPr>
          <w:p>
            <w:pPr>
              <w:pStyle w:val="TableParagraph"/>
              <w:spacing w:line="120" w:lineRule="exact"/>
              <w:ind w:right="5"/>
              <w:jc w:val="right"/>
              <w:rPr>
                <w:sz w:val="14"/>
              </w:rPr>
            </w:pPr>
            <w:r>
              <w:rPr>
                <w:color w:val="231F20"/>
                <w:sz w:val="14"/>
              </w:rPr>
              <w:t>0.3</w:t>
            </w:r>
          </w:p>
        </w:tc>
        <w:tc>
          <w:tcPr>
            <w:tcW w:w="470" w:type="dxa"/>
          </w:tcPr>
          <w:p>
            <w:pPr>
              <w:pStyle w:val="TableParagraph"/>
              <w:rPr>
                <w:sz w:val="8"/>
              </w:rPr>
            </w:pPr>
          </w:p>
        </w:tc>
        <w:tc>
          <w:tcPr>
            <w:tcW w:w="291" w:type="dxa"/>
          </w:tcPr>
          <w:p>
            <w:pPr>
              <w:pStyle w:val="TableParagraph"/>
              <w:spacing w:line="120" w:lineRule="exact"/>
              <w:ind w:left="6"/>
              <w:rPr>
                <w:sz w:val="14"/>
              </w:rPr>
            </w:pPr>
            <w:r>
              <w:rPr>
                <w:color w:val="231F20"/>
                <w:sz w:val="14"/>
              </w:rPr>
              <w:t>-0.2</w:t>
            </w:r>
          </w:p>
        </w:tc>
        <w:tc>
          <w:tcPr>
            <w:tcW w:w="492" w:type="dxa"/>
          </w:tcPr>
          <w:p>
            <w:pPr>
              <w:pStyle w:val="TableParagraph"/>
              <w:rPr>
                <w:sz w:val="8"/>
              </w:rPr>
            </w:pPr>
          </w:p>
        </w:tc>
        <w:tc>
          <w:tcPr>
            <w:tcW w:w="269" w:type="dxa"/>
          </w:tcPr>
          <w:p>
            <w:pPr>
              <w:pStyle w:val="TableParagraph"/>
              <w:spacing w:line="120" w:lineRule="exact"/>
              <w:ind w:left="5"/>
              <w:rPr>
                <w:sz w:val="14"/>
              </w:rPr>
            </w:pPr>
            <w:r>
              <w:rPr>
                <w:color w:val="231F20"/>
                <w:sz w:val="14"/>
              </w:rPr>
              <w:t>-0.5</w:t>
            </w:r>
          </w:p>
        </w:tc>
        <w:tc>
          <w:tcPr>
            <w:tcW w:w="192" w:type="dxa"/>
          </w:tcPr>
          <w:p>
            <w:pPr>
              <w:pStyle w:val="TableParagraph"/>
              <w:rPr>
                <w:sz w:val="8"/>
              </w:rPr>
            </w:pPr>
          </w:p>
        </w:tc>
        <w:tc>
          <w:tcPr>
            <w:tcW w:w="759" w:type="dxa"/>
          </w:tcPr>
          <w:p>
            <w:pPr>
              <w:pStyle w:val="TableParagraph"/>
              <w:spacing w:line="120" w:lineRule="exact"/>
              <w:ind w:left="259" w:right="238"/>
              <w:jc w:val="center"/>
              <w:rPr>
                <w:sz w:val="14"/>
              </w:rPr>
            </w:pPr>
            <w:r>
              <w:rPr>
                <w:color w:val="231F20"/>
                <w:sz w:val="14"/>
              </w:rPr>
              <w:t>-0.5</w:t>
            </w:r>
          </w:p>
        </w:tc>
      </w:tr>
      <w:tr>
        <w:trPr>
          <w:trHeight w:val="140" w:hRule="atLeast"/>
        </w:trPr>
        <w:tc>
          <w:tcPr>
            <w:tcW w:w="1559" w:type="dxa"/>
          </w:tcPr>
          <w:p>
            <w:pPr>
              <w:pStyle w:val="TableParagraph"/>
              <w:spacing w:line="120" w:lineRule="exact"/>
              <w:ind w:left="50"/>
              <w:rPr>
                <w:sz w:val="14"/>
              </w:rPr>
            </w:pPr>
            <w:r>
              <w:rPr>
                <w:color w:val="231F20"/>
                <w:sz w:val="14"/>
              </w:rPr>
              <w:t>Domestic demand</w:t>
            </w:r>
          </w:p>
        </w:tc>
        <w:tc>
          <w:tcPr>
            <w:tcW w:w="320" w:type="dxa"/>
          </w:tcPr>
          <w:p>
            <w:pPr>
              <w:pStyle w:val="TableParagraph"/>
              <w:spacing w:line="120" w:lineRule="exact"/>
              <w:ind w:right="5"/>
              <w:jc w:val="right"/>
              <w:rPr>
                <w:sz w:val="14"/>
              </w:rPr>
            </w:pPr>
            <w:r>
              <w:rPr>
                <w:color w:val="231F20"/>
                <w:sz w:val="14"/>
              </w:rPr>
              <w:t>0.8</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1.3</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0.9</w:t>
            </w:r>
          </w:p>
        </w:tc>
        <w:tc>
          <w:tcPr>
            <w:tcW w:w="192" w:type="dxa"/>
          </w:tcPr>
          <w:p>
            <w:pPr>
              <w:pStyle w:val="TableParagraph"/>
              <w:rPr>
                <w:sz w:val="8"/>
              </w:rPr>
            </w:pPr>
          </w:p>
        </w:tc>
        <w:tc>
          <w:tcPr>
            <w:tcW w:w="759" w:type="dxa"/>
          </w:tcPr>
          <w:p>
            <w:pPr>
              <w:pStyle w:val="TableParagraph"/>
              <w:spacing w:line="120" w:lineRule="exact"/>
              <w:ind w:left="259" w:right="191"/>
              <w:jc w:val="center"/>
              <w:rPr>
                <w:sz w:val="14"/>
              </w:rPr>
            </w:pPr>
            <w:r>
              <w:rPr>
                <w:color w:val="231F20"/>
                <w:sz w:val="14"/>
              </w:rPr>
              <w:t>1.0</w:t>
            </w:r>
          </w:p>
        </w:tc>
      </w:tr>
      <w:tr>
        <w:trPr>
          <w:trHeight w:val="140" w:hRule="atLeast"/>
        </w:trPr>
        <w:tc>
          <w:tcPr>
            <w:tcW w:w="1559" w:type="dxa"/>
          </w:tcPr>
          <w:p>
            <w:pPr>
              <w:pStyle w:val="TableParagraph"/>
              <w:spacing w:line="120" w:lineRule="exact"/>
              <w:ind w:left="50"/>
              <w:rPr>
                <w:sz w:val="14"/>
              </w:rPr>
            </w:pPr>
            <w:r>
              <w:rPr>
                <w:color w:val="231F20"/>
                <w:sz w:val="14"/>
              </w:rPr>
              <w:t>Exports</w:t>
            </w:r>
          </w:p>
        </w:tc>
        <w:tc>
          <w:tcPr>
            <w:tcW w:w="320" w:type="dxa"/>
          </w:tcPr>
          <w:p>
            <w:pPr>
              <w:pStyle w:val="TableParagraph"/>
              <w:spacing w:line="120" w:lineRule="exact"/>
              <w:ind w:right="5"/>
              <w:jc w:val="right"/>
              <w:rPr>
                <w:sz w:val="14"/>
              </w:rPr>
            </w:pPr>
            <w:r>
              <w:rPr>
                <w:color w:val="231F20"/>
                <w:sz w:val="14"/>
              </w:rPr>
              <w:t>2.1</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3.3</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0.8</w:t>
            </w:r>
          </w:p>
        </w:tc>
        <w:tc>
          <w:tcPr>
            <w:tcW w:w="192" w:type="dxa"/>
          </w:tcPr>
          <w:p>
            <w:pPr>
              <w:pStyle w:val="TableParagraph"/>
              <w:rPr>
                <w:sz w:val="8"/>
              </w:rPr>
            </w:pPr>
          </w:p>
        </w:tc>
        <w:tc>
          <w:tcPr>
            <w:tcW w:w="759" w:type="dxa"/>
          </w:tcPr>
          <w:p>
            <w:pPr>
              <w:pStyle w:val="TableParagraph"/>
              <w:spacing w:line="120" w:lineRule="exact"/>
              <w:ind w:left="259" w:right="191"/>
              <w:jc w:val="center"/>
              <w:rPr>
                <w:sz w:val="14"/>
              </w:rPr>
            </w:pPr>
            <w:r>
              <w:rPr>
                <w:color w:val="231F20"/>
                <w:sz w:val="14"/>
              </w:rPr>
              <w:t>0.3</w:t>
            </w:r>
          </w:p>
        </w:tc>
      </w:tr>
      <w:tr>
        <w:trPr>
          <w:trHeight w:val="140" w:hRule="atLeast"/>
        </w:trPr>
        <w:tc>
          <w:tcPr>
            <w:tcW w:w="1559" w:type="dxa"/>
          </w:tcPr>
          <w:p>
            <w:pPr>
              <w:pStyle w:val="TableParagraph"/>
              <w:spacing w:line="120" w:lineRule="exact"/>
              <w:ind w:left="50"/>
              <w:rPr>
                <w:sz w:val="14"/>
              </w:rPr>
            </w:pPr>
            <w:r>
              <w:rPr>
                <w:color w:val="231F20"/>
                <w:sz w:val="14"/>
              </w:rPr>
              <w:t>Imports</w:t>
            </w:r>
          </w:p>
        </w:tc>
        <w:tc>
          <w:tcPr>
            <w:tcW w:w="320" w:type="dxa"/>
          </w:tcPr>
          <w:p>
            <w:pPr>
              <w:pStyle w:val="TableParagraph"/>
              <w:spacing w:line="120" w:lineRule="exact"/>
              <w:ind w:right="5"/>
              <w:jc w:val="right"/>
              <w:rPr>
                <w:sz w:val="14"/>
              </w:rPr>
            </w:pPr>
            <w:r>
              <w:rPr>
                <w:color w:val="231F20"/>
                <w:sz w:val="14"/>
              </w:rPr>
              <w:t>1.2</w:t>
            </w:r>
          </w:p>
        </w:tc>
        <w:tc>
          <w:tcPr>
            <w:tcW w:w="470" w:type="dxa"/>
          </w:tcPr>
          <w:p>
            <w:pPr>
              <w:pStyle w:val="TableParagraph"/>
              <w:rPr>
                <w:sz w:val="8"/>
              </w:rPr>
            </w:pPr>
          </w:p>
        </w:tc>
        <w:tc>
          <w:tcPr>
            <w:tcW w:w="291" w:type="dxa"/>
          </w:tcPr>
          <w:p>
            <w:pPr>
              <w:pStyle w:val="TableParagraph"/>
              <w:spacing w:line="120" w:lineRule="exact"/>
              <w:ind w:left="53"/>
              <w:rPr>
                <w:sz w:val="14"/>
              </w:rPr>
            </w:pPr>
            <w:r>
              <w:rPr>
                <w:color w:val="231F20"/>
                <w:sz w:val="14"/>
              </w:rPr>
              <w:t>4.8</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0.6</w:t>
            </w:r>
          </w:p>
        </w:tc>
        <w:tc>
          <w:tcPr>
            <w:tcW w:w="192" w:type="dxa"/>
          </w:tcPr>
          <w:p>
            <w:pPr>
              <w:pStyle w:val="TableParagraph"/>
              <w:rPr>
                <w:sz w:val="8"/>
              </w:rPr>
            </w:pPr>
          </w:p>
        </w:tc>
        <w:tc>
          <w:tcPr>
            <w:tcW w:w="759" w:type="dxa"/>
          </w:tcPr>
          <w:p>
            <w:pPr>
              <w:pStyle w:val="TableParagraph"/>
              <w:spacing w:line="120" w:lineRule="exact"/>
              <w:ind w:left="259" w:right="191"/>
              <w:jc w:val="center"/>
              <w:rPr>
                <w:sz w:val="14"/>
              </w:rPr>
            </w:pPr>
            <w:r>
              <w:rPr>
                <w:color w:val="231F20"/>
                <w:sz w:val="14"/>
              </w:rPr>
              <w:t>0.2</w:t>
            </w:r>
          </w:p>
        </w:tc>
      </w:tr>
      <w:tr>
        <w:trPr>
          <w:trHeight w:val="140" w:hRule="atLeast"/>
        </w:trPr>
        <w:tc>
          <w:tcPr>
            <w:tcW w:w="1559" w:type="dxa"/>
          </w:tcPr>
          <w:p>
            <w:pPr>
              <w:pStyle w:val="TableParagraph"/>
              <w:spacing w:line="120" w:lineRule="exact"/>
              <w:ind w:left="50"/>
              <w:rPr>
                <w:sz w:val="12"/>
              </w:rPr>
            </w:pPr>
            <w:r>
              <w:rPr>
                <w:color w:val="231F20"/>
                <w:sz w:val="14"/>
              </w:rPr>
              <w:t>Net exports </w:t>
            </w:r>
            <w:r>
              <w:rPr>
                <w:color w:val="231F20"/>
                <w:sz w:val="12"/>
              </w:rPr>
              <w:t>(b)</w:t>
            </w:r>
          </w:p>
        </w:tc>
        <w:tc>
          <w:tcPr>
            <w:tcW w:w="320" w:type="dxa"/>
          </w:tcPr>
          <w:p>
            <w:pPr>
              <w:pStyle w:val="TableParagraph"/>
              <w:spacing w:line="120" w:lineRule="exact"/>
              <w:ind w:right="5"/>
              <w:jc w:val="right"/>
              <w:rPr>
                <w:sz w:val="14"/>
              </w:rPr>
            </w:pPr>
            <w:r>
              <w:rPr>
                <w:color w:val="231F20"/>
                <w:sz w:val="14"/>
              </w:rPr>
              <w:t>0.3</w:t>
            </w:r>
          </w:p>
        </w:tc>
        <w:tc>
          <w:tcPr>
            <w:tcW w:w="470" w:type="dxa"/>
          </w:tcPr>
          <w:p>
            <w:pPr>
              <w:pStyle w:val="TableParagraph"/>
              <w:rPr>
                <w:sz w:val="8"/>
              </w:rPr>
            </w:pPr>
          </w:p>
        </w:tc>
        <w:tc>
          <w:tcPr>
            <w:tcW w:w="291" w:type="dxa"/>
          </w:tcPr>
          <w:p>
            <w:pPr>
              <w:pStyle w:val="TableParagraph"/>
              <w:spacing w:line="120" w:lineRule="exact"/>
              <w:ind w:left="6"/>
              <w:rPr>
                <w:sz w:val="14"/>
              </w:rPr>
            </w:pPr>
            <w:r>
              <w:rPr>
                <w:color w:val="231F20"/>
                <w:sz w:val="14"/>
              </w:rPr>
              <w:t>-0.6</w:t>
            </w:r>
          </w:p>
        </w:tc>
        <w:tc>
          <w:tcPr>
            <w:tcW w:w="492" w:type="dxa"/>
          </w:tcPr>
          <w:p>
            <w:pPr>
              <w:pStyle w:val="TableParagraph"/>
              <w:rPr>
                <w:sz w:val="8"/>
              </w:rPr>
            </w:pPr>
          </w:p>
        </w:tc>
        <w:tc>
          <w:tcPr>
            <w:tcW w:w="269" w:type="dxa"/>
          </w:tcPr>
          <w:p>
            <w:pPr>
              <w:pStyle w:val="TableParagraph"/>
              <w:spacing w:line="120" w:lineRule="exact"/>
              <w:ind w:left="52"/>
              <w:rPr>
                <w:sz w:val="14"/>
              </w:rPr>
            </w:pPr>
            <w:r>
              <w:rPr>
                <w:color w:val="231F20"/>
                <w:sz w:val="14"/>
              </w:rPr>
              <w:t>0.1</w:t>
            </w:r>
          </w:p>
        </w:tc>
        <w:tc>
          <w:tcPr>
            <w:tcW w:w="192" w:type="dxa"/>
          </w:tcPr>
          <w:p>
            <w:pPr>
              <w:pStyle w:val="TableParagraph"/>
              <w:rPr>
                <w:sz w:val="8"/>
              </w:rPr>
            </w:pPr>
          </w:p>
        </w:tc>
        <w:tc>
          <w:tcPr>
            <w:tcW w:w="759" w:type="dxa"/>
          </w:tcPr>
          <w:p>
            <w:pPr>
              <w:pStyle w:val="TableParagraph"/>
              <w:spacing w:line="120" w:lineRule="exact"/>
              <w:ind w:left="259" w:right="191"/>
              <w:jc w:val="center"/>
              <w:rPr>
                <w:sz w:val="14"/>
              </w:rPr>
            </w:pPr>
            <w:r>
              <w:rPr>
                <w:color w:val="231F20"/>
                <w:sz w:val="14"/>
              </w:rPr>
              <w:t>0.1</w:t>
            </w:r>
          </w:p>
        </w:tc>
      </w:tr>
      <w:tr>
        <w:trPr>
          <w:trHeight w:val="210" w:hRule="atLeast"/>
        </w:trPr>
        <w:tc>
          <w:tcPr>
            <w:tcW w:w="1559" w:type="dxa"/>
          </w:tcPr>
          <w:p>
            <w:pPr>
              <w:pStyle w:val="TableParagraph"/>
              <w:spacing w:line="148" w:lineRule="exact"/>
              <w:ind w:left="50"/>
              <w:rPr>
                <w:b/>
                <w:sz w:val="14"/>
              </w:rPr>
            </w:pPr>
            <w:r>
              <w:rPr>
                <w:b/>
                <w:color w:val="231F20"/>
                <w:sz w:val="14"/>
              </w:rPr>
              <w:t>GDP</w:t>
            </w:r>
          </w:p>
        </w:tc>
        <w:tc>
          <w:tcPr>
            <w:tcW w:w="320" w:type="dxa"/>
          </w:tcPr>
          <w:p>
            <w:pPr>
              <w:pStyle w:val="TableParagraph"/>
              <w:spacing w:line="148" w:lineRule="exact"/>
              <w:ind w:right="5"/>
              <w:jc w:val="right"/>
              <w:rPr>
                <w:b/>
                <w:sz w:val="14"/>
              </w:rPr>
            </w:pPr>
            <w:r>
              <w:rPr>
                <w:b/>
                <w:color w:val="231F20"/>
                <w:sz w:val="14"/>
              </w:rPr>
              <w:t>0.7</w:t>
            </w:r>
          </w:p>
        </w:tc>
        <w:tc>
          <w:tcPr>
            <w:tcW w:w="470" w:type="dxa"/>
          </w:tcPr>
          <w:p>
            <w:pPr>
              <w:pStyle w:val="TableParagraph"/>
              <w:rPr>
                <w:sz w:val="14"/>
              </w:rPr>
            </w:pPr>
          </w:p>
        </w:tc>
        <w:tc>
          <w:tcPr>
            <w:tcW w:w="291" w:type="dxa"/>
          </w:tcPr>
          <w:p>
            <w:pPr>
              <w:pStyle w:val="TableParagraph"/>
              <w:spacing w:line="148" w:lineRule="exact"/>
              <w:ind w:left="53"/>
              <w:rPr>
                <w:b/>
                <w:sz w:val="14"/>
              </w:rPr>
            </w:pPr>
            <w:r>
              <w:rPr>
                <w:b/>
                <w:color w:val="231F20"/>
                <w:sz w:val="14"/>
              </w:rPr>
              <w:t>1.1</w:t>
            </w:r>
          </w:p>
        </w:tc>
        <w:tc>
          <w:tcPr>
            <w:tcW w:w="492" w:type="dxa"/>
          </w:tcPr>
          <w:p>
            <w:pPr>
              <w:pStyle w:val="TableParagraph"/>
              <w:rPr>
                <w:sz w:val="14"/>
              </w:rPr>
            </w:pPr>
          </w:p>
        </w:tc>
        <w:tc>
          <w:tcPr>
            <w:tcW w:w="269" w:type="dxa"/>
          </w:tcPr>
          <w:p>
            <w:pPr>
              <w:pStyle w:val="TableParagraph"/>
              <w:spacing w:line="148" w:lineRule="exact"/>
              <w:ind w:left="52"/>
              <w:rPr>
                <w:b/>
                <w:sz w:val="14"/>
              </w:rPr>
            </w:pPr>
            <w:r>
              <w:rPr>
                <w:b/>
                <w:color w:val="231F20"/>
                <w:sz w:val="14"/>
              </w:rPr>
              <w:t>0.8</w:t>
            </w:r>
          </w:p>
        </w:tc>
        <w:tc>
          <w:tcPr>
            <w:tcW w:w="192" w:type="dxa"/>
          </w:tcPr>
          <w:p>
            <w:pPr>
              <w:pStyle w:val="TableParagraph"/>
              <w:rPr>
                <w:sz w:val="14"/>
              </w:rPr>
            </w:pPr>
          </w:p>
        </w:tc>
        <w:tc>
          <w:tcPr>
            <w:tcW w:w="759" w:type="dxa"/>
          </w:tcPr>
          <w:p>
            <w:pPr>
              <w:pStyle w:val="TableParagraph"/>
              <w:spacing w:line="148" w:lineRule="exact"/>
              <w:ind w:left="259" w:right="191"/>
              <w:jc w:val="center"/>
              <w:rPr>
                <w:b/>
                <w:sz w:val="14"/>
              </w:rPr>
            </w:pPr>
            <w:r>
              <w:rPr>
                <w:b/>
                <w:color w:val="231F20"/>
                <w:sz w:val="14"/>
              </w:rPr>
              <w:t>0.8</w:t>
            </w:r>
          </w:p>
        </w:tc>
      </w:tr>
      <w:tr>
        <w:trPr>
          <w:trHeight w:val="350" w:hRule="atLeast"/>
        </w:trPr>
        <w:tc>
          <w:tcPr>
            <w:tcW w:w="1559" w:type="dxa"/>
          </w:tcPr>
          <w:p>
            <w:pPr>
              <w:pStyle w:val="TableParagraph"/>
              <w:spacing w:line="150" w:lineRule="exact" w:before="56"/>
              <w:ind w:left="50"/>
              <w:rPr>
                <w:i/>
                <w:sz w:val="14"/>
              </w:rPr>
            </w:pPr>
            <w:r>
              <w:rPr>
                <w:i/>
                <w:color w:val="231F20"/>
                <w:sz w:val="14"/>
              </w:rPr>
              <w:t>Memo items:</w:t>
            </w:r>
          </w:p>
          <w:p>
            <w:pPr>
              <w:pStyle w:val="TableParagraph"/>
              <w:spacing w:line="123" w:lineRule="exact"/>
              <w:ind w:left="50"/>
              <w:rPr>
                <w:sz w:val="12"/>
              </w:rPr>
            </w:pPr>
            <w:r>
              <w:rPr>
                <w:color w:val="231F20"/>
                <w:sz w:val="14"/>
              </w:rPr>
              <w:t>Statistical discrepancy </w:t>
            </w:r>
            <w:r>
              <w:rPr>
                <w:color w:val="231F20"/>
                <w:sz w:val="12"/>
              </w:rPr>
              <w:t>(b)</w:t>
            </w:r>
          </w:p>
        </w:tc>
        <w:tc>
          <w:tcPr>
            <w:tcW w:w="320" w:type="dxa"/>
          </w:tcPr>
          <w:p>
            <w:pPr>
              <w:pStyle w:val="TableParagraph"/>
              <w:spacing w:before="1"/>
              <w:rPr>
                <w:sz w:val="17"/>
              </w:rPr>
            </w:pPr>
          </w:p>
          <w:p>
            <w:pPr>
              <w:pStyle w:val="TableParagraph"/>
              <w:spacing w:line="133" w:lineRule="exact"/>
              <w:ind w:right="5"/>
              <w:jc w:val="right"/>
              <w:rPr>
                <w:sz w:val="14"/>
              </w:rPr>
            </w:pPr>
            <w:r>
              <w:rPr>
                <w:color w:val="231F20"/>
                <w:sz w:val="14"/>
              </w:rPr>
              <w:t>0.0</w:t>
            </w:r>
          </w:p>
        </w:tc>
        <w:tc>
          <w:tcPr>
            <w:tcW w:w="470" w:type="dxa"/>
          </w:tcPr>
          <w:p>
            <w:pPr>
              <w:pStyle w:val="TableParagraph"/>
              <w:rPr>
                <w:sz w:val="20"/>
              </w:rPr>
            </w:pPr>
          </w:p>
        </w:tc>
        <w:tc>
          <w:tcPr>
            <w:tcW w:w="291" w:type="dxa"/>
          </w:tcPr>
          <w:p>
            <w:pPr>
              <w:pStyle w:val="TableParagraph"/>
              <w:spacing w:before="1"/>
              <w:rPr>
                <w:sz w:val="17"/>
              </w:rPr>
            </w:pPr>
          </w:p>
          <w:p>
            <w:pPr>
              <w:pStyle w:val="TableParagraph"/>
              <w:spacing w:line="133" w:lineRule="exact"/>
              <w:ind w:left="53"/>
              <w:rPr>
                <w:sz w:val="14"/>
              </w:rPr>
            </w:pPr>
            <w:r>
              <w:rPr>
                <w:color w:val="231F20"/>
                <w:sz w:val="14"/>
              </w:rPr>
              <w:t>0.0</w:t>
            </w:r>
          </w:p>
        </w:tc>
        <w:tc>
          <w:tcPr>
            <w:tcW w:w="492" w:type="dxa"/>
          </w:tcPr>
          <w:p>
            <w:pPr>
              <w:pStyle w:val="TableParagraph"/>
              <w:rPr>
                <w:sz w:val="20"/>
              </w:rPr>
            </w:pPr>
          </w:p>
        </w:tc>
        <w:tc>
          <w:tcPr>
            <w:tcW w:w="269" w:type="dxa"/>
          </w:tcPr>
          <w:p>
            <w:pPr>
              <w:pStyle w:val="TableParagraph"/>
              <w:spacing w:before="1"/>
              <w:rPr>
                <w:sz w:val="17"/>
              </w:rPr>
            </w:pPr>
          </w:p>
          <w:p>
            <w:pPr>
              <w:pStyle w:val="TableParagraph"/>
              <w:spacing w:line="133" w:lineRule="exact"/>
              <w:ind w:left="52"/>
              <w:rPr>
                <w:sz w:val="14"/>
              </w:rPr>
            </w:pPr>
            <w:r>
              <w:rPr>
                <w:color w:val="231F20"/>
                <w:sz w:val="14"/>
              </w:rPr>
              <w:t>0.0</w:t>
            </w:r>
          </w:p>
        </w:tc>
        <w:tc>
          <w:tcPr>
            <w:tcW w:w="192" w:type="dxa"/>
          </w:tcPr>
          <w:p>
            <w:pPr>
              <w:pStyle w:val="TableParagraph"/>
              <w:rPr>
                <w:sz w:val="20"/>
              </w:rPr>
            </w:pPr>
          </w:p>
        </w:tc>
        <w:tc>
          <w:tcPr>
            <w:tcW w:w="759" w:type="dxa"/>
          </w:tcPr>
          <w:p>
            <w:pPr>
              <w:pStyle w:val="TableParagraph"/>
              <w:spacing w:before="1"/>
              <w:rPr>
                <w:sz w:val="17"/>
              </w:rPr>
            </w:pPr>
          </w:p>
          <w:p>
            <w:pPr>
              <w:pStyle w:val="TableParagraph"/>
              <w:spacing w:line="133" w:lineRule="exact"/>
              <w:ind w:left="259" w:right="191"/>
              <w:jc w:val="center"/>
              <w:rPr>
                <w:sz w:val="14"/>
              </w:rPr>
            </w:pPr>
            <w:r>
              <w:rPr>
                <w:color w:val="231F20"/>
                <w:sz w:val="14"/>
              </w:rPr>
              <w:t>0.0</w:t>
            </w:r>
          </w:p>
        </w:tc>
      </w:tr>
      <w:tr>
        <w:trPr>
          <w:trHeight w:val="147" w:hRule="atLeast"/>
        </w:trPr>
        <w:tc>
          <w:tcPr>
            <w:tcW w:w="1559" w:type="dxa"/>
          </w:tcPr>
          <w:p>
            <w:pPr>
              <w:pStyle w:val="TableParagraph"/>
              <w:spacing w:line="128" w:lineRule="exact"/>
              <w:ind w:left="50"/>
              <w:rPr>
                <w:sz w:val="12"/>
              </w:rPr>
            </w:pPr>
            <w:r>
              <w:rPr>
                <w:color w:val="231F20"/>
                <w:sz w:val="14"/>
              </w:rPr>
              <w:t>Alignment adjustment </w:t>
            </w:r>
            <w:r>
              <w:rPr>
                <w:color w:val="231F20"/>
                <w:sz w:val="12"/>
              </w:rPr>
              <w:t>(b)</w:t>
            </w:r>
          </w:p>
        </w:tc>
        <w:tc>
          <w:tcPr>
            <w:tcW w:w="320" w:type="dxa"/>
          </w:tcPr>
          <w:p>
            <w:pPr>
              <w:pStyle w:val="TableParagraph"/>
              <w:spacing w:line="128" w:lineRule="exact"/>
              <w:ind w:right="5"/>
              <w:jc w:val="right"/>
              <w:rPr>
                <w:sz w:val="14"/>
              </w:rPr>
            </w:pPr>
            <w:r>
              <w:rPr>
                <w:color w:val="231F20"/>
                <w:sz w:val="14"/>
              </w:rPr>
              <w:t>0.1</w:t>
            </w:r>
          </w:p>
        </w:tc>
        <w:tc>
          <w:tcPr>
            <w:tcW w:w="470" w:type="dxa"/>
          </w:tcPr>
          <w:p>
            <w:pPr>
              <w:pStyle w:val="TableParagraph"/>
              <w:rPr>
                <w:sz w:val="8"/>
              </w:rPr>
            </w:pPr>
          </w:p>
        </w:tc>
        <w:tc>
          <w:tcPr>
            <w:tcW w:w="291" w:type="dxa"/>
          </w:tcPr>
          <w:p>
            <w:pPr>
              <w:pStyle w:val="TableParagraph"/>
              <w:spacing w:line="128" w:lineRule="exact"/>
              <w:ind w:left="6"/>
              <w:rPr>
                <w:sz w:val="14"/>
              </w:rPr>
            </w:pPr>
            <w:r>
              <w:rPr>
                <w:color w:val="231F20"/>
                <w:sz w:val="14"/>
              </w:rPr>
              <w:t>-0.1</w:t>
            </w:r>
          </w:p>
        </w:tc>
        <w:tc>
          <w:tcPr>
            <w:tcW w:w="492" w:type="dxa"/>
          </w:tcPr>
          <w:p>
            <w:pPr>
              <w:pStyle w:val="TableParagraph"/>
              <w:rPr>
                <w:sz w:val="8"/>
              </w:rPr>
            </w:pPr>
          </w:p>
        </w:tc>
        <w:tc>
          <w:tcPr>
            <w:tcW w:w="269" w:type="dxa"/>
          </w:tcPr>
          <w:p>
            <w:pPr>
              <w:pStyle w:val="TableParagraph"/>
              <w:spacing w:line="128" w:lineRule="exact"/>
              <w:ind w:left="52"/>
              <w:rPr>
                <w:sz w:val="14"/>
              </w:rPr>
            </w:pPr>
            <w:r>
              <w:rPr>
                <w:color w:val="231F20"/>
                <w:sz w:val="14"/>
              </w:rPr>
              <w:t>0.8</w:t>
            </w:r>
          </w:p>
        </w:tc>
        <w:tc>
          <w:tcPr>
            <w:tcW w:w="192" w:type="dxa"/>
          </w:tcPr>
          <w:p>
            <w:pPr>
              <w:pStyle w:val="TableParagraph"/>
              <w:rPr>
                <w:sz w:val="8"/>
              </w:rPr>
            </w:pPr>
          </w:p>
        </w:tc>
        <w:tc>
          <w:tcPr>
            <w:tcW w:w="759" w:type="dxa"/>
          </w:tcPr>
          <w:p>
            <w:pPr>
              <w:pStyle w:val="TableParagraph"/>
              <w:spacing w:line="128" w:lineRule="exact"/>
              <w:ind w:left="259" w:right="191"/>
              <w:jc w:val="center"/>
              <w:rPr>
                <w:sz w:val="14"/>
              </w:rPr>
            </w:pPr>
            <w:r>
              <w:rPr>
                <w:color w:val="231F20"/>
                <w:sz w:val="14"/>
              </w:rPr>
              <w:t>0.8</w:t>
            </w:r>
          </w:p>
        </w:tc>
      </w:tr>
    </w:tbl>
    <w:p>
      <w:pPr>
        <w:pStyle w:val="ListParagraph"/>
        <w:numPr>
          <w:ilvl w:val="0"/>
          <w:numId w:val="13"/>
        </w:numPr>
        <w:tabs>
          <w:tab w:pos="461" w:val="left" w:leader="none"/>
        </w:tabs>
        <w:spacing w:line="208" w:lineRule="auto" w:before="132" w:after="0"/>
        <w:ind w:left="460" w:right="337" w:hanging="240"/>
        <w:jc w:val="left"/>
        <w:rPr>
          <w:sz w:val="12"/>
        </w:rPr>
      </w:pPr>
      <w:r>
        <w:rPr>
          <w:color w:val="231F20"/>
          <w:sz w:val="12"/>
        </w:rPr>
        <w:t>Percentage point contributions. Contributions may not sum to GDP growth </w:t>
      </w:r>
      <w:r>
        <w:rPr>
          <w:color w:val="231F20"/>
          <w:spacing w:val="-8"/>
          <w:sz w:val="12"/>
        </w:rPr>
        <w:t>as </w:t>
      </w:r>
      <w:r>
        <w:rPr>
          <w:color w:val="231F20"/>
          <w:sz w:val="12"/>
        </w:rPr>
        <w:t>the table does not include the factor cost adjustment.</w:t>
      </w:r>
    </w:p>
    <w:p>
      <w:pPr>
        <w:pStyle w:val="ListParagraph"/>
        <w:numPr>
          <w:ilvl w:val="0"/>
          <w:numId w:val="13"/>
        </w:numPr>
        <w:tabs>
          <w:tab w:pos="462" w:val="left" w:leader="none"/>
        </w:tabs>
        <w:spacing w:line="110" w:lineRule="exact" w:before="0" w:after="0"/>
        <w:ind w:left="461" w:right="0" w:hanging="242"/>
        <w:jc w:val="left"/>
        <w:rPr>
          <w:sz w:val="12"/>
        </w:rPr>
      </w:pPr>
      <w:r>
        <w:rPr>
          <w:color w:val="231F20"/>
          <w:sz w:val="12"/>
        </w:rPr>
        <w:t>Contributions to quarterly GDP growth.</w:t>
      </w:r>
    </w:p>
    <w:p>
      <w:pPr>
        <w:pStyle w:val="Heading5"/>
        <w:spacing w:line="242" w:lineRule="auto" w:before="43"/>
        <w:ind w:left="221" w:right="75"/>
      </w:pPr>
      <w:r>
        <w:rPr/>
        <w:br w:type="column"/>
      </w:r>
      <w:r>
        <w:rPr>
          <w:color w:val="231F20"/>
        </w:rPr>
        <w:t>slow during 1998, but continue to grow above its historical trend. Consumption growth is expected to be driven by the rapid growth in wealth in 1997 and real wage increases, reflecting tightness in the labour market </w:t>
      </w:r>
      <w:hyperlink w:history="true" w:anchor="_bookmark17">
        <w:r>
          <w:rPr>
            <w:color w:val="231F20"/>
          </w:rPr>
          <w:t>(see Section</w:t>
        </w:r>
      </w:hyperlink>
      <w:r>
        <w:rPr>
          <w:color w:val="231F20"/>
        </w:rPr>
        <w:t> 3). Chart 2.6 shows that the GFK index of consumer confidence rose to +4.5 in January, up from</w:t>
      </w:r>
    </w:p>
    <w:p>
      <w:pPr>
        <w:spacing w:line="242" w:lineRule="auto" w:before="8"/>
        <w:ind w:left="221" w:right="75" w:firstLine="0"/>
        <w:jc w:val="left"/>
        <w:rPr>
          <w:sz w:val="24"/>
        </w:rPr>
      </w:pPr>
      <w:r>
        <w:rPr>
          <w:color w:val="231F20"/>
          <w:sz w:val="24"/>
        </w:rPr>
        <w:t>+0.2 in December, and remained at historically high levels. The most recent M</w:t>
      </w:r>
      <w:r>
        <w:rPr>
          <w:color w:val="231F20"/>
          <w:sz w:val="20"/>
        </w:rPr>
        <w:t>ORI </w:t>
      </w:r>
      <w:r>
        <w:rPr>
          <w:color w:val="231F20"/>
          <w:sz w:val="24"/>
        </w:rPr>
        <w:t>Survey gave a more subdued picture of consumer confidence, but it lags the GFK by one month: M</w:t>
      </w:r>
      <w:r>
        <w:rPr>
          <w:color w:val="231F20"/>
          <w:sz w:val="20"/>
        </w:rPr>
        <w:t>ORI </w:t>
      </w:r>
      <w:r>
        <w:rPr>
          <w:color w:val="231F20"/>
          <w:sz w:val="24"/>
        </w:rPr>
        <w:t>reported a balance of -4 in December, unchanged on the previous month and its</w:t>
      </w:r>
    </w:p>
    <w:p>
      <w:pPr>
        <w:spacing w:after="0" w:line="242" w:lineRule="auto"/>
        <w:jc w:val="left"/>
        <w:rPr>
          <w:sz w:val="24"/>
        </w:rPr>
        <w:sectPr>
          <w:type w:val="continuous"/>
          <w:pgSz w:w="11880" w:h="16840"/>
          <w:pgMar w:top="1200" w:bottom="280" w:left="620" w:right="620"/>
          <w:cols w:num="2" w:equalWidth="0">
            <w:col w:w="4560" w:space="198"/>
            <w:col w:w="5882"/>
          </w:cols>
        </w:sectPr>
      </w:pPr>
    </w:p>
    <w:p>
      <w:pPr>
        <w:pStyle w:val="ListParagraph"/>
        <w:numPr>
          <w:ilvl w:val="0"/>
          <w:numId w:val="13"/>
        </w:numPr>
        <w:tabs>
          <w:tab w:pos="461" w:val="left" w:leader="none"/>
          <w:tab w:pos="4947" w:val="left" w:leader="none"/>
          <w:tab w:pos="10482" w:val="left" w:leader="none"/>
        </w:tabs>
        <w:spacing w:line="125" w:lineRule="exact" w:before="0" w:after="0"/>
        <w:ind w:left="460" w:right="0" w:hanging="241"/>
        <w:jc w:val="left"/>
        <w:rPr>
          <w:sz w:val="12"/>
        </w:rPr>
      </w:pPr>
      <w:r>
        <w:rPr>
          <w:color w:val="231F20"/>
          <w:sz w:val="12"/>
        </w:rPr>
        <w:t>Excluding the alignment adjustment.</w:t>
        <w:tab/>
      </w:r>
      <w:r>
        <w:rPr>
          <w:color w:val="231F20"/>
          <w:sz w:val="12"/>
          <w:u w:val="single" w:color="231F20"/>
        </w:rPr>
        <w:t> </w:t>
        <w:tab/>
      </w:r>
    </w:p>
    <w:p>
      <w:pPr>
        <w:pStyle w:val="ListParagraph"/>
        <w:numPr>
          <w:ilvl w:val="1"/>
          <w:numId w:val="13"/>
        </w:numPr>
        <w:tabs>
          <w:tab w:pos="5221" w:val="left" w:leader="none"/>
        </w:tabs>
        <w:spacing w:line="163" w:lineRule="exact" w:before="0" w:after="0"/>
        <w:ind w:left="5220" w:right="0" w:hanging="1062"/>
        <w:jc w:val="left"/>
        <w:rPr>
          <w:sz w:val="16"/>
        </w:rPr>
      </w:pPr>
      <w:r>
        <w:rPr>
          <w:color w:val="231F20"/>
          <w:sz w:val="16"/>
        </w:rPr>
        <w:t>This survey was discussed in the box on page 20 of the November 1997</w:t>
      </w:r>
    </w:p>
    <w:p>
      <w:pPr>
        <w:spacing w:line="172" w:lineRule="exact" w:before="0"/>
        <w:ind w:left="1408" w:right="1133" w:firstLine="0"/>
        <w:jc w:val="center"/>
        <w:rPr>
          <w:i/>
          <w:sz w:val="16"/>
        </w:rPr>
      </w:pPr>
      <w:r>
        <w:rPr>
          <w:i/>
          <w:color w:val="231F20"/>
          <w:sz w:val="16"/>
        </w:rPr>
        <w:t>Report.</w:t>
      </w:r>
    </w:p>
    <w:p>
      <w:pPr>
        <w:spacing w:after="0" w:line="172" w:lineRule="exact"/>
        <w:jc w:val="center"/>
        <w:rPr>
          <w:sz w:val="16"/>
        </w:rPr>
        <w:sectPr>
          <w:type w:val="continuous"/>
          <w:pgSz w:w="11880" w:h="16840"/>
          <w:pgMar w:top="1200" w:bottom="280" w:left="620" w:right="620"/>
        </w:sectPr>
      </w:pPr>
    </w:p>
    <w:p>
      <w:pPr>
        <w:pStyle w:val="BodyText"/>
        <w:rPr>
          <w:i/>
          <w:sz w:val="20"/>
        </w:rPr>
      </w:pPr>
    </w:p>
    <w:p>
      <w:pPr>
        <w:spacing w:after="0"/>
        <w:rPr>
          <w:sz w:val="20"/>
        </w:rPr>
        <w:sectPr>
          <w:pgSz w:w="11880" w:h="16840"/>
          <w:pgMar w:header="586" w:footer="597" w:top="780" w:bottom="780" w:left="620" w:right="620"/>
        </w:sectPr>
      </w:pPr>
    </w:p>
    <w:p>
      <w:pPr>
        <w:pStyle w:val="BodyText"/>
        <w:spacing w:before="6"/>
        <w:rPr>
          <w:i/>
          <w:sz w:val="21"/>
        </w:rPr>
      </w:pPr>
    </w:p>
    <w:p>
      <w:pPr>
        <w:pStyle w:val="Heading9"/>
        <w:spacing w:before="1"/>
        <w:ind w:left="207"/>
      </w:pPr>
      <w:bookmarkStart w:name="Investment demand" w:id="37"/>
      <w:bookmarkEnd w:id="37"/>
      <w:r>
        <w:rPr>
          <w:b w:val="0"/>
        </w:rPr>
      </w:r>
      <w:bookmarkStart w:name="_bookmark12" w:id="38"/>
      <w:bookmarkEnd w:id="38"/>
      <w:r>
        <w:rPr>
          <w:b w:val="0"/>
        </w:rPr>
      </w:r>
      <w:r>
        <w:rPr>
          <w:color w:val="0093C1"/>
        </w:rPr>
        <w:t>Chart 2.5</w:t>
      </w:r>
    </w:p>
    <w:p>
      <w:pPr>
        <w:spacing w:line="249" w:lineRule="auto" w:before="10"/>
        <w:ind w:left="207" w:right="0" w:firstLine="0"/>
        <w:jc w:val="left"/>
        <w:rPr>
          <w:b/>
          <w:sz w:val="20"/>
        </w:rPr>
      </w:pPr>
      <w:r>
        <w:rPr>
          <w:b/>
          <w:color w:val="0093C1"/>
          <w:sz w:val="20"/>
        </w:rPr>
        <w:t>Growth in consumers’ expenditure </w:t>
      </w:r>
      <w:r>
        <w:rPr>
          <w:b/>
          <w:color w:val="0093C1"/>
          <w:spacing w:val="-9"/>
          <w:sz w:val="20"/>
        </w:rPr>
        <w:t>by </w:t>
      </w:r>
      <w:r>
        <w:rPr>
          <w:b/>
          <w:color w:val="0093C1"/>
          <w:sz w:val="20"/>
        </w:rPr>
        <w:t>category</w:t>
      </w:r>
    </w:p>
    <w:p>
      <w:pPr>
        <w:spacing w:before="49"/>
        <w:ind w:left="1893" w:right="0" w:firstLine="0"/>
        <w:jc w:val="left"/>
        <w:rPr>
          <w:sz w:val="12"/>
        </w:rPr>
      </w:pPr>
      <w:r>
        <w:rPr/>
        <w:pict>
          <v:group style="position:absolute;margin-left:42.869999pt;margin-top:10.634553pt;width:160.5pt;height:141.75pt;mso-position-horizontal-relative:page;mso-position-vertical-relative:paragraph;z-index:-20240896" coordorigin="857,213" coordsize="3210,2835">
            <v:shape style="position:absolute;left:857;top:217;width:100;height:2720" coordorigin="857,218" coordsize="100,2720" path="m957,2038l857,2038m957,2318l857,2318m957,2638l857,2638m957,2938l857,2938m957,1718l857,1718m957,1418l857,1418m957,1118l857,1118m957,818l857,818m957,518l857,518m957,218l857,218e" filled="false" stroked="true" strokeweight=".5pt" strokecolor="#000000">
              <v:path arrowok="t"/>
              <v:stroke dashstyle="solid"/>
            </v:shape>
            <v:shape style="position:absolute;left:1037;top:257;width:3020;height:2780" coordorigin="1037,258" coordsize="3020,2780" path="m1037,3038l1177,1798,1317,1678,1457,878,1577,658,1717,918,1857,698,1997,498,2137,338,2277,358,2417,1058,2537,1218,2677,1298,2817,1418,2957,998,3097,1178,3237,1038,3377,658,3497,938,3637,498,3777,738,3917,258,4057,358e" filled="false" stroked="true" strokeweight="1pt" strokecolor="#df6f1d">
              <v:path arrowok="t"/>
              <v:stroke dashstyle="solid"/>
            </v:shape>
            <v:shape style="position:absolute;left:1037;top:1157;width:3020;height:740" coordorigin="1037,1158" coordsize="3020,740" path="m1037,1898l1177,1778,1317,1638,1457,1658,1577,1418,1717,1538,1857,1598,1997,1478,2137,1558,2277,1398,2417,1438,2537,1538,2677,1638,2817,1718,2957,1778,3097,1678,3237,1438,3377,1338,3497,1158,3637,1258,3917,1338,4057,1458e" filled="false" stroked="true" strokeweight="1pt" strokecolor="#75442b">
              <v:path arrowok="t"/>
              <v:stroke dashstyle="solid"/>
            </v:shape>
            <v:shape style="position:absolute;left:1037;top:1157;width:3020;height:640" coordorigin="1037,1158" coordsize="3020,640" path="m1037,1798l1177,1698,1317,1658,1457,1658,1577,1618,1717,1518,1857,1398,1997,1438,2137,1418,2277,1498,2417,1498,2537,1338,2677,1438,2817,1278,2957,1398,3097,1478,3237,1338,3377,1518,3497,1458,3637,1318,3777,1418,3917,1258,4057,1158e" filled="false" stroked="true" strokeweight="1pt" strokecolor="#f89f6d">
              <v:path arrowok="t"/>
              <v:stroke dashstyle="solid"/>
            </v:shape>
            <v:shape style="position:absolute;left:2715;top:1785;width:158;height:221" type="#_x0000_t75" stroked="false">
              <v:imagedata r:id="rId39" o:title=""/>
            </v:shape>
            <v:line style="position:absolute" from="1941,1234" to="1987,1334" stroked="true" strokeweight=".5pt" strokecolor="#000000">
              <v:stroke dashstyle="solid"/>
            </v:line>
            <v:shape style="position:absolute;left:1957;top:1308;width:59;height:88" coordorigin="1957,1308" coordsize="59,88" path="m2003,1308l1957,1330,1970,1341,1979,1350,2016,1396,2014,1387,2011,1377,2009,1365,2007,1351,2005,1339,2003,1308xe" filled="true" fillcolor="#000000" stroked="false">
              <v:path arrowok="t"/>
              <v:fill type="solid"/>
            </v:shape>
            <v:shape style="position:absolute;left:857;top:212;width:3210;height:2835" type="#_x0000_t202" filled="false" stroked="false">
              <v:textbox inset="0,0,0,0">
                <w:txbxContent>
                  <w:p>
                    <w:pPr>
                      <w:spacing w:line="240" w:lineRule="auto" w:before="8"/>
                      <w:rPr>
                        <w:i/>
                        <w:sz w:val="13"/>
                      </w:rPr>
                    </w:pPr>
                  </w:p>
                  <w:p>
                    <w:pPr>
                      <w:spacing w:line="208" w:lineRule="auto" w:before="0"/>
                      <w:ind w:left="1529" w:right="1017" w:hanging="60"/>
                      <w:jc w:val="left"/>
                      <w:rPr>
                        <w:sz w:val="12"/>
                      </w:rPr>
                    </w:pPr>
                    <w:r>
                      <w:rPr>
                        <w:sz w:val="12"/>
                      </w:rPr>
                      <w:t>Durable goods expenditure</w:t>
                    </w:r>
                  </w:p>
                  <w:p>
                    <w:pPr>
                      <w:spacing w:line="240" w:lineRule="auto" w:before="0"/>
                      <w:rPr>
                        <w:sz w:val="12"/>
                      </w:rPr>
                    </w:pPr>
                  </w:p>
                  <w:p>
                    <w:pPr>
                      <w:spacing w:line="240" w:lineRule="auto" w:before="0"/>
                      <w:rPr>
                        <w:sz w:val="12"/>
                      </w:rPr>
                    </w:pPr>
                  </w:p>
                  <w:p>
                    <w:pPr>
                      <w:spacing w:line="208" w:lineRule="auto" w:before="90"/>
                      <w:ind w:left="776" w:right="1847" w:hanging="60"/>
                      <w:jc w:val="left"/>
                      <w:rPr>
                        <w:sz w:val="12"/>
                      </w:rPr>
                    </w:pPr>
                    <w:r>
                      <w:rPr>
                        <w:sz w:val="12"/>
                      </w:rPr>
                      <w:t>Service expenditure</w:t>
                    </w:r>
                  </w:p>
                  <w:p>
                    <w:pPr>
                      <w:spacing w:line="240" w:lineRule="auto" w:before="0"/>
                      <w:rPr>
                        <w:sz w:val="12"/>
                      </w:rPr>
                    </w:pPr>
                  </w:p>
                  <w:p>
                    <w:pPr>
                      <w:spacing w:line="240" w:lineRule="auto" w:before="8"/>
                      <w:rPr>
                        <w:sz w:val="10"/>
                      </w:rPr>
                    </w:pPr>
                  </w:p>
                  <w:p>
                    <w:pPr>
                      <w:tabs>
                        <w:tab w:pos="3199" w:val="left" w:leader="none"/>
                      </w:tabs>
                      <w:spacing w:before="1"/>
                      <w:ind w:left="180" w:right="0" w:firstLine="0"/>
                      <w:jc w:val="left"/>
                      <w:rPr>
                        <w:sz w:val="16"/>
                      </w:rPr>
                    </w:pPr>
                    <w:r>
                      <w:rPr>
                        <w:sz w:val="16"/>
                        <w:u w:val="single"/>
                      </w:rPr>
                      <w:t> </w:t>
                      <w:tab/>
                    </w:r>
                  </w:p>
                  <w:p>
                    <w:pPr>
                      <w:spacing w:line="240" w:lineRule="auto" w:before="0"/>
                      <w:rPr>
                        <w:sz w:val="18"/>
                      </w:rPr>
                    </w:pPr>
                  </w:p>
                  <w:p>
                    <w:pPr>
                      <w:spacing w:line="208" w:lineRule="auto" w:before="141"/>
                      <w:ind w:left="1483" w:right="843" w:hanging="60"/>
                      <w:jc w:val="left"/>
                      <w:rPr>
                        <w:sz w:val="12"/>
                      </w:rPr>
                    </w:pPr>
                    <w:r>
                      <w:rPr>
                        <w:sz w:val="12"/>
                      </w:rPr>
                      <w:t>Non-durable goods expenditure</w:t>
                    </w:r>
                  </w:p>
                </w:txbxContent>
              </v:textbox>
              <w10:wrap type="none"/>
            </v:shape>
            <w10:wrap type="none"/>
          </v:group>
        </w:pict>
      </w:r>
      <w:r>
        <w:rPr/>
        <w:pict>
          <v:line style="position:absolute;mso-position-horizontal-relative:page;mso-position-vertical-relative:paragraph;z-index:-20235776" from="212.869995pt,10.884553pt" to="207.869995pt,10.884553pt" stroked="true" strokeweight=".5pt" strokecolor="#000000">
            <v:stroke dashstyle="solid"/>
            <w10:wrap type="none"/>
          </v:line>
        </w:pict>
      </w:r>
      <w:r>
        <w:rPr>
          <w:sz w:val="12"/>
        </w:rPr>
        <w:t>Percentage changes on a year earlier</w:t>
      </w:r>
      <w:r>
        <w:rPr>
          <w:spacing w:val="14"/>
          <w:sz w:val="12"/>
        </w:rPr>
        <w:t> </w:t>
      </w:r>
      <w:r>
        <w:rPr>
          <w:position w:val="-8"/>
          <w:sz w:val="12"/>
        </w:rPr>
        <w:t>12.5</w:t>
      </w:r>
    </w:p>
    <w:p>
      <w:pPr>
        <w:spacing w:before="159"/>
        <w:ind w:left="0" w:right="38" w:firstLine="0"/>
        <w:jc w:val="right"/>
        <w:rPr>
          <w:sz w:val="12"/>
        </w:rPr>
      </w:pPr>
      <w:r>
        <w:rPr/>
        <w:pict>
          <v:line style="position:absolute;mso-position-horizontal-relative:page;mso-position-vertical-relative:paragraph;z-index:15853568" from="212.869995pt,12.051545pt" to="207.869995pt,12.051545pt" stroked="true" strokeweight=".5pt" strokecolor="#000000">
            <v:stroke dashstyle="solid"/>
            <w10:wrap type="none"/>
          </v:line>
        </w:pict>
      </w:r>
      <w:r>
        <w:rPr>
          <w:sz w:val="12"/>
        </w:rPr>
        <w:t>10.0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53056" from="212.869995pt,4.101545pt" to="207.869995pt,4.101545pt" stroked="true" strokeweight=".5pt" strokecolor="#000000">
            <v:stroke dashstyle="solid"/>
            <w10:wrap type="none"/>
          </v:line>
        </w:pict>
      </w:r>
      <w:r>
        <w:rPr>
          <w:sz w:val="12"/>
        </w:rPr>
        <w:t>7.5</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52544" from="212.869995pt,4.101545pt" to="207.869995pt,4.101545pt" stroked="true" strokeweight=".5pt" strokecolor="#000000">
            <v:stroke dashstyle="solid"/>
            <w10:wrap type="none"/>
          </v:line>
        </w:pict>
      </w:r>
      <w:r>
        <w:rPr>
          <w:sz w:val="12"/>
        </w:rPr>
        <w:t>5.0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52032" from="212.869995pt,4.101545pt" to="207.869995pt,4.101545pt" stroked="true" strokeweight=".5pt" strokecolor="#000000">
            <v:stroke dashstyle="solid"/>
            <w10:wrap type="none"/>
          </v:line>
        </w:pict>
      </w:r>
      <w:r>
        <w:rPr>
          <w:sz w:val="12"/>
        </w:rPr>
        <w:t>2.5</w:t>
      </w:r>
    </w:p>
    <w:p>
      <w:pPr>
        <w:spacing w:line="171" w:lineRule="exact" w:before="5"/>
        <w:ind w:left="0" w:right="197" w:firstLine="0"/>
        <w:jc w:val="right"/>
        <w:rPr>
          <w:sz w:val="16"/>
        </w:rPr>
      </w:pPr>
      <w:r>
        <w:rPr>
          <w:sz w:val="16"/>
          <w:u w:val="single"/>
        </w:rPr>
        <w:t>  </w:t>
      </w:r>
      <w:r>
        <w:rPr>
          <w:sz w:val="16"/>
        </w:rPr>
        <w:t>+</w:t>
      </w:r>
    </w:p>
    <w:p>
      <w:pPr>
        <w:spacing w:line="72" w:lineRule="auto" w:before="34"/>
        <w:ind w:left="0" w:right="38" w:firstLine="0"/>
        <w:jc w:val="right"/>
        <w:rPr>
          <w:sz w:val="12"/>
        </w:rPr>
      </w:pPr>
      <w:r>
        <w:rPr>
          <w:position w:val="-7"/>
          <w:sz w:val="16"/>
        </w:rPr>
        <w:t>_ </w:t>
      </w:r>
      <w:r>
        <w:rPr>
          <w:sz w:val="12"/>
        </w:rPr>
        <w:t>0.0</w:t>
      </w:r>
    </w:p>
    <w:p>
      <w:pPr>
        <w:pStyle w:val="BodyText"/>
        <w:spacing w:before="10"/>
        <w:rPr>
          <w:sz w:val="20"/>
        </w:rPr>
      </w:pPr>
      <w:r>
        <w:rPr/>
        <w:br w:type="column"/>
      </w:r>
      <w:r>
        <w:rPr>
          <w:sz w:val="20"/>
        </w:rPr>
      </w:r>
    </w:p>
    <w:p>
      <w:pPr>
        <w:pStyle w:val="Heading5"/>
        <w:spacing w:line="242" w:lineRule="auto"/>
        <w:ind w:left="207" w:right="477"/>
        <w:jc w:val="both"/>
      </w:pPr>
      <w:r>
        <w:rPr>
          <w:color w:val="231F20"/>
        </w:rPr>
        <w:t>lowest in 1997. Changes in consumer confidence are linked to equity and house price developments, </w:t>
      </w:r>
      <w:r>
        <w:rPr>
          <w:color w:val="231F20"/>
          <w:spacing w:val="-4"/>
        </w:rPr>
        <w:t>which </w:t>
      </w:r>
      <w:r>
        <w:rPr>
          <w:color w:val="231F20"/>
        </w:rPr>
        <w:t>influence personal sector wealth.</w:t>
      </w:r>
    </w:p>
    <w:p>
      <w:pPr>
        <w:pStyle w:val="BodyText"/>
        <w:spacing w:before="11"/>
        <w:rPr>
          <w:sz w:val="22"/>
        </w:rPr>
      </w:pPr>
    </w:p>
    <w:p>
      <w:pPr>
        <w:spacing w:line="242" w:lineRule="auto" w:before="0"/>
        <w:ind w:left="207" w:right="240" w:firstLine="0"/>
        <w:jc w:val="left"/>
        <w:rPr>
          <w:sz w:val="24"/>
        </w:rPr>
      </w:pPr>
      <w:r>
        <w:rPr>
          <w:color w:val="231F20"/>
          <w:sz w:val="24"/>
        </w:rPr>
        <w:t>Equity prices have increased rapidly since 1995, as Chart 2.7 shows. Personal sector net financial wealth rose by 9.8% in 1997 Q3, mainly as a result of the 6.9% increase in equity prices during the quarter. And equity prices have risen by a further 11.7% since November.</w:t>
      </w:r>
    </w:p>
    <w:p>
      <w:pPr>
        <w:spacing w:after="0" w:line="242" w:lineRule="auto"/>
        <w:jc w:val="left"/>
        <w:rPr>
          <w:sz w:val="24"/>
        </w:rPr>
        <w:sectPr>
          <w:type w:val="continuous"/>
          <w:pgSz w:w="11880" w:h="16840"/>
          <w:pgMar w:top="1200" w:bottom="280" w:left="620" w:right="620"/>
          <w:cols w:num="2" w:equalWidth="0">
            <w:col w:w="3938" w:space="855"/>
            <w:col w:w="584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spacing w:line="110" w:lineRule="exact"/>
        <w:ind w:left="232" w:right="-87" w:firstLine="0"/>
        <w:rPr>
          <w:sz w:val="11"/>
        </w:rPr>
      </w:pPr>
      <w:r>
        <w:rPr>
          <w:position w:val="-1"/>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position w:val="-1"/>
          <w:sz w:val="2"/>
        </w:rPr>
      </w:r>
      <w:r>
        <w:rPr>
          <w:spacing w:val="22"/>
          <w:position w:val="-1"/>
          <w:sz w:val="11"/>
        </w:rPr>
        <w:t> </w:t>
      </w:r>
      <w:r>
        <w:rPr>
          <w:spacing w:val="22"/>
          <w:position w:val="-1"/>
          <w:sz w:val="11"/>
        </w:rPr>
        <w:pict>
          <v:group style="width:151.5pt;height:5.25pt;mso-position-horizontal-relative:char;mso-position-vertical-relative:line" coordorigin="0,0" coordsize="3030,105">
            <v:shape style="position:absolute;left:5;top:0;width:3020;height:100" coordorigin="5,0" coordsize="3020,100" path="m5,100l3025,100m5,100l5,40m145,100l145,40m285,100l285,40m425,100l425,40m545,100l545,40m685,100l685,40m825,100l825,40m965,100l965,40m1105,100l1105,40m1245,100l1245,40m1385,100l1385,40m1505,100l1505,40m1645,100l1645,40m1785,100l1785,40m1925,100l1925,40m2065,100l2065,40m2185,100l2185,40m2325,100l2325,40m2465,100l2465,40m2605,100l2605,40m2745,100l2745,40m2885,100l2885,40m3025,100l3025,40m5,100l5,0m545,100l545,0m1105,100l1105,0m1645,100l1645,0m2185,100l2185,0m2745,100l2745,0e" filled="false" stroked="true" strokeweight=".5pt" strokecolor="#000000">
              <v:path arrowok="t"/>
              <v:stroke dashstyle="solid"/>
            </v:shape>
          </v:group>
        </w:pict>
      </w:r>
      <w:r>
        <w:rPr>
          <w:spacing w:val="22"/>
          <w:position w:val="-1"/>
          <w:sz w:val="11"/>
        </w:rPr>
      </w:r>
    </w:p>
    <w:p>
      <w:pPr>
        <w:tabs>
          <w:tab w:pos="1207" w:val="left" w:leader="none"/>
          <w:tab w:pos="1747" w:val="left" w:leader="none"/>
          <w:tab w:pos="2287" w:val="left" w:leader="none"/>
          <w:tab w:pos="2847" w:val="left" w:leader="none"/>
          <w:tab w:pos="3267" w:val="left" w:leader="none"/>
        </w:tabs>
        <w:spacing w:before="26"/>
        <w:ind w:left="567" w:right="0" w:firstLine="0"/>
        <w:jc w:val="left"/>
        <w:rPr>
          <w:sz w:val="12"/>
        </w:rPr>
      </w:pPr>
      <w:r>
        <w:rPr>
          <w:sz w:val="12"/>
        </w:rPr>
        <w:t>1992</w:t>
        <w:tab/>
        <w:t>93</w:t>
        <w:tab/>
        <w:t>94</w:t>
        <w:tab/>
        <w:t>95</w:t>
        <w:tab/>
        <w:t>96</w:t>
        <w:tab/>
        <w:t>97</w:t>
      </w:r>
    </w:p>
    <w:p>
      <w:pPr>
        <w:pStyle w:val="BodyText"/>
        <w:rPr>
          <w:sz w:val="12"/>
        </w:rPr>
      </w:pPr>
    </w:p>
    <w:p>
      <w:pPr>
        <w:pStyle w:val="BodyText"/>
        <w:rPr>
          <w:sz w:val="12"/>
        </w:rPr>
      </w:pPr>
    </w:p>
    <w:p>
      <w:pPr>
        <w:pStyle w:val="Heading9"/>
        <w:spacing w:before="99"/>
        <w:ind w:left="202"/>
      </w:pPr>
      <w:r>
        <w:rPr>
          <w:color w:val="0093C1"/>
        </w:rPr>
        <w:t>Chart 2.6</w:t>
      </w:r>
    </w:p>
    <w:p>
      <w:pPr>
        <w:pStyle w:val="BodyText"/>
        <w:spacing w:before="3"/>
        <w:rPr>
          <w:b/>
          <w:sz w:val="13"/>
        </w:rPr>
      </w:pPr>
      <w:r>
        <w:rPr/>
        <w:br w:type="column"/>
      </w:r>
      <w:r>
        <w:rPr>
          <w:b/>
          <w:sz w:val="13"/>
        </w:rPr>
      </w:r>
    </w:p>
    <w:p>
      <w:pPr>
        <w:spacing w:before="0"/>
        <w:ind w:left="262" w:right="0" w:firstLine="0"/>
        <w:jc w:val="left"/>
        <w:rPr>
          <w:sz w:val="12"/>
        </w:rPr>
      </w:pPr>
      <w:r>
        <w:rPr>
          <w:sz w:val="12"/>
        </w:rPr>
        <w:t>2.5</w:t>
      </w:r>
    </w:p>
    <w:p>
      <w:pPr>
        <w:pStyle w:val="BodyText"/>
        <w:spacing w:before="1"/>
        <w:rPr>
          <w:sz w:val="14"/>
        </w:rPr>
      </w:pPr>
    </w:p>
    <w:p>
      <w:pPr>
        <w:spacing w:before="0"/>
        <w:ind w:left="262" w:right="0" w:firstLine="0"/>
        <w:jc w:val="left"/>
        <w:rPr>
          <w:sz w:val="12"/>
        </w:rPr>
      </w:pPr>
      <w:r>
        <w:rPr/>
        <w:pict>
          <v:line style="position:absolute;mso-position-horizontal-relative:page;mso-position-vertical-relative:paragraph;z-index:15849472" from="212.869995pt,-9.898455pt" to="207.869995pt,-9.898455pt" stroked="true" strokeweight=".5pt" strokecolor="#000000">
            <v:stroke dashstyle="solid"/>
            <w10:wrap type="none"/>
          </v:line>
        </w:pict>
      </w:r>
      <w:r>
        <w:rPr/>
        <w:pict>
          <v:line style="position:absolute;mso-position-horizontal-relative:page;mso-position-vertical-relative:paragraph;z-index:15849984" from="212.869995pt,4.101545pt" to="207.869995pt,4.101545pt" stroked="true" strokeweight=".5pt" strokecolor="#000000">
            <v:stroke dashstyle="solid"/>
            <w10:wrap type="none"/>
          </v:line>
        </w:pict>
      </w:r>
      <w:r>
        <w:rPr>
          <w:sz w:val="12"/>
        </w:rPr>
        <w:t>5.0</w:t>
      </w:r>
    </w:p>
    <w:p>
      <w:pPr>
        <w:pStyle w:val="BodyText"/>
        <w:spacing w:before="1"/>
        <w:rPr>
          <w:sz w:val="14"/>
        </w:rPr>
      </w:pPr>
    </w:p>
    <w:p>
      <w:pPr>
        <w:spacing w:before="0"/>
        <w:ind w:left="262" w:right="0" w:firstLine="0"/>
        <w:jc w:val="left"/>
        <w:rPr>
          <w:sz w:val="12"/>
        </w:rPr>
      </w:pPr>
      <w:r>
        <w:rPr/>
        <w:pict>
          <v:line style="position:absolute;mso-position-horizontal-relative:page;mso-position-vertical-relative:paragraph;z-index:15850496" from="212.869995pt,5.101545pt" to="207.869995pt,5.101545pt" stroked="true" strokeweight=".5pt" strokecolor="#000000">
            <v:stroke dashstyle="solid"/>
            <w10:wrap type="none"/>
          </v:line>
        </w:pict>
      </w:r>
      <w:r>
        <w:rPr>
          <w:sz w:val="12"/>
        </w:rPr>
        <w:t>7.5</w:t>
      </w:r>
    </w:p>
    <w:p>
      <w:pPr>
        <w:pStyle w:val="BodyText"/>
        <w:spacing w:before="1"/>
        <w:rPr>
          <w:sz w:val="14"/>
        </w:rPr>
      </w:pPr>
    </w:p>
    <w:p>
      <w:pPr>
        <w:spacing w:before="0"/>
        <w:ind w:left="202" w:right="0" w:firstLine="0"/>
        <w:jc w:val="left"/>
        <w:rPr>
          <w:sz w:val="12"/>
        </w:rPr>
      </w:pPr>
      <w:r>
        <w:rPr/>
        <w:pict>
          <v:line style="position:absolute;mso-position-horizontal-relative:page;mso-position-vertical-relative:paragraph;z-index:15851008" from="212.869995pt,5.101545pt" to="207.869995pt,5.101545pt" stroked="true" strokeweight=".5pt" strokecolor="#000000">
            <v:stroke dashstyle="solid"/>
            <w10:wrap type="none"/>
          </v:line>
        </w:pict>
      </w:r>
      <w:r>
        <w:rPr>
          <w:sz w:val="12"/>
        </w:rPr>
        <w:t>10.0</w:t>
      </w:r>
    </w:p>
    <w:p>
      <w:pPr>
        <w:pStyle w:val="BodyText"/>
        <w:spacing w:before="1"/>
        <w:rPr>
          <w:sz w:val="14"/>
        </w:rPr>
      </w:pPr>
    </w:p>
    <w:p>
      <w:pPr>
        <w:spacing w:before="0"/>
        <w:ind w:left="202" w:right="0" w:firstLine="0"/>
        <w:jc w:val="left"/>
        <w:rPr>
          <w:sz w:val="12"/>
        </w:rPr>
      </w:pPr>
      <w:r>
        <w:rPr/>
        <w:pict>
          <v:line style="position:absolute;mso-position-horizontal-relative:page;mso-position-vertical-relative:paragraph;z-index:15851520" from="212.869995pt,5.101545pt" to="207.869995pt,5.101545pt" stroked="true" strokeweight=".5pt" strokecolor="#000000">
            <v:stroke dashstyle="solid"/>
            <w10:wrap type="none"/>
          </v:line>
        </w:pict>
      </w:r>
      <w:r>
        <w:rPr>
          <w:sz w:val="12"/>
        </w:rPr>
        <w:t>12.5</w:t>
      </w:r>
    </w:p>
    <w:p>
      <w:pPr>
        <w:pStyle w:val="Heading5"/>
        <w:spacing w:line="242" w:lineRule="auto"/>
        <w:ind w:left="202" w:right="56"/>
      </w:pPr>
      <w:r>
        <w:rPr/>
        <w:br w:type="column"/>
      </w:r>
      <w:r>
        <w:rPr>
          <w:color w:val="231F20"/>
        </w:rPr>
        <w:t>Net financial wealth data were recently revised downwards back to the beginning of 1996, following the receipt of new information from financial institutions about their balance sheets, but there was an upward revision to the personal sector’s asset holdings in</w:t>
      </w:r>
    </w:p>
    <w:p>
      <w:pPr>
        <w:spacing w:line="242" w:lineRule="auto" w:before="0"/>
        <w:ind w:left="202" w:right="56" w:firstLine="0"/>
        <w:jc w:val="left"/>
        <w:rPr>
          <w:sz w:val="24"/>
        </w:rPr>
      </w:pPr>
      <w:r>
        <w:rPr>
          <w:color w:val="231F20"/>
          <w:sz w:val="24"/>
        </w:rPr>
        <w:t>1997 Q2. This raised the growth rate of net financial wealth in the second quarter to 8.3%. Overall, net financial wealth has grown more strongly since the end</w:t>
      </w:r>
    </w:p>
    <w:p>
      <w:pPr>
        <w:spacing w:after="0" w:line="242" w:lineRule="auto"/>
        <w:jc w:val="left"/>
        <w:rPr>
          <w:sz w:val="24"/>
        </w:rPr>
        <w:sectPr>
          <w:type w:val="continuous"/>
          <w:pgSz w:w="11880" w:h="16840"/>
          <w:pgMar w:top="1200" w:bottom="280" w:left="620" w:right="620"/>
          <w:cols w:num="3" w:equalWidth="0">
            <w:col w:w="3428" w:space="57"/>
            <w:col w:w="453" w:space="859"/>
            <w:col w:w="5843"/>
          </w:cols>
        </w:sectPr>
      </w:pPr>
    </w:p>
    <w:p>
      <w:pPr>
        <w:pStyle w:val="Heading9"/>
        <w:spacing w:before="9"/>
        <w:ind w:left="202"/>
      </w:pPr>
      <w:r>
        <w:rPr>
          <w:color w:val="0093C1"/>
        </w:rPr>
        <w:t>Consumer confidence and retail sales growth</w:t>
      </w:r>
    </w:p>
    <w:p>
      <w:pPr>
        <w:tabs>
          <w:tab w:pos="3311" w:val="left" w:leader="none"/>
        </w:tabs>
        <w:spacing w:line="235" w:lineRule="auto" w:before="126"/>
        <w:ind w:left="216" w:right="0" w:firstLine="0"/>
        <w:jc w:val="left"/>
        <w:rPr>
          <w:sz w:val="12"/>
        </w:rPr>
      </w:pPr>
      <w:r>
        <w:rPr/>
        <w:pict>
          <v:line style="position:absolute;mso-position-horizontal-relative:page;mso-position-vertical-relative:paragraph;z-index:-20243456" from="51.389999pt,14.359536pt" to="46.389999pt,14.359536pt" stroked="true" strokeweight=".5pt" strokecolor="#000000">
            <v:stroke dashstyle="solid"/>
            <w10:wrap type="none"/>
          </v:line>
        </w:pict>
      </w:r>
      <w:r>
        <w:rPr/>
        <w:pict>
          <v:line style="position:absolute;mso-position-horizontal-relative:page;mso-position-vertical-relative:paragraph;z-index:-20242432" from="210.639999pt,14.359536pt" to="215.639999pt,14.359536pt" stroked="true" strokeweight=".5pt" strokecolor="#000000">
            <v:stroke dashstyle="solid"/>
            <w10:wrap type="none"/>
          </v:line>
        </w:pict>
      </w:r>
      <w:r>
        <w:rPr>
          <w:position w:val="-6"/>
          <w:sz w:val="12"/>
        </w:rPr>
        <w:t>8</w:t>
      </w:r>
      <w:r>
        <w:rPr>
          <w:spacing w:val="-4"/>
          <w:position w:val="-6"/>
          <w:sz w:val="12"/>
        </w:rPr>
        <w:t> </w:t>
      </w:r>
      <w:r>
        <w:rPr>
          <w:sz w:val="12"/>
        </w:rPr>
        <w:t>Per cent</w:t>
        <w:tab/>
        <w:t>Balance</w:t>
      </w:r>
      <w:r>
        <w:rPr>
          <w:spacing w:val="15"/>
          <w:sz w:val="12"/>
        </w:rPr>
        <w:t> </w:t>
      </w:r>
      <w:r>
        <w:rPr>
          <w:position w:val="-5"/>
          <w:sz w:val="12"/>
        </w:rPr>
        <w:t>40</w:t>
      </w:r>
    </w:p>
    <w:p>
      <w:pPr>
        <w:pStyle w:val="Heading5"/>
        <w:spacing w:line="242" w:lineRule="auto"/>
        <w:ind w:left="202"/>
      </w:pPr>
      <w:r>
        <w:rPr/>
        <w:br w:type="column"/>
      </w:r>
      <w:r>
        <w:rPr>
          <w:color w:val="231F20"/>
        </w:rPr>
        <w:t>of 1996 than previously thought. The MPC has assumed that equity prices will grow in line with nominal GDP</w:t>
      </w:r>
    </w:p>
    <w:p>
      <w:pPr>
        <w:spacing w:after="0" w:line="242" w:lineRule="auto"/>
        <w:sectPr>
          <w:type w:val="continuous"/>
          <w:pgSz w:w="11880" w:h="16840"/>
          <w:pgMar w:top="1200" w:bottom="280" w:left="620" w:right="620"/>
          <w:cols w:num="2" w:equalWidth="0">
            <w:col w:w="4082" w:space="715"/>
            <w:col w:w="5843"/>
          </w:cols>
        </w:sectPr>
      </w:pPr>
    </w:p>
    <w:p>
      <w:pPr>
        <w:pStyle w:val="BodyText"/>
        <w:spacing w:before="8"/>
        <w:rPr>
          <w:sz w:val="13"/>
        </w:rPr>
      </w:pPr>
    </w:p>
    <w:p>
      <w:pPr>
        <w:tabs>
          <w:tab w:pos="982" w:val="left" w:leader="none"/>
        </w:tabs>
        <w:spacing w:line="208" w:lineRule="auto" w:before="1"/>
        <w:ind w:left="1042" w:right="38" w:hanging="827"/>
        <w:jc w:val="left"/>
        <w:rPr>
          <w:sz w:val="12"/>
        </w:rPr>
      </w:pPr>
      <w:r>
        <w:rPr/>
        <w:pict>
          <v:group style="position:absolute;margin-left:46.639999pt;margin-top:-1.576239pt;width:169pt;height:131pt;mso-position-horizontal-relative:page;mso-position-vertical-relative:paragraph;z-index:-20244480" coordorigin="933,-32" coordsize="3380,2620">
            <v:shape style="position:absolute;left:932;top:338;width:100;height:1640" coordorigin="933,338" coordsize="100,1640" path="m1033,1978l933,1978m1033,1698l933,1698m1033,1438l933,1438m1033,1158l933,1158m1033,898l933,898m1033,618l933,618m1033,338l933,338e" filled="false" stroked="true" strokeweight=".5pt" strokecolor="#000000">
              <v:path arrowok="t"/>
              <v:stroke dashstyle="solid"/>
            </v:shape>
            <v:shape style="position:absolute;left:1152;top:-22;width:2980;height:2600" coordorigin="1153,-22" coordsize="2980,2600" path="m1153,838l1173,498,1193,678,1233,578,1253,738,1273,578,1293,458,1333,498,1373,418,1393,118,1413,138,1433,-22,1453,338,1473,158,1513,218,1533,58,1553,158,1573,318,1593,398,1613,458,1633,458,1673,818,1693,898,1713,918,1733,898,1753,1018,1773,1278,1793,1498,1833,1698,1853,1738,1873,1698,1893,1798,1913,1818,1933,1678,1953,1498,1973,1538,2013,1538,2033,1598,2053,1598,2073,1558,2093,1658,2113,1678,2133,1978,2173,2158,2193,2258,2213,2318,2233,2478,2253,2438,2293,2518,2313,2518,2333,2578,2353,2498,2373,2318,2393,2358,2433,2298,2453,2178,2473,2078,2493,1998,2513,1998,2533,2138,2553,2038,2593,1978,2613,1678,2633,1878,2653,1878,2673,1798,2693,1498,2713,1418,2753,1478,2773,1458,2793,1318,2813,1078,2833,1118,2853,1238,2873,1318,2893,1178,2933,1118,2953,1118,2973,1178,2993,1118,3013,1098,3053,1038,3073,1138,3093,1118,3113,1138,3133,978,3153,938,3193,878,3213,878,3233,818,3273,978,3293,1038,3313,1318,3353,1398,3373,1598,3393,1478,3413,1598,3433,1638,3473,1658,3493,1738,3513,1838,3533,1958,3553,1838,3573,1678,3593,1538,3613,1478,3653,1418,3673,1418,3693,1338,3713,1278,3733,1298,3753,1138,3773,1078,3813,878,3853,958,3873,878,3893,838,3913,698,3933,698,3973,598,3993,518,4013,378,4033,398,4053,558,4073,558,4113,618,4133,478e" filled="false" stroked="true" strokeweight="1pt" strokecolor="#0066a5">
              <v:path arrowok="t"/>
              <v:stroke dashstyle="solid"/>
            </v:shape>
            <v:shape style="position:absolute;left:4212;top:58;width:100;height:2480" coordorigin="4213,58" coordsize="100,2480" path="m4213,1158l4313,1158m4213,1438l4313,1438m4213,1698l4313,1698m4213,1978l4313,1978m4213,2258l4313,2258m4213,2538l4313,2538m4213,898l4313,898m4213,618l4313,618m4213,338l4313,338m4213,58l4313,58e" filled="false" stroked="true" strokeweight=".5pt" strokecolor="#000000">
              <v:path arrowok="t"/>
              <v:stroke dashstyle="solid"/>
            </v:shape>
            <v:shape style="position:absolute;left:1112;top:118;width:2940;height:2020" coordorigin="1113,118" coordsize="2940,2020" path="m1113,938l1133,938,1153,458,1173,498,1193,398,1213,258,1253,378,1273,698,1293,758,1313,678,1333,698,1373,698,1393,558,1413,778,1433,578,1453,578,1473,478,1513,758,1533,1018,1553,1138,1573,1378,1593,1218,1613,1658,1633,1538,1673,1278,1693,1378,1713,1278,1733,1658,1753,1458,1773,1718,1793,1418,1833,1378,1853,1378,1873,1618,1893,1798,1913,1538,1953,1938,1973,2058,2013,1898,2033,1738,2053,1538,2073,1418,2093,2058,2113,2138,2153,1458,2173,1538,2193,1438,2213,1718,2233,1618,2273,918,2293,758,2313,918,2333,1138,2353,1078,2373,698,2393,538,2433,758,2453,818,2473,1358,2493,918,2513,938,2533,478,2553,318,2593,398,2613,978,2633,1378,2653,1758,2673,1758,2693,2138,2713,1818,2753,1338,2773,1338,2793,1458,2813,1138,2833,498,2853,818,2873,1078,2893,698,2933,758,2953,1098,2973,1198,2993,1018,3013,1058,3033,978,3073,1278,3093,1278,3113,1078,3133,898,3153,1138,3193,1138,3213,858,3233,1138,3253,1018,3273,1058,3293,1318m3393,1318l3413,1378,3433,1198,3473,1438,3493,1358,3513,1418,3533,1318,3553,1378,3573,1318,3593,1198,3613,1378,3653,1358,3673,1058,3693,1158,3713,978,3733,1138,3753,838,3773,918,3813,918,3833,898,3853,1138,3873,898,3893,838,3913,858,3933,538,3973,118,3993,378,4013,618,4033,938,4053,418m3293,1318l3313,1278,3353,1618,3373,1378,3393,1318e" filled="false" stroked="true" strokeweight="1pt" strokecolor="#faab54">
              <v:path arrowok="t"/>
              <v:stroke dashstyle="solid"/>
            </v:shape>
            <v:shape style="position:absolute;left:3432;top:718;width:640;height:1180" coordorigin="3433,718" coordsize="640,1180" path="m3433,1898l3473,1718,3493,1538,3533,1698,3553,1658,3573,1518,3593,1498,3613,1618,3653,1578,3673,1498,3693,1518,3713,1418,3733,1398,3753,1318,3773,1218,3813,1158,3833,1078,3853,1278,3873,1058,3893,1058,3913,1118,3933,1138,3973,938,3993,818,4013,858,4033,718,4053,718,4073,738e" filled="false" stroked="true" strokeweight="1pt" strokecolor="#008256">
              <v:path arrowok="t"/>
              <v:stroke dashstyle="solid"/>
            </v:shape>
            <v:shape style="position:absolute;left:3161;top:1820;width:242;height:369" type="#_x0000_t75" stroked="false">
              <v:imagedata r:id="rId40" o:title=""/>
            </v:shape>
            <w10:wrap type="none"/>
          </v:group>
        </w:pict>
      </w:r>
      <w:r>
        <w:rPr/>
        <w:pict>
          <v:line style="position:absolute;mso-position-horizontal-relative:page;mso-position-vertical-relative:paragraph;z-index:-20243968" from="51.639999pt,2.923761pt" to="46.639999pt,2.923761pt" stroked="true" strokeweight=".5pt" strokecolor="#000000">
            <v:stroke dashstyle="solid"/>
            <w10:wrap type="none"/>
          </v:line>
        </w:pict>
      </w:r>
      <w:r>
        <w:rPr>
          <w:position w:val="3"/>
          <w:sz w:val="12"/>
        </w:rPr>
        <w:t>7</w:t>
        <w:tab/>
      </w:r>
      <w:r>
        <w:rPr>
          <w:sz w:val="12"/>
        </w:rPr>
        <w:t>Retail sales growth </w:t>
      </w:r>
      <w:r>
        <w:rPr>
          <w:spacing w:val="-6"/>
          <w:sz w:val="12"/>
        </w:rPr>
        <w:t>(a) </w:t>
      </w:r>
      <w:r>
        <w:rPr>
          <w:sz w:val="12"/>
        </w:rPr>
        <w:t>(left-hand scale)</w:t>
      </w:r>
    </w:p>
    <w:p>
      <w:pPr>
        <w:spacing w:line="117" w:lineRule="exact" w:before="0"/>
        <w:ind w:left="216" w:right="0" w:firstLine="0"/>
        <w:jc w:val="left"/>
        <w:rPr>
          <w:sz w:val="12"/>
        </w:rPr>
      </w:pPr>
      <w:r>
        <w:rPr>
          <w:sz w:val="12"/>
        </w:rPr>
        <w:t>6</w:t>
      </w:r>
    </w:p>
    <w:p>
      <w:pPr>
        <w:pStyle w:val="BodyText"/>
        <w:spacing w:before="3"/>
        <w:rPr>
          <w:sz w:val="12"/>
        </w:rPr>
      </w:pPr>
    </w:p>
    <w:p>
      <w:pPr>
        <w:spacing w:before="1"/>
        <w:ind w:left="216" w:right="0" w:firstLine="0"/>
        <w:jc w:val="left"/>
        <w:rPr>
          <w:sz w:val="12"/>
        </w:rPr>
      </w:pPr>
      <w:r>
        <w:rPr>
          <w:sz w:val="12"/>
        </w:rPr>
        <w:t>5</w:t>
      </w:r>
    </w:p>
    <w:p>
      <w:pPr>
        <w:pStyle w:val="BodyText"/>
        <w:spacing w:before="3"/>
        <w:rPr>
          <w:sz w:val="12"/>
        </w:rPr>
      </w:pPr>
    </w:p>
    <w:p>
      <w:pPr>
        <w:spacing w:before="1"/>
        <w:ind w:left="216" w:right="0" w:firstLine="0"/>
        <w:jc w:val="left"/>
        <w:rPr>
          <w:sz w:val="12"/>
        </w:rPr>
      </w:pPr>
      <w:r>
        <w:rPr>
          <w:sz w:val="12"/>
        </w:rPr>
        <w:t>4</w:t>
      </w:r>
    </w:p>
    <w:p>
      <w:pPr>
        <w:pStyle w:val="BodyText"/>
        <w:spacing w:before="3"/>
        <w:rPr>
          <w:sz w:val="12"/>
        </w:rPr>
      </w:pPr>
    </w:p>
    <w:p>
      <w:pPr>
        <w:spacing w:before="1"/>
        <w:ind w:left="216" w:right="0" w:firstLine="0"/>
        <w:jc w:val="left"/>
        <w:rPr>
          <w:sz w:val="12"/>
        </w:rPr>
      </w:pPr>
      <w:r>
        <w:rPr>
          <w:sz w:val="12"/>
        </w:rPr>
        <w:t>3</w:t>
      </w:r>
    </w:p>
    <w:p>
      <w:pPr>
        <w:pStyle w:val="BodyText"/>
        <w:spacing w:before="6"/>
        <w:rPr>
          <w:sz w:val="10"/>
        </w:rPr>
      </w:pPr>
    </w:p>
    <w:p>
      <w:pPr>
        <w:spacing w:before="1"/>
        <w:ind w:left="216" w:right="0" w:firstLine="0"/>
        <w:jc w:val="left"/>
        <w:rPr>
          <w:sz w:val="12"/>
        </w:rPr>
      </w:pPr>
      <w:r>
        <w:rPr>
          <w:sz w:val="12"/>
        </w:rPr>
        <w:t>2</w:t>
      </w:r>
    </w:p>
    <w:p>
      <w:pPr>
        <w:pStyle w:val="BodyText"/>
        <w:spacing w:before="3"/>
        <w:rPr>
          <w:sz w:val="12"/>
        </w:rPr>
      </w:pPr>
    </w:p>
    <w:p>
      <w:pPr>
        <w:spacing w:line="114" w:lineRule="exact" w:before="1"/>
        <w:ind w:left="216" w:right="0" w:firstLine="0"/>
        <w:jc w:val="left"/>
        <w:rPr>
          <w:sz w:val="12"/>
        </w:rPr>
      </w:pPr>
      <w:r>
        <w:rPr>
          <w:sz w:val="12"/>
        </w:rPr>
        <w:t>1</w:t>
      </w:r>
    </w:p>
    <w:p>
      <w:pPr>
        <w:spacing w:line="160" w:lineRule="exact" w:before="0"/>
        <w:ind w:left="262" w:right="0" w:firstLine="0"/>
        <w:jc w:val="left"/>
        <w:rPr>
          <w:sz w:val="16"/>
        </w:rPr>
      </w:pPr>
      <w:r>
        <w:rPr>
          <w:sz w:val="16"/>
        </w:rPr>
        <w:t>+</w:t>
      </w:r>
    </w:p>
    <w:p>
      <w:pPr>
        <w:spacing w:before="6"/>
        <w:ind w:left="216" w:right="0" w:firstLine="0"/>
        <w:jc w:val="left"/>
        <w:rPr>
          <w:sz w:val="16"/>
        </w:rPr>
      </w:pPr>
      <w:r>
        <w:rPr>
          <w:sz w:val="12"/>
        </w:rPr>
        <w:t>0</w:t>
      </w:r>
      <w:r>
        <w:rPr>
          <w:position w:val="-8"/>
          <w:sz w:val="16"/>
        </w:rPr>
        <w:t>_</w:t>
      </w:r>
    </w:p>
    <w:p>
      <w:pPr>
        <w:spacing w:before="24"/>
        <w:ind w:left="216" w:right="0" w:firstLine="0"/>
        <w:jc w:val="left"/>
        <w:rPr>
          <w:sz w:val="12"/>
        </w:rPr>
      </w:pPr>
      <w:r>
        <w:rPr/>
        <w:pict>
          <v:line style="position:absolute;mso-position-horizontal-relative:page;mso-position-vertical-relative:paragraph;z-index:-20246016" from="51.639999pt,5.634972pt" to="46.639999pt,5.634972pt" stroked="true" strokeweight=".5pt" strokecolor="#000000">
            <v:stroke dashstyle="solid"/>
            <w10:wrap type="none"/>
          </v:line>
        </w:pict>
      </w:r>
      <w:r>
        <w:rPr>
          <w:sz w:val="12"/>
        </w:rPr>
        <w:t>1</w:t>
      </w:r>
    </w:p>
    <w:p>
      <w:pPr>
        <w:pStyle w:val="BodyText"/>
        <w:spacing w:before="4"/>
        <w:rPr>
          <w:sz w:val="12"/>
        </w:rPr>
      </w:pPr>
    </w:p>
    <w:p>
      <w:pPr>
        <w:spacing w:before="0"/>
        <w:ind w:left="216" w:right="0" w:firstLine="0"/>
        <w:jc w:val="left"/>
        <w:rPr>
          <w:sz w:val="12"/>
        </w:rPr>
      </w:pPr>
      <w:r>
        <w:rPr/>
        <w:pict>
          <v:line style="position:absolute;mso-position-horizontal-relative:page;mso-position-vertical-relative:paragraph;z-index:-20245504" from="51.639999pt,4.435155pt" to="46.639999pt,4.435155pt" stroked="true" strokeweight=".5pt" strokecolor="#000000">
            <v:stroke dashstyle="solid"/>
            <w10:wrap type="none"/>
          </v:line>
        </w:pict>
      </w:r>
      <w:r>
        <w:rPr>
          <w:sz w:val="12"/>
        </w:rPr>
        <w:t>2</w:t>
      </w:r>
    </w:p>
    <w:p>
      <w:pPr>
        <w:tabs>
          <w:tab w:pos="1709" w:val="right" w:leader="none"/>
        </w:tabs>
        <w:spacing w:line="159" w:lineRule="exact" w:before="137"/>
        <w:ind w:left="216" w:right="0" w:firstLine="0"/>
        <w:jc w:val="left"/>
        <w:rPr>
          <w:sz w:val="12"/>
        </w:rPr>
      </w:pPr>
      <w:r>
        <w:rPr/>
        <w:br w:type="column"/>
      </w:r>
      <w:r>
        <w:rPr>
          <w:sz w:val="12"/>
        </w:rPr>
        <w:t>Consumer</w:t>
        <w:tab/>
      </w:r>
      <w:r>
        <w:rPr>
          <w:position w:val="3"/>
          <w:sz w:val="12"/>
        </w:rPr>
        <w:t>30</w:t>
      </w:r>
    </w:p>
    <w:p>
      <w:pPr>
        <w:spacing w:line="115" w:lineRule="exact" w:before="0"/>
        <w:ind w:left="276" w:right="0" w:firstLine="0"/>
        <w:jc w:val="left"/>
        <w:rPr>
          <w:sz w:val="12"/>
        </w:rPr>
      </w:pPr>
      <w:r>
        <w:rPr>
          <w:sz w:val="12"/>
        </w:rPr>
        <w:t>confidence:</w:t>
      </w:r>
    </w:p>
    <w:p>
      <w:pPr>
        <w:tabs>
          <w:tab w:pos="1709" w:val="right" w:leader="none"/>
        </w:tabs>
        <w:spacing w:line="125" w:lineRule="exact" w:before="0"/>
        <w:ind w:left="276" w:right="0" w:firstLine="0"/>
        <w:jc w:val="left"/>
        <w:rPr>
          <w:sz w:val="12"/>
        </w:rPr>
      </w:pPr>
      <w:r>
        <w:rPr>
          <w:sz w:val="12"/>
        </w:rPr>
        <w:t>MORI (b)</w:t>
        <w:tab/>
      </w:r>
      <w:r>
        <w:rPr>
          <w:position w:val="1"/>
          <w:sz w:val="12"/>
        </w:rPr>
        <w:t>20</w:t>
      </w:r>
    </w:p>
    <w:p>
      <w:pPr>
        <w:spacing w:line="129" w:lineRule="exact" w:before="0"/>
        <w:ind w:left="276" w:right="0" w:firstLine="0"/>
        <w:jc w:val="left"/>
        <w:rPr>
          <w:sz w:val="12"/>
        </w:rPr>
      </w:pPr>
      <w:r>
        <w:rPr>
          <w:sz w:val="12"/>
        </w:rPr>
        <w:t>(right-hand scale)</w:t>
      </w:r>
    </w:p>
    <w:p>
      <w:pPr>
        <w:spacing w:line="130" w:lineRule="exact" w:before="9"/>
        <w:ind w:left="1589" w:right="0" w:firstLine="0"/>
        <w:jc w:val="left"/>
        <w:rPr>
          <w:sz w:val="12"/>
        </w:rPr>
      </w:pPr>
      <w:r>
        <w:rPr>
          <w:sz w:val="12"/>
        </w:rPr>
        <w:t>10</w:t>
      </w:r>
    </w:p>
    <w:p>
      <w:pPr>
        <w:spacing w:line="163" w:lineRule="exact" w:before="0"/>
        <w:ind w:left="1536" w:right="0" w:firstLine="0"/>
        <w:jc w:val="left"/>
        <w:rPr>
          <w:sz w:val="16"/>
        </w:rPr>
      </w:pPr>
      <w:r>
        <w:rPr>
          <w:sz w:val="16"/>
        </w:rPr>
        <w:t>+</w:t>
      </w:r>
    </w:p>
    <w:p>
      <w:pPr>
        <w:spacing w:line="97" w:lineRule="exact" w:before="0"/>
        <w:ind w:left="1649" w:right="0" w:firstLine="0"/>
        <w:jc w:val="left"/>
        <w:rPr>
          <w:sz w:val="12"/>
        </w:rPr>
      </w:pPr>
      <w:r>
        <w:rPr>
          <w:sz w:val="12"/>
        </w:rPr>
        <w:t>0</w:t>
      </w:r>
    </w:p>
    <w:p>
      <w:pPr>
        <w:spacing w:line="156" w:lineRule="exact" w:before="0"/>
        <w:ind w:left="1536" w:right="0" w:firstLine="0"/>
        <w:jc w:val="left"/>
        <w:rPr>
          <w:sz w:val="16"/>
        </w:rPr>
      </w:pPr>
      <w:r>
        <w:rPr>
          <w:sz w:val="16"/>
        </w:rPr>
        <w:t>_</w:t>
      </w:r>
    </w:p>
    <w:p>
      <w:pPr>
        <w:spacing w:before="13"/>
        <w:ind w:left="0" w:right="38" w:firstLine="0"/>
        <w:jc w:val="right"/>
        <w:rPr>
          <w:sz w:val="12"/>
        </w:rPr>
      </w:pPr>
      <w:r>
        <w:rPr>
          <w:sz w:val="12"/>
        </w:rPr>
        <w:t>10</w:t>
      </w:r>
    </w:p>
    <w:p>
      <w:pPr>
        <w:pStyle w:val="BodyText"/>
        <w:spacing w:before="7"/>
        <w:rPr>
          <w:sz w:val="10"/>
        </w:rPr>
      </w:pPr>
    </w:p>
    <w:p>
      <w:pPr>
        <w:spacing w:before="0"/>
        <w:ind w:left="0" w:right="38" w:firstLine="0"/>
        <w:jc w:val="right"/>
        <w:rPr>
          <w:sz w:val="12"/>
        </w:rPr>
      </w:pPr>
      <w:r>
        <w:rPr>
          <w:sz w:val="12"/>
        </w:rPr>
        <w:t>20</w:t>
      </w:r>
    </w:p>
    <w:p>
      <w:pPr>
        <w:pStyle w:val="BodyText"/>
        <w:spacing w:before="4"/>
        <w:rPr>
          <w:sz w:val="12"/>
        </w:rPr>
      </w:pPr>
    </w:p>
    <w:p>
      <w:pPr>
        <w:spacing w:before="0"/>
        <w:ind w:left="0" w:right="38" w:firstLine="0"/>
        <w:jc w:val="right"/>
        <w:rPr>
          <w:sz w:val="12"/>
        </w:rPr>
      </w:pPr>
      <w:r>
        <w:rPr>
          <w:sz w:val="12"/>
        </w:rPr>
        <w:t>30</w:t>
      </w:r>
    </w:p>
    <w:p>
      <w:pPr>
        <w:pStyle w:val="BodyText"/>
        <w:spacing w:before="4"/>
        <w:rPr>
          <w:sz w:val="12"/>
        </w:rPr>
      </w:pPr>
    </w:p>
    <w:p>
      <w:pPr>
        <w:spacing w:before="0"/>
        <w:ind w:left="0" w:right="38" w:firstLine="0"/>
        <w:jc w:val="right"/>
        <w:rPr>
          <w:sz w:val="12"/>
        </w:rPr>
      </w:pPr>
      <w:r>
        <w:rPr>
          <w:sz w:val="12"/>
        </w:rPr>
        <w:t>40</w:t>
      </w:r>
    </w:p>
    <w:p>
      <w:pPr>
        <w:pStyle w:val="BodyText"/>
        <w:spacing w:before="3"/>
        <w:rPr>
          <w:sz w:val="10"/>
        </w:rPr>
      </w:pPr>
    </w:p>
    <w:p>
      <w:pPr>
        <w:tabs>
          <w:tab w:pos="1589" w:val="left" w:leader="none"/>
        </w:tabs>
        <w:spacing w:line="159" w:lineRule="exact" w:before="1"/>
        <w:ind w:left="369" w:right="0" w:firstLine="0"/>
        <w:jc w:val="left"/>
        <w:rPr>
          <w:sz w:val="12"/>
        </w:rPr>
      </w:pPr>
      <w:r>
        <w:rPr>
          <w:sz w:val="12"/>
        </w:rPr>
        <w:t>Consumer</w:t>
        <w:tab/>
      </w:r>
      <w:r>
        <w:rPr>
          <w:position w:val="3"/>
          <w:sz w:val="12"/>
        </w:rPr>
        <w:t>50</w:t>
      </w:r>
    </w:p>
    <w:p>
      <w:pPr>
        <w:spacing w:line="122" w:lineRule="exact" w:before="0"/>
        <w:ind w:left="429" w:right="0" w:firstLine="0"/>
        <w:jc w:val="left"/>
        <w:rPr>
          <w:sz w:val="12"/>
        </w:rPr>
      </w:pPr>
      <w:r>
        <w:rPr>
          <w:sz w:val="12"/>
        </w:rPr>
        <w:t>confidence:</w:t>
      </w:r>
    </w:p>
    <w:p>
      <w:pPr>
        <w:tabs>
          <w:tab w:pos="1589" w:val="left" w:leader="none"/>
        </w:tabs>
        <w:spacing w:line="125" w:lineRule="exact" w:before="0"/>
        <w:ind w:left="429" w:right="0" w:firstLine="0"/>
        <w:jc w:val="left"/>
        <w:rPr>
          <w:sz w:val="12"/>
        </w:rPr>
      </w:pPr>
      <w:r>
        <w:rPr>
          <w:position w:val="1"/>
          <w:sz w:val="12"/>
        </w:rPr>
        <w:t>GFK (c)</w:t>
        <w:tab/>
      </w:r>
      <w:r>
        <w:rPr>
          <w:sz w:val="12"/>
        </w:rPr>
        <w:t>60</w:t>
      </w:r>
    </w:p>
    <w:p>
      <w:pPr>
        <w:spacing w:line="84" w:lineRule="exact" w:before="0"/>
        <w:ind w:left="429" w:right="0" w:firstLine="0"/>
        <w:jc w:val="left"/>
        <w:rPr>
          <w:sz w:val="12"/>
        </w:rPr>
      </w:pPr>
      <w:r>
        <w:rPr>
          <w:sz w:val="12"/>
        </w:rPr>
        <w:t>(right-hand scale)</w:t>
      </w:r>
    </w:p>
    <w:p>
      <w:pPr>
        <w:pStyle w:val="Heading5"/>
        <w:spacing w:line="242" w:lineRule="auto"/>
        <w:ind w:left="216" w:right="173"/>
      </w:pPr>
      <w:r>
        <w:rPr/>
        <w:br w:type="column"/>
      </w:r>
      <w:r>
        <w:rPr>
          <w:color w:val="231F20"/>
        </w:rPr>
        <w:t>during the forecast period. But there is a downside risk arising from uncertainties, particularly over events in Asia.</w:t>
      </w:r>
    </w:p>
    <w:p>
      <w:pPr>
        <w:pStyle w:val="BodyText"/>
        <w:spacing w:before="9"/>
        <w:rPr>
          <w:sz w:val="23"/>
        </w:rPr>
      </w:pPr>
    </w:p>
    <w:p>
      <w:pPr>
        <w:spacing w:line="242" w:lineRule="auto" w:before="0"/>
        <w:ind w:left="216" w:right="173" w:firstLine="0"/>
        <w:jc w:val="left"/>
        <w:rPr>
          <w:sz w:val="24"/>
        </w:rPr>
      </w:pPr>
      <w:r>
        <w:rPr>
          <w:color w:val="231F20"/>
          <w:sz w:val="24"/>
        </w:rPr>
        <w:t>Data from the Halifax and Nationwide give differing pictures of recent developments in house prices. The Halifax index rose by 0.6% in January, and the annual rate of house price inflation rose to 5.8%. But the Nationwide index rose by 1.2% in January, to an annual rate of 13.1%. The Bank has developed an alternative</w:t>
      </w:r>
    </w:p>
    <w:p>
      <w:pPr>
        <w:spacing w:after="0" w:line="242" w:lineRule="auto"/>
        <w:jc w:val="left"/>
        <w:rPr>
          <w:sz w:val="24"/>
        </w:rPr>
        <w:sectPr>
          <w:type w:val="continuous"/>
          <w:pgSz w:w="11880" w:h="16840"/>
          <w:pgMar w:top="1200" w:bottom="280" w:left="620" w:right="620"/>
          <w:cols w:num="3" w:equalWidth="0">
            <w:col w:w="2106" w:space="47"/>
            <w:col w:w="1750" w:space="881"/>
            <w:col w:w="5856"/>
          </w:cols>
        </w:sectPr>
      </w:pPr>
    </w:p>
    <w:p>
      <w:pPr>
        <w:tabs>
          <w:tab w:pos="522" w:val="left" w:leader="none"/>
        </w:tabs>
        <w:spacing w:line="193" w:lineRule="exact" w:before="86"/>
        <w:ind w:left="216" w:right="0" w:firstLine="0"/>
        <w:jc w:val="left"/>
        <w:rPr>
          <w:sz w:val="12"/>
        </w:rPr>
      </w:pPr>
      <w:r>
        <w:rPr/>
        <w:pict>
          <v:line style="position:absolute;mso-position-horizontal-relative:page;mso-position-vertical-relative:paragraph;z-index:-20244992" from="51.639999pt,7.734575pt" to="46.639999pt,7.734575pt" stroked="true" strokeweight=".5pt" strokecolor="#000000">
            <v:stroke dashstyle="solid"/>
            <w10:wrap type="none"/>
          </v:line>
        </w:pict>
      </w:r>
      <w:r>
        <w:rPr/>
        <w:pict>
          <v:shape style="position:absolute;margin-left:55.639999pt;margin-top:3.734575pt;width:151pt;height:4pt;mso-position-horizontal-relative:page;mso-position-vertical-relative:paragraph;z-index:-20241920" coordorigin="1113,75" coordsize="3020,80" path="m1113,155l4133,155m1113,155l1113,115m1393,155l1393,115m1673,155l1673,115m1933,155l1933,115m2213,155l2213,115m2493,155l2493,115m2773,155l2773,115m3033,155l3033,115m3313,155l3313,115m3593,155l3593,115m3873,155l3873,115m1933,155l1933,75m3313,155l3313,75m1113,155l4133,155m1113,155l1113,115m1393,155l1393,115m1673,155l1673,115m1933,155l1933,115m2213,155l2213,115m2493,155l2493,115m2773,155l2773,115m3033,155l3033,115m3313,155l3313,115m3593,155l3593,115m3873,155l3873,115m1933,155l1933,75m3313,155l3313,75e" filled="false" stroked="true" strokeweight=".5pt" strokecolor="#000000">
            <v:path arrowok="t"/>
            <v:stroke dashstyle="solid"/>
            <w10:wrap type="none"/>
          </v:shape>
        </w:pict>
      </w:r>
      <w:r>
        <w:rPr>
          <w:position w:val="8"/>
          <w:sz w:val="12"/>
        </w:rPr>
        <w:t>3</w:t>
        <w:tab/>
      </w:r>
      <w:r>
        <w:rPr>
          <w:sz w:val="12"/>
        </w:rPr>
        <w:t>1987</w:t>
      </w:r>
      <w:r>
        <w:rPr>
          <w:spacing w:val="17"/>
          <w:sz w:val="12"/>
        </w:rPr>
        <w:t> </w:t>
      </w:r>
      <w:r>
        <w:rPr>
          <w:spacing w:val="-10"/>
          <w:sz w:val="12"/>
        </w:rPr>
        <w:t>88</w:t>
      </w:r>
    </w:p>
    <w:p>
      <w:pPr>
        <w:spacing w:line="116" w:lineRule="exact" w:before="73"/>
        <w:ind w:left="2713" w:right="0" w:firstLine="0"/>
        <w:jc w:val="left"/>
        <w:rPr>
          <w:sz w:val="12"/>
        </w:rPr>
      </w:pPr>
      <w:r>
        <w:rPr/>
        <w:br w:type="column"/>
      </w:r>
      <w:r>
        <w:rPr>
          <w:sz w:val="12"/>
        </w:rPr>
        <w:t>70</w:t>
      </w:r>
    </w:p>
    <w:p>
      <w:pPr>
        <w:spacing w:line="91" w:lineRule="exact" w:before="0"/>
        <w:ind w:left="73" w:right="0" w:firstLine="0"/>
        <w:jc w:val="left"/>
        <w:rPr>
          <w:sz w:val="12"/>
        </w:rPr>
      </w:pPr>
      <w:r>
        <w:rPr/>
        <w:pict>
          <v:line style="position:absolute;mso-position-horizontal-relative:page;mso-position-vertical-relative:paragraph;z-index:15846912" from="210.639999pt,-1.681437pt" to="215.639999pt,-1.681437pt" stroked="true" strokeweight=".5pt" strokecolor="#000000">
            <v:stroke dashstyle="solid"/>
            <w10:wrap type="none"/>
          </v:line>
        </w:pict>
      </w:r>
      <w:r>
        <w:rPr>
          <w:sz w:val="12"/>
        </w:rPr>
        <w:t>89 90 91 92 93 94 95 96 97</w:t>
      </w:r>
    </w:p>
    <w:p>
      <w:pPr>
        <w:pStyle w:val="Heading5"/>
        <w:spacing w:line="266" w:lineRule="exact"/>
        <w:ind w:left="216"/>
      </w:pPr>
      <w:r>
        <w:rPr/>
        <w:br w:type="column"/>
      </w:r>
      <w:r>
        <w:rPr>
          <w:color w:val="231F20"/>
        </w:rPr>
        <w:t>house price index, which is discussed in the box on</w:t>
      </w:r>
    </w:p>
    <w:p>
      <w:pPr>
        <w:spacing w:after="0" w:line="266" w:lineRule="exact"/>
        <w:sectPr>
          <w:type w:val="continuous"/>
          <w:pgSz w:w="11880" w:h="16840"/>
          <w:pgMar w:top="1200" w:bottom="280" w:left="620" w:right="620"/>
          <w:cols w:num="3" w:equalWidth="0">
            <w:col w:w="990" w:space="40"/>
            <w:col w:w="2874" w:space="880"/>
            <w:col w:w="5856"/>
          </w:cols>
        </w:sectPr>
      </w:pPr>
    </w:p>
    <w:p>
      <w:pPr>
        <w:pStyle w:val="BodyText"/>
        <w:spacing w:before="6"/>
        <w:rPr>
          <w:sz w:val="14"/>
        </w:rPr>
      </w:pPr>
    </w:p>
    <w:p>
      <w:pPr>
        <w:spacing w:before="1"/>
        <w:ind w:left="208" w:right="0" w:firstLine="0"/>
        <w:jc w:val="left"/>
        <w:rPr>
          <w:sz w:val="12"/>
        </w:rPr>
      </w:pPr>
      <w:r>
        <w:rPr>
          <w:color w:val="231F20"/>
          <w:sz w:val="12"/>
        </w:rPr>
        <w:t>Sources: ONS, MORI and GFK.</w:t>
      </w:r>
    </w:p>
    <w:p>
      <w:pPr>
        <w:pStyle w:val="ListParagraph"/>
        <w:numPr>
          <w:ilvl w:val="0"/>
          <w:numId w:val="14"/>
        </w:numPr>
        <w:tabs>
          <w:tab w:pos="449" w:val="left" w:leader="none"/>
        </w:tabs>
        <w:spacing w:line="129" w:lineRule="exact" w:before="102" w:after="0"/>
        <w:ind w:left="448" w:right="0" w:hanging="241"/>
        <w:jc w:val="left"/>
        <w:rPr>
          <w:sz w:val="12"/>
        </w:rPr>
      </w:pPr>
      <w:r>
        <w:rPr>
          <w:color w:val="231F20"/>
          <w:sz w:val="12"/>
        </w:rPr>
        <w:t>Latest three months on the same three months a year earlier.</w:t>
      </w:r>
    </w:p>
    <w:p>
      <w:pPr>
        <w:pStyle w:val="ListParagraph"/>
        <w:numPr>
          <w:ilvl w:val="0"/>
          <w:numId w:val="14"/>
        </w:numPr>
        <w:tabs>
          <w:tab w:pos="449" w:val="left" w:leader="none"/>
        </w:tabs>
        <w:spacing w:line="208" w:lineRule="auto" w:before="5" w:after="0"/>
        <w:ind w:left="448" w:right="274" w:hanging="240"/>
        <w:jc w:val="left"/>
        <w:rPr>
          <w:sz w:val="12"/>
        </w:rPr>
      </w:pPr>
      <w:r>
        <w:rPr>
          <w:color w:val="231F20"/>
          <w:sz w:val="12"/>
        </w:rPr>
        <w:t>Question: Do you think the general economic situation in this </w:t>
      </w:r>
      <w:r>
        <w:rPr>
          <w:color w:val="231F20"/>
          <w:spacing w:val="-3"/>
          <w:sz w:val="12"/>
        </w:rPr>
        <w:t>country </w:t>
      </w:r>
      <w:r>
        <w:rPr>
          <w:color w:val="231F20"/>
          <w:sz w:val="12"/>
        </w:rPr>
        <w:t>will improve over the next twelve months?</w:t>
      </w:r>
    </w:p>
    <w:p>
      <w:pPr>
        <w:pStyle w:val="ListParagraph"/>
        <w:numPr>
          <w:ilvl w:val="0"/>
          <w:numId w:val="14"/>
        </w:numPr>
        <w:tabs>
          <w:tab w:pos="449" w:val="left" w:leader="none"/>
        </w:tabs>
        <w:spacing w:line="208" w:lineRule="auto" w:before="0" w:after="0"/>
        <w:ind w:left="448" w:right="38" w:hanging="240"/>
        <w:jc w:val="left"/>
        <w:rPr>
          <w:sz w:val="12"/>
        </w:rPr>
      </w:pPr>
      <w:r>
        <w:rPr>
          <w:color w:val="231F20"/>
          <w:sz w:val="12"/>
        </w:rPr>
        <w:t>Question: How do you think the general economic situation in this </w:t>
      </w:r>
      <w:r>
        <w:rPr>
          <w:color w:val="231F20"/>
          <w:spacing w:val="-3"/>
          <w:sz w:val="12"/>
        </w:rPr>
        <w:t>country </w:t>
      </w:r>
      <w:r>
        <w:rPr>
          <w:color w:val="231F20"/>
          <w:sz w:val="12"/>
        </w:rPr>
        <w:t>has changed over the last twelve months? Weighted average of answers.</w:t>
      </w:r>
    </w:p>
    <w:p>
      <w:pPr>
        <w:pStyle w:val="BodyText"/>
        <w:rPr>
          <w:sz w:val="12"/>
        </w:rPr>
      </w:pPr>
    </w:p>
    <w:p>
      <w:pPr>
        <w:pStyle w:val="BodyText"/>
        <w:rPr>
          <w:sz w:val="10"/>
        </w:rPr>
      </w:pPr>
    </w:p>
    <w:p>
      <w:pPr>
        <w:pStyle w:val="Heading9"/>
        <w:spacing w:before="0"/>
        <w:ind w:left="197"/>
      </w:pPr>
      <w:r>
        <w:rPr>
          <w:color w:val="0093C1"/>
        </w:rPr>
        <w:t>Chart 2.7</w:t>
      </w:r>
    </w:p>
    <w:p>
      <w:pPr>
        <w:spacing w:before="10"/>
        <w:ind w:left="197" w:right="0" w:firstLine="0"/>
        <w:jc w:val="left"/>
        <w:rPr>
          <w:b/>
          <w:sz w:val="20"/>
        </w:rPr>
      </w:pPr>
      <w:r>
        <w:rPr>
          <w:b/>
          <w:color w:val="0093C1"/>
          <w:sz w:val="20"/>
        </w:rPr>
        <w:t>FT All-share index</w:t>
      </w:r>
    </w:p>
    <w:p>
      <w:pPr>
        <w:spacing w:before="116"/>
        <w:ind w:left="0" w:right="183" w:firstLine="0"/>
        <w:jc w:val="right"/>
        <w:rPr>
          <w:sz w:val="12"/>
        </w:rPr>
      </w:pPr>
      <w:r>
        <w:rPr/>
        <w:pict>
          <v:group style="position:absolute;margin-left:43.599998pt;margin-top:13.401576pt;width:168pt;height:150.75pt;mso-position-horizontal-relative:page;mso-position-vertical-relative:paragraph;z-index:-20248576" coordorigin="872,268" coordsize="3360,3015">
            <v:line style="position:absolute" from="972,2778" to="872,2778" stroked="true" strokeweight=".5pt" strokecolor="#000000">
              <v:stroke dashstyle="solid"/>
            </v:line>
            <v:shape style="position:absolute;left:1032;top:278;width:3020;height:2900" coordorigin="1032,278" coordsize="3020,2900" path="m1032,2578l1052,2598,1052,2518,1052,2598,1072,2558,1072,2418,1072,2438,1072,2418,1092,2418,1092,2478,1092,2378,1112,2398,1112,2478,1112,2458,1112,2538,1132,2558,1132,2478,1132,2558,1152,2578,1152,2658,1152,2598,1152,2678,1172,2678,1172,2618,1172,2738,1192,2698,1192,2658,1192,2698,1192,2678,1192,2798,1212,2838,1212,2878,1232,2858,1232,2838,1232,2858,1232,2798,1232,2818,1252,2838,1252,2778,1252,2858,1252,2818,1272,2858,1272,2818,1272,2858,1292,2878,1292,2838,1312,2858m1312,2838l1312,2898,1332,2958,1332,3078,1332,3018,1352,2998,1352,2958,1352,2978,1352,2958,1352,2978,1372,2978,1372,3098,1372,3078,1392,3098,1392,3178,1392,3098,1392,3118,1412,3118,1412,3078,1412,3098,1412,3058,1432,3078,1432,2918,1452,2898,1452,2918,1452,2898,1452,2918,1452,2898,1472,2838,1472,2818,1492,2818,1492,2838,1492,2798,1512,2798,1512,2818,1512,2718,1532,2718,1532,2758,1532,2738,1532,2758,1552,2798,1552,2918,1552,2878,1552,2938,1552,2918,1572,2978,1572,2998,1572,2978,1572,3018,1572,2978,1592,3038,1592,2998,1592,3058,1592,3038,1592,3098,1592,3058,1612,3058,1612,2898,1612,2918,1632,2958,1632,3038,1652,3018,1652,2938,1652,2958,1652,2938,1672,2938,1672,2978,1672,2938,1672,2958,1672,2898,1692,2878,1692,3018,1692,2998,1712,3018,1712,2958,1712,3038,1712,3018,1732,3038,1732,3118,1752,3078,1752,2958,1772,2978,1772,2958,1772,3018,1772,2978m1772,2978l1792,2998,1792,3018,1792,2978,1812,2998,1812,3118,1812,3078,1832,3058,1832,3078,1832,3018,1852,3018,1852,2958,1852,2978,1872,2978,1872,3058,1872,3038,1872,3058,1892,3018,1892,3078,1892,3038,1892,3078,1912,3118,1912,3038,1932,2998,1932,2938,1932,2958,1952,2938,1952,2958,1952,2898,1952,2938,1972,2878,1972,2858,1972,2878,1972,2858,1992,2858,1992,2898,1992,2858,2012,2858,2012,2778,2032,2798,2032,2718,2052,2738,2052,2778,2052,2698,2072,2698,2072,2718,2072,2638,2092,2638,2092,2678,2112,2658,2112,2638,2112,2658,2112,2618,2112,2638,2132,2718,2132,2758,2132,2698,2152,2638,2152,2558,2172,2578,2172,2558,2172,2598,2172,2558m2192,2558l2192,2518,2192,2538,2212,2478,2212,2518,2212,2498,2232,2498,2232,2538,2232,2438,2252,2458,2252,2438,2252,2478,2272,2458,2272,2398,2272,2418,2272,2398,2292,2418,2292,2378,2292,2418,2292,2398,2312,2398,2312,2458,2312,2438,2312,2478,2332,2458,2332,2398,2332,2498,2352,2478,2352,2398,2352,2418,2352,2378,2352,2398,2372,2418,2372,2478,2372,2458,2392,2458,2392,2478,2392,2458,2412,2438,2412,2458,2412,2358,2432,2358,2432,2338,2432,2358,2432,2338,2432,2378,2432,2318,2452,2318,2452,2298,2452,2318,2472,2338,2472,2318,2472,2338,2472,2298,2472,2338,2492,2378,2492,2398,2492,2298,2512,2278,2512,2218,2532,2238,2532,2298,2532,2238,2532,2258,2552,2198,2552,2218,2552,2198,2572,2198,2572,2158,2572,2178,2592,2198,2592,2218,2592,2198m2592,2198l2592,2138,2612,2138,2612,2198,2612,2178,2612,2218,2632,2198,2632,2118,2632,2138,2652,2138,2652,2258,2652,2218,2672,2238,2672,2178,2672,2218,2692,2198,2692,2098,2712,2098,2712,2118,2712,2018,2732,2038,2732,1978,2732,1998,2752,1978,2752,2078,2772,2098,2772,2058,2772,2078,2772,2038,2792,2058,2792,2018,2792,2038,2792,2018,2792,2078,2792,2058,2812,2038,2812,2078,2812,2058,2812,2078,2812,2058,2832,2118,2832,2058,2832,2078,2852,2058,2852,2158,2872,2158,2872,2178,2872,2118,2872,2138,2872,2098,2892,2098,2892,2118,2892,2098,2892,2258,2912,2238,2912,2178,2912,2218,2912,2178,2912,2238,2932,2218,2932,2118,2952,2098,2952,2058,2972,2038,2972,1998,2972,2018,2972,1978,2972,1998,2992,1978,2992,1938m2992,1938l2992,1998,2992,1978,3012,2018,3012,1938,3012,1958,3012,1918,3032,1898,3032,1878,3032,1898,3052,1958,3052,1878,3072,1858,3072,1838,3072,1878,3092,1838,3092,1818,3092,1838,3092,1798,3112,1818,3112,1858,3112,1838,3112,1878,3132,1898,3132,1958,3132,1938,3132,1958,3152,1958,3152,1898,3172,1918,3172,1818,3172,1838,3192,1838,3192,1818,3192,1838,3192,1818,3192,1838,3192,1818,3192,1918,3212,1878,3212,1838,3212,1918,3212,1898,3212,1918,3232,1858,3232,1778,3252,1758,3252,1738,3252,1818,3252,1738,3252,1778,3252,1758,3272,1798,3272,1618,3272,1638,3292,1638,3292,1558,3292,1618,3292,1598,3312,1638,3312,1558,3312,1578,3312,1558,3312,1578,3332,1538,3332,1498,3352,1498,3352,1478,3352,1498,3352,1478,3352,1498,3352,1478,3372,1518,3372,1398,3392,1378,3392,1418,3392,1398,3392,1458,3412,1498,3412,1618,3412,1538,3432,1618,3432,1638,3432,1578,3452,1558,3452,1538,3452,1598,3452,1558,3472,1558,3472,1478,3472,1498,3472,1438,3492,1438,3492,1318,3512,1258,3512,1198m3512,1198l3512,1218,3512,1198,3512,1258,3532,1298,3532,1218,3552,1278,3552,1338,3552,1218,3572,1178,3572,1118,3572,1218,3592,1238,3592,1338,3592,1258,3592,1278,3612,1318,3612,1098,3612,1198,3632,1198,3632,978,3652,998,3652,1138,3652,1058,3652,1098,3672,1078,3672,1018,3672,1058,3672,998,3692,938,3692,858,3692,898,3692,838,3692,898,3712,918,3712,1058,3712,918,3712,1018,3732,998,3732,1078,3732,918,3752,898,3752,1038,3772,998,3772,838,3772,858,3772,818,3772,858,3792,818,3792,658,3792,678,3792,578,3812,538,3812,578,3812,558,3812,658,3812,558,3832,578,3832,558,3832,638,3832,618,3832,698,3852,858,3852,1158,3852,1018m3852,1018l3852,1078,3852,1038,3872,978,3872,1118,3872,1078,3892,1178,3892,1038,3892,1058,3912,998,3912,918,3912,1038,3912,998,3912,1058,3932,978,3932,698,3932,718,3952,758,3952,838,3952,698,3972,738,3972,878,3972,838,3972,878,3972,758,3992,758,3992,618,3992,658,3992,638,3992,798,4012,778,4012,598,4032,618,4032,698,4032,478,4052,438,4052,278,4052,298e" filled="false" stroked="true" strokeweight="1pt" strokecolor="#95459a">
              <v:path arrowok="t"/>
              <v:stroke dashstyle="solid"/>
            </v:shape>
            <v:shape style="position:absolute;left:872;top:778;width:3360;height:2500" coordorigin="872,778" coordsize="3360,2500" path="m972,3278l872,3278m1032,3278l4052,3278m1092,3278l1092,3238m1152,3278l1152,3238m1212,3278l1212,3238m1272,3278l1272,3238m1332,3278l1332,3238m1392,3278l1392,3238m1452,3278l1452,3238m1532,3278l1532,3238m1592,3278l1592,3238m1652,3278l1652,3238m1712,3278l1712,3238m1772,3278l1772,3238m1832,3278l1832,3238m1892,3278l1892,3238m1952,3278l1952,3238m2012,3278l2012,3238m2072,3278l2072,3238m2132,3278l2132,3238m2192,3278l2192,3238m2252,3278l2252,3238m2332,3278l2332,3238m2392,3278l2392,3238m2452,3278l2452,3238m2512,3278l2512,3238m2572,3278l2572,3238m2632,3278l2632,3238m2692,3278l2692,3238m2752,3278l2752,3238m2812,3278l2812,3238m2872,3278l2872,3238m2932,3278l2932,3238m2992,3278l2992,3238m3052,3278l3052,3238m3132,3278l3132,3238m3192,3278l3192,3238m3252,3278l3252,3238m3312,3278l3312,3238m3372,3278l3372,3238m3412,3278l3412,3238m3492,3278l3492,3238m3552,3278l3552,3238m3612,3278l3612,3238m3672,3278l3672,3238m3732,3278l3732,3238m3792,3278l3792,3238m3852,3278l3852,3238m3912,3278l3912,3238m3972,3278l3972,3238m4052,3278l4052,3238m1772,3278l1772,3198m2512,3278l2512,3198m3252,3278l3252,3198m3972,3278l3972,3198m4232,2278l4132,2278m4232,2778l4132,2778m4232,3278l4132,3278m4232,1778l4132,1778m4232,1278l4132,1278m4232,778l4132,778e" filled="false" stroked="true" strokeweight=".5pt" strokecolor="#000000">
              <v:path arrowok="t"/>
              <v:stroke dashstyle="solid"/>
            </v:shape>
            <w10:wrap type="none"/>
          </v:group>
        </w:pict>
      </w:r>
      <w:r>
        <w:rPr/>
        <w:pict>
          <v:line style="position:absolute;mso-position-horizontal-relative:page;mso-position-vertical-relative:paragraph;z-index:15843328" from="48.599998pt,13.901576pt" to="43.599998pt,13.901576pt" stroked="true" strokeweight=".5pt" strokecolor="#000000">
            <v:stroke dashstyle="solid"/>
            <w10:wrap type="none"/>
          </v:line>
        </w:pict>
      </w:r>
      <w:r>
        <w:rPr>
          <w:sz w:val="12"/>
        </w:rPr>
        <w:t>Ind</w:t>
      </w:r>
      <w:r>
        <w:rPr>
          <w:sz w:val="12"/>
          <w:u w:val="single"/>
        </w:rPr>
        <w:t>ex</w:t>
      </w:r>
      <w:r>
        <w:rPr>
          <w:spacing w:val="26"/>
          <w:sz w:val="12"/>
        </w:rPr>
        <w:t> </w:t>
      </w:r>
      <w:r>
        <w:rPr>
          <w:position w:val="-7"/>
          <w:sz w:val="12"/>
        </w:rPr>
        <w:t>2,600</w:t>
      </w:r>
    </w:p>
    <w:p>
      <w:pPr>
        <w:pStyle w:val="BodyText"/>
        <w:rPr>
          <w:sz w:val="20"/>
        </w:rPr>
      </w:pPr>
    </w:p>
    <w:p>
      <w:pPr>
        <w:spacing w:before="132"/>
        <w:ind w:left="0" w:right="183" w:firstLine="0"/>
        <w:jc w:val="right"/>
        <w:rPr>
          <w:sz w:val="12"/>
        </w:rPr>
      </w:pPr>
      <w:r>
        <w:rPr/>
        <w:pict>
          <v:line style="position:absolute;mso-position-horizontal-relative:page;mso-position-vertical-relative:paragraph;z-index:15842816" from="48.599998pt,10.701561pt" to="43.599998pt,10.701561pt" stroked="true" strokeweight=".5pt" strokecolor="#000000">
            <v:stroke dashstyle="solid"/>
            <w10:wrap type="none"/>
          </v:line>
        </w:pict>
      </w:r>
      <w:r>
        <w:rPr>
          <w:sz w:val="12"/>
        </w:rPr>
        <w:t>2,400</w:t>
      </w:r>
    </w:p>
    <w:p>
      <w:pPr>
        <w:pStyle w:val="BodyText"/>
        <w:rPr>
          <w:sz w:val="12"/>
        </w:rPr>
      </w:pPr>
    </w:p>
    <w:p>
      <w:pPr>
        <w:pStyle w:val="BodyText"/>
        <w:rPr>
          <w:sz w:val="12"/>
        </w:rPr>
      </w:pPr>
    </w:p>
    <w:p>
      <w:pPr>
        <w:spacing w:before="86"/>
        <w:ind w:left="0" w:right="183" w:firstLine="0"/>
        <w:jc w:val="right"/>
        <w:rPr>
          <w:sz w:val="12"/>
        </w:rPr>
      </w:pPr>
      <w:r>
        <w:rPr/>
        <w:pict>
          <v:line style="position:absolute;mso-position-horizontal-relative:page;mso-position-vertical-relative:paragraph;z-index:15842304" from="48.599998pt,8.401561pt" to="43.599998pt,8.401561pt" stroked="true" strokeweight=".5pt" strokecolor="#000000">
            <v:stroke dashstyle="solid"/>
            <w10:wrap type="none"/>
          </v:line>
        </w:pict>
      </w:r>
      <w:r>
        <w:rPr>
          <w:sz w:val="12"/>
        </w:rPr>
        <w:t>2,200</w:t>
      </w:r>
    </w:p>
    <w:p>
      <w:pPr>
        <w:pStyle w:val="BodyText"/>
        <w:rPr>
          <w:sz w:val="12"/>
        </w:rPr>
      </w:pPr>
    </w:p>
    <w:p>
      <w:pPr>
        <w:pStyle w:val="BodyText"/>
        <w:rPr>
          <w:sz w:val="12"/>
        </w:rPr>
      </w:pPr>
    </w:p>
    <w:p>
      <w:pPr>
        <w:spacing w:before="86"/>
        <w:ind w:left="0" w:right="183" w:firstLine="0"/>
        <w:jc w:val="right"/>
        <w:rPr>
          <w:sz w:val="12"/>
        </w:rPr>
      </w:pPr>
      <w:r>
        <w:rPr/>
        <w:pict>
          <v:line style="position:absolute;mso-position-horizontal-relative:page;mso-position-vertical-relative:paragraph;z-index:15841792" from="48.599998pt,8.401561pt" to="43.599998pt,8.401561pt" stroked="true" strokeweight=".5pt" strokecolor="#000000">
            <v:stroke dashstyle="solid"/>
            <w10:wrap type="none"/>
          </v:line>
        </w:pict>
      </w:r>
      <w:r>
        <w:rPr>
          <w:sz w:val="12"/>
        </w:rPr>
        <w:t>2,000</w:t>
      </w:r>
    </w:p>
    <w:p>
      <w:pPr>
        <w:pStyle w:val="BodyText"/>
        <w:rPr>
          <w:sz w:val="12"/>
        </w:rPr>
      </w:pPr>
    </w:p>
    <w:p>
      <w:pPr>
        <w:pStyle w:val="BodyText"/>
        <w:rPr>
          <w:sz w:val="12"/>
        </w:rPr>
      </w:pPr>
    </w:p>
    <w:p>
      <w:pPr>
        <w:spacing w:before="106"/>
        <w:ind w:left="0" w:right="183" w:firstLine="0"/>
        <w:jc w:val="right"/>
        <w:rPr>
          <w:sz w:val="12"/>
        </w:rPr>
      </w:pPr>
      <w:r>
        <w:rPr/>
        <w:pict>
          <v:line style="position:absolute;mso-position-horizontal-relative:page;mso-position-vertical-relative:paragraph;z-index:-20249088" from="48.599998pt,8.401561pt" to="43.599998pt,8.401561pt" stroked="true" strokeweight=".5pt" strokecolor="#000000">
            <v:stroke dashstyle="solid"/>
            <w10:wrap type="none"/>
          </v:line>
        </w:pict>
      </w:r>
      <w:r>
        <w:rPr>
          <w:sz w:val="12"/>
        </w:rPr>
        <w:t>1,800</w:t>
      </w:r>
    </w:p>
    <w:p>
      <w:pPr>
        <w:pStyle w:val="Heading5"/>
        <w:spacing w:line="242" w:lineRule="auto"/>
        <w:ind w:left="197" w:right="188"/>
      </w:pPr>
      <w:r>
        <w:rPr/>
        <w:br w:type="column"/>
      </w:r>
      <w:r>
        <w:rPr>
          <w:color w:val="231F20"/>
        </w:rPr>
        <w:t>page 19. According to this estimate, house price inflation was 7.9% in 1997 Q3, slightly above the Halifax index in the same period, but much lower than the Nationwide index. Though the ratio of house prices to earnings has been broadly stable during the past year, past interest rate increases and the reduction in </w:t>
      </w:r>
      <w:r>
        <w:rPr>
          <w:color w:val="231F20"/>
          <w:spacing w:val="-3"/>
        </w:rPr>
        <w:t>mortgage </w:t>
      </w:r>
      <w:r>
        <w:rPr>
          <w:color w:val="231F20"/>
        </w:rPr>
        <w:t>interest tax relief are expected to moderate house price inflation in 1998.</w:t>
      </w:r>
    </w:p>
    <w:p>
      <w:pPr>
        <w:pStyle w:val="BodyText"/>
        <w:spacing w:before="4"/>
        <w:rPr>
          <w:sz w:val="24"/>
        </w:rPr>
      </w:pPr>
    </w:p>
    <w:p>
      <w:pPr>
        <w:spacing w:line="242" w:lineRule="auto" w:before="0"/>
        <w:ind w:left="197" w:right="541" w:firstLine="0"/>
        <w:jc w:val="left"/>
        <w:rPr>
          <w:sz w:val="24"/>
        </w:rPr>
      </w:pPr>
      <w:r>
        <w:rPr>
          <w:color w:val="231F20"/>
          <w:sz w:val="24"/>
        </w:rPr>
        <w:t>Real personal disposable income fell by 1.3% in 1997 Q3. The savings ratio fell to 10.8% in the third</w:t>
      </w:r>
    </w:p>
    <w:p>
      <w:pPr>
        <w:spacing w:line="242" w:lineRule="auto" w:before="3"/>
        <w:ind w:left="197" w:right="447" w:firstLine="0"/>
        <w:jc w:val="left"/>
        <w:rPr>
          <w:sz w:val="24"/>
        </w:rPr>
      </w:pPr>
      <w:r>
        <w:rPr>
          <w:color w:val="231F20"/>
          <w:sz w:val="24"/>
        </w:rPr>
        <w:t>quarter, down from 12.6% in the second quarter. This reflected exceptionally high dividend payments in 1997 Q2, which boosted income growth, rather than a change in savings behaviour.</w:t>
      </w:r>
    </w:p>
    <w:p>
      <w:pPr>
        <w:spacing w:after="0" w:line="242" w:lineRule="auto"/>
        <w:jc w:val="left"/>
        <w:rPr>
          <w:sz w:val="24"/>
        </w:rPr>
        <w:sectPr>
          <w:type w:val="continuous"/>
          <w:pgSz w:w="11880" w:h="16840"/>
          <w:pgMar w:top="1200" w:bottom="280" w:left="620" w:right="620"/>
          <w:cols w:num="2" w:equalWidth="0">
            <w:col w:w="4108" w:space="695"/>
            <w:col w:w="5837"/>
          </w:cols>
        </w:sectPr>
      </w:pPr>
    </w:p>
    <w:p>
      <w:pPr>
        <w:pStyle w:val="BodyText"/>
        <w:spacing w:before="8"/>
        <w:rPr>
          <w:sz w:val="15"/>
        </w:rPr>
      </w:pPr>
    </w:p>
    <w:p>
      <w:pPr>
        <w:spacing w:after="0"/>
        <w:rPr>
          <w:sz w:val="15"/>
        </w:rPr>
        <w:sectPr>
          <w:type w:val="continuous"/>
          <w:pgSz w:w="11880" w:h="16840"/>
          <w:pgMar w:top="1200" w:bottom="280" w:left="620" w:right="62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tabs>
          <w:tab w:pos="1481" w:val="left" w:leader="none"/>
          <w:tab w:pos="2221" w:val="left" w:leader="none"/>
          <w:tab w:pos="2961" w:val="left" w:leader="none"/>
          <w:tab w:pos="3361" w:val="left" w:leader="none"/>
        </w:tabs>
        <w:spacing w:before="1"/>
        <w:ind w:left="642" w:right="0" w:firstLine="0"/>
        <w:jc w:val="left"/>
        <w:rPr>
          <w:sz w:val="12"/>
        </w:rPr>
      </w:pPr>
      <w:r>
        <w:rPr>
          <w:sz w:val="12"/>
        </w:rPr>
        <w:t>1994</w:t>
        <w:tab/>
        <w:t>95</w:t>
        <w:tab/>
        <w:t>96</w:t>
        <w:tab/>
        <w:t>97</w:t>
        <w:tab/>
      </w:r>
      <w:r>
        <w:rPr>
          <w:spacing w:val="-10"/>
          <w:sz w:val="12"/>
        </w:rPr>
        <w:t>98</w:t>
      </w:r>
    </w:p>
    <w:p>
      <w:pPr>
        <w:pStyle w:val="BodyText"/>
        <w:spacing w:before="10"/>
        <w:rPr>
          <w:sz w:val="10"/>
        </w:rPr>
      </w:pPr>
    </w:p>
    <w:p>
      <w:pPr>
        <w:spacing w:line="417" w:lineRule="auto" w:before="0"/>
        <w:ind w:left="197" w:right="556" w:firstLine="0"/>
        <w:jc w:val="left"/>
        <w:rPr>
          <w:sz w:val="12"/>
        </w:rPr>
      </w:pPr>
      <w:r>
        <w:rPr>
          <w:color w:val="231F20"/>
          <w:sz w:val="12"/>
        </w:rPr>
        <w:t>Note: Daily data. Final observation is 4 February. Source: </w:t>
      </w:r>
      <w:r>
        <w:rPr>
          <w:i/>
          <w:color w:val="231F20"/>
          <w:sz w:val="12"/>
        </w:rPr>
        <w:t>Financial Times</w:t>
      </w:r>
      <w:r>
        <w:rPr>
          <w:color w:val="231F20"/>
          <w:sz w:val="12"/>
        </w:rPr>
        <w:t>.</w:t>
      </w:r>
    </w:p>
    <w:p>
      <w:pPr>
        <w:spacing w:before="96"/>
        <w:ind w:left="129" w:right="0" w:firstLine="0"/>
        <w:jc w:val="left"/>
        <w:rPr>
          <w:sz w:val="12"/>
        </w:rPr>
      </w:pPr>
      <w:r>
        <w:rPr/>
        <w:br w:type="column"/>
      </w:r>
      <w:r>
        <w:rPr>
          <w:sz w:val="12"/>
        </w:rPr>
        <w:t>1,600</w:t>
      </w:r>
    </w:p>
    <w:p>
      <w:pPr>
        <w:pStyle w:val="BodyText"/>
        <w:rPr>
          <w:sz w:val="12"/>
        </w:rPr>
      </w:pPr>
    </w:p>
    <w:p>
      <w:pPr>
        <w:pStyle w:val="BodyText"/>
        <w:rPr>
          <w:sz w:val="12"/>
        </w:rPr>
      </w:pPr>
    </w:p>
    <w:p>
      <w:pPr>
        <w:spacing w:before="86"/>
        <w:ind w:left="129" w:right="0" w:firstLine="0"/>
        <w:jc w:val="left"/>
        <w:rPr>
          <w:sz w:val="12"/>
        </w:rPr>
      </w:pPr>
      <w:r>
        <w:rPr>
          <w:sz w:val="12"/>
        </w:rPr>
        <w:t>1,400</w:t>
      </w:r>
    </w:p>
    <w:p>
      <w:pPr>
        <w:pStyle w:val="Heading6"/>
        <w:spacing w:before="104"/>
        <w:ind w:left="197"/>
        <w:rPr>
          <w:i/>
        </w:rPr>
      </w:pPr>
      <w:r>
        <w:rPr>
          <w:i w:val="0"/>
        </w:rPr>
        <w:br w:type="column"/>
      </w:r>
      <w:r>
        <w:rPr>
          <w:i/>
          <w:color w:val="009483"/>
        </w:rPr>
        <w:t>Investment demand</w:t>
      </w:r>
    </w:p>
    <w:p>
      <w:pPr>
        <w:spacing w:line="242" w:lineRule="auto" w:before="164"/>
        <w:ind w:left="197" w:right="0" w:firstLine="0"/>
        <w:jc w:val="left"/>
        <w:rPr>
          <w:i/>
          <w:sz w:val="24"/>
        </w:rPr>
      </w:pPr>
      <w:r>
        <w:rPr>
          <w:color w:val="231F20"/>
          <w:sz w:val="24"/>
        </w:rPr>
        <w:t>Real whole-economy investment rose by an average of 0.7% in the first three quarters of 1997, above its average quarterly increase of 0.5% since the recovery began in 1992 Q1. An article in February’s </w:t>
      </w:r>
      <w:r>
        <w:rPr>
          <w:i/>
          <w:color w:val="231F20"/>
          <w:sz w:val="24"/>
        </w:rPr>
        <w:t>Quarterly Bulletin</w:t>
      </w:r>
    </w:p>
    <w:p>
      <w:pPr>
        <w:spacing w:after="0" w:line="242" w:lineRule="auto"/>
        <w:jc w:val="left"/>
        <w:rPr>
          <w:sz w:val="24"/>
        </w:rPr>
        <w:sectPr>
          <w:type w:val="continuous"/>
          <w:pgSz w:w="11880" w:h="16840"/>
          <w:pgMar w:top="1200" w:bottom="280" w:left="620" w:right="620"/>
          <w:cols w:num="3" w:equalWidth="0">
            <w:col w:w="3483" w:space="40"/>
            <w:col w:w="441" w:space="839"/>
            <w:col w:w="5837"/>
          </w:cols>
        </w:sectPr>
      </w:pPr>
    </w:p>
    <w:p>
      <w:pPr>
        <w:pStyle w:val="BodyText"/>
        <w:rPr>
          <w:i/>
          <w:sz w:val="20"/>
        </w:rPr>
      </w:pPr>
    </w:p>
    <w:p>
      <w:pPr>
        <w:spacing w:before="248"/>
        <w:ind w:left="1342" w:right="1367" w:firstLine="0"/>
        <w:jc w:val="center"/>
        <w:rPr>
          <w:b/>
          <w:sz w:val="28"/>
        </w:rPr>
      </w:pPr>
      <w:bookmarkStart w:name="An alternative estimate of house prices" w:id="39"/>
      <w:bookmarkEnd w:id="39"/>
      <w:r>
        <w:rPr/>
      </w:r>
      <w:bookmarkStart w:name="_bookmark13" w:id="40"/>
      <w:bookmarkEnd w:id="40"/>
      <w:r>
        <w:rPr/>
      </w:r>
      <w:r>
        <w:rPr>
          <w:b/>
          <w:color w:val="009483"/>
          <w:sz w:val="28"/>
        </w:rPr>
        <w:t>An alternative estimate of house prices</w:t>
      </w:r>
    </w:p>
    <w:p>
      <w:pPr>
        <w:pStyle w:val="BodyText"/>
        <w:rPr>
          <w:b/>
          <w:sz w:val="20"/>
        </w:rPr>
      </w:pPr>
    </w:p>
    <w:p>
      <w:pPr>
        <w:spacing w:after="0"/>
        <w:rPr>
          <w:sz w:val="20"/>
        </w:rPr>
        <w:sectPr>
          <w:pgSz w:w="11880" w:h="16840"/>
          <w:pgMar w:header="586" w:footer="617" w:top="780" w:bottom="800" w:left="620" w:right="620"/>
        </w:sectPr>
      </w:pPr>
    </w:p>
    <w:p>
      <w:pPr>
        <w:pStyle w:val="BodyText"/>
        <w:spacing w:before="1"/>
        <w:rPr>
          <w:b/>
          <w:sz w:val="19"/>
        </w:rPr>
      </w:pPr>
    </w:p>
    <w:p>
      <w:pPr>
        <w:spacing w:line="244" w:lineRule="auto" w:before="0"/>
        <w:ind w:left="385" w:right="23" w:firstLine="0"/>
        <w:jc w:val="left"/>
        <w:rPr>
          <w:i/>
          <w:sz w:val="23"/>
        </w:rPr>
      </w:pPr>
      <w:r>
        <w:rPr>
          <w:i/>
          <w:color w:val="231F20"/>
          <w:sz w:val="23"/>
        </w:rPr>
        <w:t>The Nationwide and Halifax house price indices </w:t>
      </w:r>
      <w:r>
        <w:rPr>
          <w:i/>
          <w:color w:val="231F20"/>
          <w:sz w:val="23"/>
        </w:rPr>
        <w:t>have been diverging since the beginning of 1997. This box outlines the construction of an estimate based on data from the Land Registry. On this measure, house price inflation was around 8% in the year to 1997 Q3, though this may be revised up.</w:t>
      </w:r>
    </w:p>
    <w:p>
      <w:pPr>
        <w:pStyle w:val="BodyText"/>
        <w:rPr>
          <w:i/>
          <w:sz w:val="21"/>
        </w:rPr>
      </w:pPr>
    </w:p>
    <w:p>
      <w:pPr>
        <w:spacing w:line="244" w:lineRule="auto" w:before="0"/>
        <w:ind w:left="385" w:right="40" w:firstLine="0"/>
        <w:jc w:val="left"/>
        <w:rPr>
          <w:sz w:val="23"/>
        </w:rPr>
      </w:pPr>
      <w:r>
        <w:rPr>
          <w:color w:val="231F20"/>
          <w:sz w:val="23"/>
        </w:rPr>
        <w:t>The Halifax house price index rose by 5.8% in the year to January, compared with an increase in the Nationwide index of 13.1% in the same period. A third measure, the Department of Environment, Transport and the Regions (D</w:t>
      </w:r>
      <w:r>
        <w:rPr>
          <w:color w:val="231F20"/>
          <w:sz w:val="19"/>
        </w:rPr>
        <w:t>ETR</w:t>
      </w:r>
      <w:r>
        <w:rPr>
          <w:color w:val="231F20"/>
          <w:sz w:val="23"/>
        </w:rPr>
        <w:t>) house price index, rose by 7.9% in the year to 1997 Q4, though it was closer to the Nationwide index for most of 1997. Possible reasons for the divergence between the Halifax and Nationwide indices include differences in the institutions’ samples, in their methodologies, and in the weight they </w:t>
      </w:r>
      <w:r>
        <w:rPr>
          <w:color w:val="231F20"/>
          <w:spacing w:val="-3"/>
          <w:sz w:val="23"/>
        </w:rPr>
        <w:t>give </w:t>
      </w:r>
      <w:r>
        <w:rPr>
          <w:color w:val="231F20"/>
          <w:spacing w:val="-9"/>
          <w:sz w:val="23"/>
        </w:rPr>
        <w:t>to </w:t>
      </w:r>
      <w:r>
        <w:rPr>
          <w:color w:val="231F20"/>
          <w:sz w:val="23"/>
        </w:rPr>
        <w:t>transactions from each region in the United Kingdom.  But further investigation has discounted many of these explanations. In the absence of any clear reason for the divergence, research undertaken in the Bank has used data from the Land Registry to supplement the </w:t>
      </w:r>
      <w:r>
        <w:rPr>
          <w:color w:val="231F20"/>
          <w:spacing w:val="-3"/>
          <w:sz w:val="23"/>
        </w:rPr>
        <w:t>MPC’s </w:t>
      </w:r>
      <w:r>
        <w:rPr>
          <w:color w:val="231F20"/>
          <w:sz w:val="23"/>
        </w:rPr>
        <w:t>view of developments in the housing</w:t>
      </w:r>
      <w:r>
        <w:rPr>
          <w:color w:val="231F20"/>
          <w:spacing w:val="-8"/>
          <w:sz w:val="23"/>
        </w:rPr>
        <w:t> </w:t>
      </w:r>
      <w:r>
        <w:rPr>
          <w:color w:val="231F20"/>
          <w:sz w:val="23"/>
        </w:rPr>
        <w:t>market.</w:t>
      </w:r>
    </w:p>
    <w:p>
      <w:pPr>
        <w:pStyle w:val="BodyText"/>
        <w:spacing w:before="3"/>
        <w:rPr>
          <w:sz w:val="21"/>
        </w:rPr>
      </w:pPr>
    </w:p>
    <w:p>
      <w:pPr>
        <w:spacing w:before="0"/>
        <w:ind w:left="385" w:right="0" w:firstLine="0"/>
        <w:jc w:val="left"/>
        <w:rPr>
          <w:sz w:val="23"/>
        </w:rPr>
      </w:pPr>
      <w:r>
        <w:rPr>
          <w:color w:val="231F20"/>
          <w:sz w:val="23"/>
        </w:rPr>
        <w:t>The published Land Registry data are not</w:t>
      </w:r>
    </w:p>
    <w:p>
      <w:pPr>
        <w:spacing w:line="244" w:lineRule="auto" w:before="5"/>
        <w:ind w:left="385" w:right="23" w:firstLine="0"/>
        <w:jc w:val="left"/>
        <w:rPr>
          <w:sz w:val="23"/>
        </w:rPr>
      </w:pPr>
      <w:r>
        <w:rPr>
          <w:color w:val="231F20"/>
          <w:sz w:val="23"/>
        </w:rPr>
        <w:t>mix-adjusted, so their average price may change either because of changes in the mix of houses bought and sold each quarter, or because of changes in the price of a given type of house.</w:t>
      </w:r>
    </w:p>
    <w:p>
      <w:pPr>
        <w:spacing w:line="244" w:lineRule="auto" w:before="1"/>
        <w:ind w:left="385" w:right="23" w:firstLine="0"/>
        <w:jc w:val="left"/>
        <w:rPr>
          <w:sz w:val="23"/>
        </w:rPr>
      </w:pPr>
      <w:r>
        <w:rPr>
          <w:color w:val="231F20"/>
          <w:sz w:val="23"/>
        </w:rPr>
        <w:t>Land Registry data have been mix-adjusted by Bank staff to correct for changes in the proportion of houses bought and sold in each county and for different house types.</w:t>
      </w:r>
    </w:p>
    <w:p>
      <w:pPr>
        <w:pStyle w:val="BodyText"/>
        <w:spacing w:before="1"/>
        <w:rPr>
          <w:sz w:val="19"/>
        </w:rPr>
      </w:pPr>
      <w:r>
        <w:rPr/>
        <w:br w:type="column"/>
      </w:r>
      <w:r>
        <w:rPr>
          <w:sz w:val="19"/>
        </w:rPr>
      </w:r>
    </w:p>
    <w:p>
      <w:pPr>
        <w:spacing w:line="244" w:lineRule="auto" w:before="0"/>
        <w:ind w:left="385" w:right="437" w:firstLine="0"/>
        <w:jc w:val="left"/>
        <w:rPr>
          <w:sz w:val="23"/>
        </w:rPr>
      </w:pPr>
      <w:r>
        <w:rPr>
          <w:color w:val="231F20"/>
          <w:sz w:val="23"/>
        </w:rPr>
        <w:t>published two months after the end of the quarter. Third, the estimate is subject to revisions as late forms are received by the Land Registry; when house prices are increasing, these revisions are likely to be upwards. Fourth, the data only cover England and Wales, whereas the other indices measure house prices in the United Kingdom as a whole.</w:t>
      </w:r>
    </w:p>
    <w:p>
      <w:pPr>
        <w:pStyle w:val="BodyText"/>
        <w:spacing w:before="7"/>
        <w:rPr>
          <w:sz w:val="23"/>
        </w:rPr>
      </w:pPr>
    </w:p>
    <w:p>
      <w:pPr>
        <w:spacing w:line="244" w:lineRule="auto" w:before="0"/>
        <w:ind w:left="385" w:right="575" w:firstLine="0"/>
        <w:jc w:val="left"/>
        <w:rPr>
          <w:sz w:val="23"/>
        </w:rPr>
      </w:pPr>
      <w:r>
        <w:rPr>
          <w:color w:val="231F20"/>
          <w:sz w:val="23"/>
        </w:rPr>
        <w:t>On the other hand, the Bank’s estimate, based on the Land Registry data, is more comprehensive than either of the other indices, since it covers nearly all transactions. In 1996, for example, the Land Registry sample size was 950,000 and the Halifax’s sample size was 175,000. The Land Registry sample also includes purchases of unmortgaged properties as well as mortgaged ones. These may be important advantages at a time when the other indicators are diverging.</w:t>
      </w:r>
    </w:p>
    <w:p>
      <w:pPr>
        <w:pStyle w:val="BodyText"/>
        <w:spacing w:before="8"/>
        <w:rPr>
          <w:sz w:val="23"/>
        </w:rPr>
      </w:pPr>
    </w:p>
    <w:p>
      <w:pPr>
        <w:spacing w:line="244" w:lineRule="auto" w:before="0"/>
        <w:ind w:left="385" w:right="978" w:firstLine="0"/>
        <w:jc w:val="left"/>
        <w:rPr>
          <w:sz w:val="23"/>
        </w:rPr>
      </w:pPr>
      <w:r>
        <w:rPr>
          <w:color w:val="231F20"/>
          <w:sz w:val="23"/>
        </w:rPr>
        <w:t>The chart shows that in the year to 1997 Q3, house prices rose by 7.9%, according to the mix-adjusted Land Registry data. This was</w:t>
      </w:r>
    </w:p>
    <w:p>
      <w:pPr>
        <w:spacing w:line="244" w:lineRule="auto" w:before="1"/>
        <w:ind w:left="385" w:right="480" w:firstLine="0"/>
        <w:jc w:val="left"/>
        <w:rPr>
          <w:sz w:val="23"/>
        </w:rPr>
      </w:pPr>
      <w:r>
        <w:rPr>
          <w:color w:val="231F20"/>
          <w:sz w:val="23"/>
        </w:rPr>
        <w:t>0.8 percentage points higher than the rise in the Halifax index, but 3.1 percentage points lower than the Nationwide index, taking account of timing differences between the indices. And it was lower than the D</w:t>
      </w:r>
      <w:r>
        <w:rPr>
          <w:color w:val="231F20"/>
          <w:sz w:val="19"/>
        </w:rPr>
        <w:t>ETR </w:t>
      </w:r>
      <w:r>
        <w:rPr>
          <w:color w:val="231F20"/>
          <w:sz w:val="23"/>
        </w:rPr>
        <w:t>index, which suggested that house price inflation was 10.6% in the year </w:t>
      </w:r>
      <w:r>
        <w:rPr>
          <w:color w:val="231F20"/>
          <w:spacing w:val="-9"/>
          <w:sz w:val="23"/>
        </w:rPr>
        <w:t>to </w:t>
      </w:r>
      <w:r>
        <w:rPr>
          <w:color w:val="231F20"/>
          <w:sz w:val="23"/>
        </w:rPr>
        <w:t>1997 Q3. It is possible, </w:t>
      </w:r>
      <w:r>
        <w:rPr>
          <w:color w:val="231F20"/>
          <w:spacing w:val="-4"/>
          <w:sz w:val="23"/>
        </w:rPr>
        <w:t>however, </w:t>
      </w:r>
      <w:r>
        <w:rPr>
          <w:color w:val="231F20"/>
          <w:sz w:val="23"/>
        </w:rPr>
        <w:t>that the </w:t>
      </w:r>
      <w:r>
        <w:rPr>
          <w:color w:val="231F20"/>
          <w:spacing w:val="-3"/>
          <w:sz w:val="23"/>
        </w:rPr>
        <w:t>Bank’s </w:t>
      </w:r>
      <w:r>
        <w:rPr>
          <w:color w:val="231F20"/>
          <w:sz w:val="23"/>
        </w:rPr>
        <w:t>estimate will be revised upwards with the next release of Land Registry data at the end of February.</w:t>
      </w:r>
    </w:p>
    <w:p>
      <w:pPr>
        <w:pStyle w:val="BodyText"/>
        <w:rPr>
          <w:sz w:val="33"/>
        </w:rPr>
      </w:pPr>
    </w:p>
    <w:p>
      <w:pPr>
        <w:pStyle w:val="Heading9"/>
        <w:spacing w:before="0"/>
        <w:ind w:left="385"/>
      </w:pPr>
      <w:r>
        <w:rPr>
          <w:color w:val="0093C1"/>
        </w:rPr>
        <w:t>Measures of UK house price inflation</w:t>
      </w:r>
    </w:p>
    <w:p>
      <w:pPr>
        <w:spacing w:before="162"/>
        <w:ind w:left="2917" w:right="0" w:firstLine="0"/>
        <w:jc w:val="left"/>
        <w:rPr>
          <w:sz w:val="12"/>
        </w:rPr>
      </w:pPr>
      <w:r>
        <w:rPr>
          <w:sz w:val="12"/>
        </w:rPr>
        <w:t>Percentage changes on a year earlier</w:t>
      </w:r>
    </w:p>
    <w:p>
      <w:pPr>
        <w:spacing w:after="0"/>
        <w:jc w:val="left"/>
        <w:rPr>
          <w:sz w:val="12"/>
        </w:rPr>
        <w:sectPr>
          <w:type w:val="continuous"/>
          <w:pgSz w:w="11880" w:h="16840"/>
          <w:pgMar w:top="1200" w:bottom="280" w:left="620" w:right="620"/>
          <w:cols w:num="2" w:equalWidth="0">
            <w:col w:w="5096" w:space="54"/>
            <w:col w:w="5490"/>
          </w:cols>
        </w:sectPr>
      </w:pPr>
    </w:p>
    <w:p>
      <w:pPr>
        <w:spacing w:line="244" w:lineRule="auto" w:before="63"/>
        <w:ind w:left="385" w:right="38" w:firstLine="0"/>
        <w:jc w:val="left"/>
        <w:rPr>
          <w:sz w:val="23"/>
        </w:rPr>
      </w:pPr>
      <w:r>
        <w:rPr>
          <w:color w:val="231F20"/>
          <w:sz w:val="23"/>
        </w:rPr>
        <w:t>This estimate has some disadvantages. First, because of the nature of the Land Registry questionnaire, it is only possible to make a simple mix-adjustment by property type and by county. This compares with the Halifax and Nationwide’s use of a broad range of mix-adjustment variables, including house size. The Land Registry are,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spacing w:line="242" w:lineRule="auto" w:before="0"/>
        <w:ind w:left="445" w:right="-19" w:hanging="60"/>
        <w:jc w:val="left"/>
        <w:rPr>
          <w:sz w:val="12"/>
        </w:rPr>
      </w:pPr>
      <w:r>
        <w:rPr>
          <w:sz w:val="12"/>
        </w:rPr>
        <w:t>Department of Environment, Transport and the Regions house price index</w:t>
      </w:r>
    </w:p>
    <w:p>
      <w:pPr>
        <w:spacing w:line="134" w:lineRule="exact" w:before="0"/>
        <w:ind w:left="1917" w:right="0" w:firstLine="0"/>
        <w:jc w:val="left"/>
        <w:rPr>
          <w:sz w:val="12"/>
        </w:rPr>
      </w:pPr>
      <w:r>
        <w:rPr/>
        <w:br w:type="column"/>
      </w:r>
      <w:r>
        <w:rPr>
          <w:sz w:val="12"/>
        </w:rPr>
        <w:t>14</w:t>
      </w:r>
    </w:p>
    <w:p>
      <w:pPr>
        <w:spacing w:before="1"/>
        <w:ind w:left="342" w:right="0" w:firstLine="0"/>
        <w:jc w:val="left"/>
        <w:rPr>
          <w:sz w:val="12"/>
        </w:rPr>
      </w:pPr>
      <w:r>
        <w:rPr>
          <w:sz w:val="12"/>
        </w:rPr>
        <w:t>Nationwide house</w:t>
      </w:r>
    </w:p>
    <w:p>
      <w:pPr>
        <w:tabs>
          <w:tab w:pos="2036" w:val="right" w:leader="none"/>
        </w:tabs>
        <w:spacing w:before="2"/>
        <w:ind w:left="402" w:right="0" w:firstLine="0"/>
        <w:jc w:val="left"/>
        <w:rPr>
          <w:sz w:val="12"/>
        </w:rPr>
      </w:pPr>
      <w:r>
        <w:rPr>
          <w:sz w:val="12"/>
        </w:rPr>
        <w:t>price index</w:t>
        <w:tab/>
      </w:r>
      <w:r>
        <w:rPr>
          <w:position w:val="-1"/>
          <w:sz w:val="12"/>
        </w:rPr>
        <w:t>12</w:t>
      </w:r>
    </w:p>
    <w:p>
      <w:pPr>
        <w:pStyle w:val="BodyText"/>
        <w:spacing w:before="2"/>
        <w:rPr>
          <w:sz w:val="14"/>
        </w:rPr>
      </w:pPr>
    </w:p>
    <w:p>
      <w:pPr>
        <w:spacing w:before="0"/>
        <w:ind w:left="1917" w:right="0" w:firstLine="0"/>
        <w:jc w:val="left"/>
        <w:rPr>
          <w:sz w:val="12"/>
        </w:rPr>
      </w:pPr>
      <w:r>
        <w:rPr>
          <w:sz w:val="12"/>
        </w:rPr>
        <w:t>10</w:t>
      </w:r>
    </w:p>
    <w:p>
      <w:pPr>
        <w:pStyle w:val="BodyText"/>
        <w:spacing w:before="1"/>
        <w:rPr>
          <w:sz w:val="14"/>
        </w:rPr>
      </w:pPr>
    </w:p>
    <w:p>
      <w:pPr>
        <w:spacing w:before="0"/>
        <w:ind w:left="1977" w:right="0" w:firstLine="0"/>
        <w:jc w:val="left"/>
        <w:rPr>
          <w:sz w:val="12"/>
        </w:rPr>
      </w:pPr>
      <w:r>
        <w:rPr>
          <w:sz w:val="12"/>
        </w:rPr>
        <w:t>8</w:t>
      </w:r>
    </w:p>
    <w:p>
      <w:pPr>
        <w:pStyle w:val="BodyText"/>
        <w:spacing w:before="1"/>
        <w:rPr>
          <w:sz w:val="14"/>
        </w:rPr>
      </w:pPr>
    </w:p>
    <w:p>
      <w:pPr>
        <w:spacing w:before="0"/>
        <w:ind w:left="1977" w:right="0" w:firstLine="0"/>
        <w:jc w:val="left"/>
        <w:rPr>
          <w:sz w:val="12"/>
        </w:rPr>
      </w:pPr>
      <w:r>
        <w:rPr>
          <w:sz w:val="12"/>
        </w:rPr>
        <w:t>6</w:t>
      </w:r>
    </w:p>
    <w:p>
      <w:pPr>
        <w:pStyle w:val="BodyText"/>
        <w:spacing w:before="1"/>
        <w:rPr>
          <w:sz w:val="14"/>
        </w:rPr>
      </w:pPr>
    </w:p>
    <w:p>
      <w:pPr>
        <w:spacing w:before="0"/>
        <w:ind w:left="1977" w:right="0" w:firstLine="0"/>
        <w:jc w:val="left"/>
        <w:rPr>
          <w:sz w:val="12"/>
        </w:rPr>
      </w:pPr>
      <w:r>
        <w:rPr>
          <w:sz w:val="12"/>
        </w:rPr>
        <w:t>4</w:t>
      </w:r>
    </w:p>
    <w:p>
      <w:pPr>
        <w:spacing w:before="1"/>
        <w:ind w:left="472" w:right="0" w:firstLine="0"/>
        <w:jc w:val="left"/>
        <w:rPr>
          <w:sz w:val="12"/>
        </w:rPr>
      </w:pPr>
      <w:r>
        <w:rPr>
          <w:sz w:val="12"/>
        </w:rPr>
        <w:t>Bank’s estimate (a)</w:t>
      </w:r>
    </w:p>
    <w:p>
      <w:pPr>
        <w:spacing w:line="103" w:lineRule="exact" w:before="23"/>
        <w:ind w:left="1977" w:right="0" w:firstLine="0"/>
        <w:jc w:val="left"/>
        <w:rPr>
          <w:sz w:val="12"/>
        </w:rPr>
      </w:pPr>
      <w:r>
        <w:rPr/>
        <w:pict>
          <v:shape style="position:absolute;margin-left:319.529999pt;margin-top:9.49826pt;width:188pt;height:12.75pt;mso-position-horizontal-relative:page;mso-position-vertical-relative:paragraph;z-index:15855104" type="#_x0000_t202" filled="false" stroked="false">
            <v:textbox inset="0,0,0,0">
              <w:txbxContent>
                <w:p>
                  <w:pPr>
                    <w:tabs>
                      <w:tab w:pos="3759" w:val="left" w:leader="none"/>
                    </w:tabs>
                    <w:spacing w:line="255" w:lineRule="exact" w:before="0"/>
                    <w:ind w:left="0" w:right="0" w:firstLine="0"/>
                    <w:jc w:val="left"/>
                    <w:rPr>
                      <w:sz w:val="23"/>
                    </w:rPr>
                  </w:pPr>
                  <w:r>
                    <w:rPr>
                      <w:color w:val="231F20"/>
                      <w:sz w:val="23"/>
                      <w:u w:val="single" w:color="000000"/>
                    </w:rPr>
                    <w:t> </w:t>
                    <w:tab/>
                  </w:r>
                </w:p>
              </w:txbxContent>
            </v:textbox>
            <w10:wrap type="none"/>
          </v:shape>
        </w:pict>
      </w:r>
      <w:r>
        <w:rPr>
          <w:sz w:val="12"/>
        </w:rPr>
        <w:t>2</w:t>
      </w:r>
    </w:p>
    <w:p>
      <w:pPr>
        <w:spacing w:after="0" w:line="103" w:lineRule="exact"/>
        <w:jc w:val="left"/>
        <w:rPr>
          <w:sz w:val="12"/>
        </w:rPr>
        <w:sectPr>
          <w:type w:val="continuous"/>
          <w:pgSz w:w="11880" w:h="16840"/>
          <w:pgMar w:top="1200" w:bottom="280" w:left="620" w:right="620"/>
          <w:cols w:num="3" w:equalWidth="0">
            <w:col w:w="5017" w:space="1098"/>
            <w:col w:w="1769" w:space="39"/>
            <w:col w:w="2717"/>
          </w:cols>
        </w:sectPr>
      </w:pPr>
    </w:p>
    <w:p>
      <w:pPr>
        <w:spacing w:line="244" w:lineRule="auto" w:before="1"/>
        <w:ind w:left="385" w:right="11" w:firstLine="0"/>
        <w:jc w:val="left"/>
        <w:rPr>
          <w:sz w:val="23"/>
        </w:rPr>
      </w:pPr>
      <w:r>
        <w:rPr/>
        <w:pict>
          <v:group style="position:absolute;margin-left:38.279999pt;margin-top:40.889999pt;width:516pt;height:739.15pt;mso-position-horizontal-relative:page;mso-position-vertical-relative:page;z-index:-20235264" coordorigin="766,818" coordsize="10320,14783">
            <v:shape style="position:absolute;left:785;top:837;width:10280;height:14743" coordorigin="786,838" coordsize="10280,14743" path="m11066,838l5939,838,5912,838,786,838,786,8180,786,8238,786,15580,5911,15580,5939,15580,11066,15580,11066,8237,11066,8181,11066,838xe" filled="true" fillcolor="#c3e0dc" stroked="false">
              <v:path arrowok="t"/>
              <v:fill type="solid"/>
            </v:shape>
            <v:shape style="position:absolute;left:864;top:960;width:10122;height:14498" coordorigin="865,960" coordsize="10122,14498" path="m5925,960l865,8209,5925,15458,10986,8209,5925,960xe" filled="true" fillcolor="#c4e1dd" stroked="false">
              <v:path arrowok="t"/>
              <v:fill type="solid"/>
            </v:shape>
            <v:shape style="position:absolute;left:963;top:1102;width:9923;height:14214" coordorigin="964,1102" coordsize="9923,14214" path="m5925,1102l964,8209,5925,15316,10887,8209,5925,1102xe" filled="true" fillcolor="#c5e1dd" stroked="false">
              <v:path arrowok="t"/>
              <v:fill type="solid"/>
            </v:shape>
            <v:shape style="position:absolute;left:1063;top:1244;width:9725;height:13930" coordorigin="1063,1244" coordsize="9725,13930" path="m5925,1244l1063,8209,5925,15174,10788,8209,5925,1244xe" filled="true" fillcolor="#c6e2de" stroked="false">
              <v:path arrowok="t"/>
              <v:fill type="solid"/>
            </v:shape>
            <v:shape style="position:absolute;left:1162;top:1386;width:9527;height:13645" coordorigin="1162,1387" coordsize="9527,13645" path="m5925,1387l1162,8209,5925,15031,10688,8209,5925,1387xe" filled="true" fillcolor="#c7e2df" stroked="false">
              <v:path arrowok="t"/>
              <v:fill type="solid"/>
            </v:shape>
            <v:shape style="position:absolute;left:1261;top:1528;width:9328;height:13361" coordorigin="1262,1529" coordsize="9328,13361" path="m5925,1529l1262,8209,5925,14889,10589,8209,5925,1529xe" filled="true" fillcolor="#c8e3df" stroked="false">
              <v:path arrowok="t"/>
              <v:fill type="solid"/>
            </v:shape>
            <v:shape style="position:absolute;left:1360;top:1670;width:9130;height:13077" coordorigin="1361,1671" coordsize="9130,13077" path="m5925,1671l1361,8209,5925,14747,10490,8209,5925,1671xe" filled="true" fillcolor="#c9e3e0" stroked="false">
              <v:path arrowok="t"/>
              <v:fill type="solid"/>
            </v:shape>
            <v:shape style="position:absolute;left:1460;top:1812;width:8931;height:12793" coordorigin="1460,1813" coordsize="8931,12793" path="m5925,1813l1460,8209,5925,14605,10391,8209,5925,1813xe" filled="true" fillcolor="#cae4e0" stroked="false">
              <v:path arrowok="t"/>
              <v:fill type="solid"/>
            </v:shape>
            <v:shape style="position:absolute;left:1559;top:1955;width:8733;height:12508" coordorigin="1559,1955" coordsize="8733,12508" path="m5925,1955l1559,8209,5925,14463,10292,8209,5925,1955xe" filled="true" fillcolor="#cbe4e1" stroked="false">
              <v:path arrowok="t"/>
              <v:fill type="solid"/>
            </v:shape>
            <v:shape style="position:absolute;left:1658;top:2097;width:8534;height:12224" coordorigin="1659,2097" coordsize="8534,12224" path="m5925,2097l1659,8209,5925,14321,10192,8209,5925,2097xe" filled="true" fillcolor="#cce5e1" stroked="false">
              <v:path arrowok="t"/>
              <v:fill type="solid"/>
            </v:shape>
            <v:shape style="position:absolute;left:1757;top:2239;width:8336;height:11940" coordorigin="1758,2239" coordsize="8336,11940" path="m5925,2239l1758,8209,5925,14179,10093,8209,5925,2239xe" filled="true" fillcolor="#cde5e2" stroked="false">
              <v:path arrowok="t"/>
              <v:fill type="solid"/>
            </v:shape>
            <v:shape style="position:absolute;left:1857;top:2381;width:8137;height:11655" coordorigin="1857,2382" coordsize="8137,11655" path="m5925,2382l1857,8209,5925,14037,9994,8209,5925,2382xe" filled="true" fillcolor="#cee6e3" stroked="false">
              <v:path arrowok="t"/>
              <v:fill type="solid"/>
            </v:shape>
            <v:shape style="position:absolute;left:1956;top:2523;width:7939;height:11371" coordorigin="1956,2524" coordsize="7939,11371" path="m5925,2524l1956,8209,5925,13894,9895,8209,5925,2524xe" filled="true" fillcolor="#cfe6e3" stroked="false">
              <v:path arrowok="t"/>
              <v:fill type="solid"/>
            </v:shape>
            <v:shape style="position:absolute;left:2055;top:2665;width:7740;height:11087" coordorigin="2056,2666" coordsize="7740,11087" path="m5925,2666l2056,8209,5925,13752,9795,8209,5925,2666xe" filled="true" fillcolor="#d0e7e4" stroked="false">
              <v:path arrowok="t"/>
              <v:fill type="solid"/>
            </v:shape>
            <v:shape style="position:absolute;left:2154;top:2807;width:7542;height:10803" coordorigin="2155,2808" coordsize="7542,10803" path="m5925,2808l2155,8209,5925,13610,9696,8209,5925,2808xe" filled="true" fillcolor="#d1e7e4" stroked="false">
              <v:path arrowok="t"/>
              <v:fill type="solid"/>
            </v:shape>
            <v:shape style="position:absolute;left:2253;top:2950;width:7343;height:10518" coordorigin="2254,2950" coordsize="7343,10518" path="m5925,2950l2254,8209,5925,13468,9597,8209,5925,2950xe" filled="true" fillcolor="#d3e8e5" stroked="false">
              <v:path arrowok="t"/>
              <v:fill type="solid"/>
            </v:shape>
            <v:shape style="position:absolute;left:2353;top:3092;width:7145;height:10234" coordorigin="2353,3092" coordsize="7145,10234" path="m5925,3092l2353,8209,5925,13326,9498,8209,5925,3092xe" filled="true" fillcolor="#d4e8e5" stroked="false">
              <v:path arrowok="t"/>
              <v:fill type="solid"/>
            </v:shape>
            <v:shape style="position:absolute;left:2452;top:3234;width:6947;height:9950" coordorigin="2452,3234" coordsize="6947,9950" path="m5925,3234l2452,8209,5925,13184,9398,8209,5925,3234xe" filled="true" fillcolor="#d5e9e6" stroked="false">
              <v:path arrowok="t"/>
              <v:fill type="solid"/>
            </v:shape>
            <v:shape style="position:absolute;left:2551;top:3376;width:6748;height:9666" coordorigin="2552,3376" coordsize="6748,9666" path="m5925,3376l2552,8209,5925,13042,9299,8209,5925,3376xe" filled="true" fillcolor="#d6eae7" stroked="false">
              <v:path arrowok="t"/>
              <v:fill type="solid"/>
            </v:shape>
            <v:shape style="position:absolute;left:2650;top:3518;width:6550;height:9381" coordorigin="2651,3519" coordsize="6550,9381" path="m5925,3519l2651,8209,5925,12899,9200,8209,5925,3519xe" filled="true" fillcolor="#d7eae7" stroked="false">
              <v:path arrowok="t"/>
              <v:fill type="solid"/>
            </v:shape>
            <v:shape style="position:absolute;left:2750;top:3660;width:6351;height:9097" coordorigin="2750,3661" coordsize="6351,9097" path="m5925,3661l2750,8209,5925,12757,9101,8209,5925,3661xe" filled="true" fillcolor="#d8ebe8" stroked="false">
              <v:path arrowok="t"/>
              <v:fill type="solid"/>
            </v:shape>
            <v:shape style="position:absolute;left:2849;top:3802;width:6153;height:8813" coordorigin="2849,3803" coordsize="6153,8813" path="m5925,3803l2849,8209,5925,12615,9002,8209,5925,3803xe" filled="true" fillcolor="#d9ebe8" stroked="false">
              <v:path arrowok="t"/>
              <v:fill type="solid"/>
            </v:shape>
            <v:shape style="position:absolute;left:2948;top:3945;width:5954;height:8529" coordorigin="2949,3945" coordsize="5954,8529" path="m5925,3945l2949,8209,5925,12473,8902,8209,5925,3945xe" filled="true" fillcolor="#daece9" stroked="false">
              <v:path arrowok="t"/>
              <v:fill type="solid"/>
            </v:shape>
            <v:shape style="position:absolute;left:3047;top:4087;width:5756;height:8244" coordorigin="3048,4087" coordsize="5756,8244" path="m5925,4087l3048,8209,5925,12331,8803,8209,5925,4087xe" filled="true" fillcolor="#dbece9" stroked="false">
              <v:path arrowok="t"/>
              <v:fill type="solid"/>
            </v:shape>
            <v:shape style="position:absolute;left:3147;top:4229;width:5557;height:7960" coordorigin="3147,4229" coordsize="5557,7960" path="m5925,4229l3147,8209,5925,12189,8704,8209,5925,4229xe" filled="true" fillcolor="#dcedea" stroked="false">
              <v:path arrowok="t"/>
              <v:fill type="solid"/>
            </v:shape>
            <v:shape style="position:absolute;left:3246;top:4371;width:5359;height:7676" coordorigin="3246,4371" coordsize="5359,7676" path="m5925,4371l3246,8209,5925,12047,8605,8209,5925,4371xe" filled="true" fillcolor="#ddedeb" stroked="false">
              <v:path arrowok="t"/>
              <v:fill type="solid"/>
            </v:shape>
            <v:shape style="position:absolute;left:3345;top:4513;width:5160;height:7391" coordorigin="3345,4514" coordsize="5160,7391" path="m5925,4514l3345,8209,5925,11904,8505,8209,5925,4514xe" filled="true" fillcolor="#deeeeb" stroked="false">
              <v:path arrowok="t"/>
              <v:fill type="solid"/>
            </v:shape>
            <v:shape style="position:absolute;left:3444;top:4655;width:4962;height:7107" coordorigin="3445,4656" coordsize="4962,7107" path="m5925,4656l3445,8209,5925,11762,8406,8209,5925,4656xe" filled="true" fillcolor="#e0efec" stroked="false">
              <v:path arrowok="t"/>
              <v:fill type="solid"/>
            </v:shape>
            <v:shape style="position:absolute;left:3543;top:4797;width:4764;height:6823" coordorigin="3544,4798" coordsize="4764,6823" path="m5925,4798l3544,8209,5925,11620,8307,8209,5925,4798xe" filled="true" fillcolor="#e1efec" stroked="false">
              <v:path arrowok="t"/>
              <v:fill type="solid"/>
            </v:shape>
            <v:shape style="position:absolute;left:3643;top:4939;width:4565;height:6539" coordorigin="3643,4940" coordsize="4565,6539" path="m5925,4940l3643,8209,5925,11478,8208,8209,5925,4940xe" filled="true" fillcolor="#e2f0ed" stroked="false">
              <v:path arrowok="t"/>
              <v:fill type="solid"/>
            </v:shape>
            <v:shape style="position:absolute;left:3742;top:5082;width:4367;height:6254" coordorigin="3742,5082" coordsize="4367,6254" path="m5925,5082l3742,8209,5925,11336,8108,8209,5925,5082xe" filled="true" fillcolor="#e3f0ee" stroked="false">
              <v:path arrowok="t"/>
              <v:fill type="solid"/>
            </v:shape>
            <v:shape style="position:absolute;left:3841;top:5224;width:4168;height:5970" coordorigin="3842,5224" coordsize="4168,5970" path="m5925,5224l3842,8209,5925,11194,8009,8209,5925,5224xe" filled="true" fillcolor="#e4f1ee" stroked="false">
              <v:path arrowok="t"/>
              <v:fill type="solid"/>
            </v:shape>
            <v:shape style="position:absolute;left:3940;top:5366;width:3970;height:5686" coordorigin="3941,5366" coordsize="3970,5686" path="m5925,5366l3941,8209,5925,11052,7910,8209,5925,5366xe" filled="true" fillcolor="#e5f1ef" stroked="false">
              <v:path arrowok="t"/>
              <v:fill type="solid"/>
            </v:shape>
            <v:shape style="position:absolute;left:4040;top:5508;width:3771;height:5402" coordorigin="4040,5508" coordsize="3771,5402" path="m5925,5508l4040,8209,5925,10910,7811,8209,5925,5508xe" filled="true" fillcolor="#e6f2ef" stroked="false">
              <v:path arrowok="t"/>
              <v:fill type="solid"/>
            </v:shape>
            <v:shape style="position:absolute;left:4139;top:5650;width:3573;height:5117" coordorigin="4139,5651" coordsize="3573,5117" path="m5925,5651l4139,8209,5925,10767,7712,8209,5925,5651xe" filled="true" fillcolor="#e7f3f0" stroked="false">
              <v:path arrowok="t"/>
              <v:fill type="solid"/>
            </v:shape>
            <v:shape style="position:absolute;left:4238;top:5792;width:3374;height:4833" coordorigin="4239,5793" coordsize="3374,4833" path="m5925,5793l4239,8209,5925,10625,7612,8209,5925,5793xe" filled="true" fillcolor="#e9f3f1" stroked="false">
              <v:path arrowok="t"/>
              <v:fill type="solid"/>
            </v:shape>
            <v:shape style="position:absolute;left:4337;top:5934;width:3176;height:4549" coordorigin="4338,5935" coordsize="3176,4549" path="m5925,5935l4338,8209,5925,10483,7513,8209,5925,5935xe" filled="true" fillcolor="#eaf4f2" stroked="false">
              <v:path arrowok="t"/>
              <v:fill type="solid"/>
            </v:shape>
            <v:shape style="position:absolute;left:4437;top:6077;width:2977;height:4265" coordorigin="4437,6077" coordsize="2977,4265" path="m5925,6077l4437,8209,5925,10341,7414,8209,5925,6077xe" filled="true" fillcolor="#ebf4f2" stroked="false">
              <v:path arrowok="t"/>
              <v:fill type="solid"/>
            </v:shape>
            <v:shape style="position:absolute;left:4536;top:6219;width:2779;height:3980" coordorigin="4536,6219" coordsize="2779,3980" path="m5925,6219l4536,8209,5925,10199,7315,8209,5925,6219xe" filled="true" fillcolor="#ecf5f3" stroked="false">
              <v:path arrowok="t"/>
              <v:fill type="solid"/>
            </v:shape>
            <v:shape style="position:absolute;left:4635;top:6361;width:2580;height:3696" coordorigin="4635,6361" coordsize="2580,3696" path="m5925,6361l4635,8209,5925,10057,7215,8209,5925,6361xe" filled="true" fillcolor="#edf6f4" stroked="false">
              <v:path arrowok="t"/>
              <v:fill type="solid"/>
            </v:shape>
            <v:shape style="position:absolute;left:4734;top:6503;width:2382;height:3412" coordorigin="4735,6503" coordsize="2382,3412" path="m5925,6503l4735,8209,5925,9915,7116,8209,5925,6503xe" filled="true" fillcolor="#eff7f5" stroked="false">
              <v:path arrowok="t"/>
              <v:fill type="solid"/>
            </v:shape>
            <v:shape style="position:absolute;left:4833;top:6645;width:2184;height:3127" coordorigin="4834,6646" coordsize="2184,3127" path="m5925,6646l4834,8209,5925,9772,7017,8209,5925,6646xe" filled="true" fillcolor="#f0f7f5" stroked="false">
              <v:path arrowok="t"/>
              <v:fill type="solid"/>
            </v:shape>
            <v:shape style="position:absolute;left:4933;top:6787;width:1985;height:2843" coordorigin="4933,6788" coordsize="1985,2843" path="m5925,6788l4933,8209,5925,9630,6918,8209,5925,6788xe" filled="true" fillcolor="#f1f8f6" stroked="false">
              <v:path arrowok="t"/>
              <v:fill type="solid"/>
            </v:shape>
            <v:shape style="position:absolute;left:5032;top:6929;width:1787;height:2559" coordorigin="5032,6930" coordsize="1787,2559" path="m5925,6930l5032,8209,5925,9488,6819,8209,5925,6930xe" filled="true" fillcolor="#f2f8f7" stroked="false">
              <v:path arrowok="t"/>
              <v:fill type="solid"/>
            </v:shape>
            <v:shape style="position:absolute;left:5131;top:7071;width:1588;height:2275" coordorigin="5132,7072" coordsize="1588,2275" path="m5925,7072l5132,8209,5925,9346,6719,8209,5925,7072xe" filled="true" fillcolor="#f3f9f8" stroked="false">
              <v:path arrowok="t"/>
              <v:fill type="solid"/>
            </v:shape>
            <v:shape style="position:absolute;left:5230;top:7214;width:1390;height:1990" coordorigin="5231,7214" coordsize="1390,1990" path="m5925,7214l5231,8209,5925,9204,6620,8209,5925,7214xe" filled="true" fillcolor="#f5f9f8" stroked="false">
              <v:path arrowok="t"/>
              <v:fill type="solid"/>
            </v:shape>
            <v:shape style="position:absolute;left:5330;top:7356;width:1191;height:1706" coordorigin="5330,7356" coordsize="1191,1706" path="m5925,7356l5330,8209,5925,9062,6521,8209,5925,7356xe" filled="true" fillcolor="#f6faf9" stroked="false">
              <v:path arrowok="t"/>
              <v:fill type="solid"/>
            </v:shape>
            <v:shape style="position:absolute;left:5429;top:7498;width:993;height:1422" coordorigin="5429,7498" coordsize="993,1422" path="m5925,7498l5429,8209,5925,8920,6422,8209,5925,7498xe" filled="true" fillcolor="#f8fbfa" stroked="false">
              <v:path arrowok="t"/>
              <v:fill type="solid"/>
            </v:shape>
            <v:shape style="position:absolute;left:5528;top:7640;width:794;height:1138" coordorigin="5529,7640" coordsize="794,1138" path="m5925,7640l5529,8209,5925,8778,6322,8209,5925,7640xe" filled="true" fillcolor="#f9fcfc" stroked="false">
              <v:path arrowok="t"/>
              <v:fill type="solid"/>
            </v:shape>
            <v:shape style="position:absolute;left:5627;top:7782;width:596;height:853" coordorigin="5628,7783" coordsize="596,853" path="m5925,7783l5628,8209,5925,8635,6223,8209,5925,7783xe" filled="true" fillcolor="#fbfdfd" stroked="false">
              <v:path arrowok="t"/>
              <v:fill type="solid"/>
            </v:shape>
            <v:shape style="position:absolute;left:5727;top:7924;width:397;height:569" coordorigin="5727,7925" coordsize="397,569" path="m5925,7925l5727,8209,5925,8493,6124,8209,5925,7925xe" filled="true" fillcolor="#fdfefe" stroked="false">
              <v:path arrowok="t"/>
              <v:fill type="solid"/>
            </v:shape>
            <v:shape style="position:absolute;left:5826;top:8066;width:199;height:285" coordorigin="5826,8067" coordsize="199,285" path="m5925,8067l5826,8209,5925,8351,6025,8209,5925,8067xe" filled="true" fillcolor="#ffffff" stroked="false">
              <v:path arrowok="t"/>
              <v:fill type="solid"/>
            </v:shape>
            <v:rect style="position:absolute;left:775;top:827;width:10300;height:14763" filled="false" stroked="true" strokeweight="1pt" strokecolor="#009483">
              <v:stroke dashstyle="solid"/>
            </v:rect>
            <v:shape style="position:absolute;left:6135;top:11350;width:4700;height:3868" coordorigin="6136,11350" coordsize="4700,3868" path="m10836,11350l6136,11350,6136,11700,6136,11710,6136,15218,10836,15218,10836,11710,10836,11700,10836,11350xe" filled="true" fillcolor="#ffffff" stroked="false">
              <v:path arrowok="t"/>
              <v:fill type="solid"/>
            </v:shape>
            <v:shape style="position:absolute;left:9050;top:13153;width:190;height:359" type="#_x0000_t75" stroked="false">
              <v:imagedata r:id="rId41" o:title=""/>
            </v:shape>
            <v:shape style="position:absolute;left:7910;top:13288;width:233;height:397" type="#_x0000_t75" stroked="false">
              <v:imagedata r:id="rId42" o:title=""/>
            </v:shape>
            <v:shape style="position:absolute;left:6150;top:11924;width:120;height:3000" coordorigin="6151,11924" coordsize="120,3000" path="m6271,14324l6151,14324m6271,14624l6151,14624m6271,14924l6151,14924m6271,14024l6151,14024m6271,13724l6151,13724m6271,13424l6151,13424m6271,13124l6151,13124m6271,12824l6151,12824m6271,12524l6151,12524m6271,12224l6151,12224m6271,11924l6151,11924e" filled="false" stroked="true" strokeweight=".5pt" strokecolor="#000000">
              <v:path arrowok="t"/>
              <v:stroke dashstyle="solid"/>
            </v:shape>
            <v:shape style="position:absolute;left:6410;top:12044;width:3760;height:2560" coordorigin="6411,12044" coordsize="3760,2560" path="m6411,13564l6471,13684,6551,13444,6631,14084,6711,13764,6791,14384,6871,14064,6951,14024,7031,13904,7111,13544,7191,13584,7271,13824,7351,14244,7411,14244,7491,14164,7571,13844,7651,13904,7731,14084,7811,14164,7891,14164,7971,14224,8051,14604,8131,14364,8211,14404,8291,14124,8351,13884,8431,14064,8511,13844,8591,13804,8671,13444,8751,13464,8831,13204,8991,12844,9071,12684,9231,12804,9291,12744,9371,12584,9451,12684,9611,12364,9691,12184,9771,12204,9851,12084,9931,12204,10011,12284,10091,12124,10171,12044e" filled="false" stroked="true" strokeweight="1pt" strokecolor="#008256">
              <v:path arrowok="t"/>
              <v:stroke dashstyle="solid"/>
            </v:shape>
            <v:shape style="position:absolute;left:6410;top:12764;width:3760;height:1720" coordorigin="6411,12764" coordsize="3760,1720" path="m6411,13864l6471,13444,6551,13624,6631,14004,6711,14044,6791,13804,6871,13884,6951,14084,7031,14144,7191,14184,7271,14064,7351,13964,7411,14184,7491,14264,7571,14244,7651,14244,7731,14324,7811,14484,7891,14384,7971,14324,8051,14304,8131,14224,8211,14244,8291,14204,8351,13984,8431,13764,8511,13604,8591,13324,8671,13424,8751,13224,8831,13164,8911,13244,8991,12944,9071,12944,9151,12764,9231,12964,9291,13004,9371,12944,9451,13104,9611,12944,9691,13064,9771,13064,9851,12984,9931,13204,10011,13104,10091,13384,10171,13164e" filled="false" stroked="true" strokeweight="1pt" strokecolor="#ac6e90">
              <v:path arrowok="t"/>
              <v:stroke dashstyle="solid"/>
            </v:shape>
            <v:shape style="position:absolute;left:8210;top:12724;width:1400;height:1360" coordorigin="8211,12724" coordsize="1400,1360" path="m8211,14084l8371,13924,8431,13844,8511,13724,8591,13624,8671,13504,8751,13424,8831,13324,8911,13244,9071,13044,9151,12924,9231,12864,9371,12724,9611,12844e" filled="false" stroked="true" strokeweight="1pt" strokecolor="#ed1b2d">
              <v:path arrowok="t"/>
              <v:stroke dashstyle="solid"/>
            </v:shape>
            <v:shape style="position:absolute;left:6410;top:12424;width:3440;height:1640" coordorigin="6411,12424" coordsize="3440,1640" path="m6411,13684l6471,13644,6551,13624,6791,13684,7031,13504,7271,13804,7351,13824,7411,13824,7491,13844,7891,14044,7971,14064,8131,13824,8211,13724,8291,13764,8351,13804,8431,13864,8511,13704,8591,13564,8831,13084,8911,12904,8991,12924,9151,12924,9211,12824,9371,12624,9451,12544,9611,12424,9851,12844e" filled="false" stroked="true" strokeweight="1pt" strokecolor="#0066a5">
              <v:path arrowok="t"/>
              <v:stroke dashstyle="solid"/>
            </v:shape>
            <v:shape style="position:absolute;left:6390;top:11924;width:4040;height:3000" coordorigin="6391,11924" coordsize="4040,3000" path="m6391,14924l10151,14924m6391,14924l6391,14884m6471,14924l6471,14884m6551,14924l6551,14884m6631,14924l6631,14884m6711,14924l6711,14884m6791,14924l6791,14884m6871,14924l6871,14884m6951,14924l6951,14884m7031,14924l7031,14884m7111,14924l7111,14884m7191,14924l7191,14884m7251,14924l7251,14884m7331,14924l7331,14884m7411,14924l7411,14884m7491,14924l7491,14884m7571,14924l7571,14884m7651,14924l7651,14884m7731,14924l7731,14884m7811,14924l7811,14884m7891,14924l7891,14884m7971,14924l7971,14884m8051,14924l8051,14884m8131,14924l8131,14884m8211,14924l8211,14884m8291,14924l8291,14884m8351,14924l8351,14884m8431,14924l8431,14884m8511,14924l8511,14884m8591,14924l8591,14884m8671,14924l8671,14884m8751,14924l8751,14884m8831,14924l8831,14884m8911,14924l8911,14884m8991,14924l8991,14884m9071,14924l9071,14884m9151,14924l9151,14884m9211,14924l9211,14884m9291,14924l9291,14884m9371,14924l9371,14884m9451,14924l9451,14884m9531,14924l9531,14884m9611,14924l9611,14884m9691,14924l9691,14884m9771,14924l9771,14884m9851,14924l9851,14884m9931,14924l9931,14884m10011,14924l10011,14884m10091,14924l10091,14884m10151,14924l10151,14884m6391,14924l6391,14824m7331,14924l7331,14824m8291,14924l8291,14824m9211,14924l9211,14824m10151,14924l10151,14824m10431,14324l10291,14324m10431,14624l10291,14624m10431,14924l10291,14924m10431,14024l10291,14024m10431,13724l10291,13724m10431,13424l10291,13424m10431,13124l10291,13124m10431,12824l10291,12824m10431,12524l10291,12524m10431,12224l10291,12224m10431,11924l10291,11924e" filled="false" stroked="true" strokeweight=".5pt" strokecolor="#000000">
              <v:path arrowok="t"/>
              <v:stroke dashstyle="solid"/>
            </v:shape>
            <v:rect style="position:absolute;left:6145;top:15220;width:4690;height:210" filled="true" fillcolor="#ffffff" stroked="false">
              <v:fill type="solid"/>
            </v:rect>
            <v:line style="position:absolute" from="6140,11340" to="10850,11340" stroked="true" strokeweight=".125pt" strokecolor="#231f20">
              <v:stroke dashstyle="solid"/>
            </v:line>
            <w10:wrap type="none"/>
          </v:group>
        </w:pict>
      </w:r>
      <w:r>
        <w:rPr>
          <w:color w:val="231F20"/>
          <w:sz w:val="23"/>
        </w:rPr>
        <w:t>however, extending their questionnaire to include the number of bedrooms. Second, it is less timely than the Halifax and Nationwide indices. The Land Registry records sales at the date of completion, whereas the Halifax and Nationwide use the approval date; and Land Registry data are</w:t>
      </w:r>
    </w:p>
    <w:p>
      <w:pPr>
        <w:spacing w:line="124" w:lineRule="exact" w:before="0"/>
        <w:ind w:left="4540" w:right="0" w:firstLine="0"/>
        <w:jc w:val="left"/>
        <w:rPr>
          <w:sz w:val="16"/>
        </w:rPr>
      </w:pPr>
      <w:r>
        <w:rPr/>
        <w:br w:type="column"/>
      </w:r>
      <w:r>
        <w:rPr>
          <w:sz w:val="16"/>
        </w:rPr>
        <w:t>+</w:t>
      </w:r>
    </w:p>
    <w:p>
      <w:pPr>
        <w:spacing w:line="107" w:lineRule="exact" w:before="20"/>
        <w:ind w:left="4740" w:right="0" w:firstLine="0"/>
        <w:jc w:val="left"/>
        <w:rPr>
          <w:sz w:val="12"/>
        </w:rPr>
      </w:pPr>
      <w:r>
        <w:rPr>
          <w:sz w:val="12"/>
        </w:rPr>
        <w:t>0</w:t>
      </w:r>
    </w:p>
    <w:p>
      <w:pPr>
        <w:spacing w:line="153" w:lineRule="exact" w:before="0"/>
        <w:ind w:left="4540" w:right="0" w:firstLine="0"/>
        <w:jc w:val="left"/>
        <w:rPr>
          <w:sz w:val="16"/>
        </w:rPr>
      </w:pPr>
      <w:r>
        <w:rPr>
          <w:sz w:val="16"/>
        </w:rPr>
        <w:t>_</w:t>
      </w:r>
    </w:p>
    <w:p>
      <w:pPr>
        <w:spacing w:before="40"/>
        <w:ind w:left="4740" w:right="0" w:firstLine="0"/>
        <w:jc w:val="left"/>
        <w:rPr>
          <w:sz w:val="12"/>
        </w:rPr>
      </w:pPr>
      <w:r>
        <w:rPr>
          <w:sz w:val="12"/>
        </w:rPr>
        <w:t>2</w:t>
      </w:r>
    </w:p>
    <w:p>
      <w:pPr>
        <w:spacing w:before="1"/>
        <w:ind w:left="1242" w:right="0" w:firstLine="0"/>
        <w:jc w:val="left"/>
        <w:rPr>
          <w:sz w:val="12"/>
        </w:rPr>
      </w:pPr>
      <w:r>
        <w:rPr>
          <w:sz w:val="12"/>
        </w:rPr>
        <w:t>Halifax house</w:t>
      </w:r>
    </w:p>
    <w:p>
      <w:pPr>
        <w:tabs>
          <w:tab w:pos="4800" w:val="right" w:leader="none"/>
        </w:tabs>
        <w:spacing w:before="2"/>
        <w:ind w:left="1302" w:right="0" w:firstLine="0"/>
        <w:jc w:val="left"/>
        <w:rPr>
          <w:sz w:val="12"/>
        </w:rPr>
      </w:pPr>
      <w:r>
        <w:rPr>
          <w:sz w:val="12"/>
        </w:rPr>
        <w:t>price index</w:t>
        <w:tab/>
      </w:r>
      <w:r>
        <w:rPr>
          <w:position w:val="-1"/>
          <w:sz w:val="12"/>
        </w:rPr>
        <w:t>4</w:t>
      </w:r>
    </w:p>
    <w:p>
      <w:pPr>
        <w:pStyle w:val="BodyText"/>
        <w:spacing w:before="2"/>
        <w:rPr>
          <w:sz w:val="14"/>
        </w:rPr>
      </w:pPr>
    </w:p>
    <w:p>
      <w:pPr>
        <w:spacing w:line="126" w:lineRule="exact" w:before="0"/>
        <w:ind w:left="4740" w:right="0" w:firstLine="0"/>
        <w:jc w:val="left"/>
        <w:rPr>
          <w:sz w:val="12"/>
        </w:rPr>
      </w:pPr>
      <w:r>
        <w:rPr>
          <w:sz w:val="12"/>
        </w:rPr>
        <w:t>6</w:t>
      </w:r>
    </w:p>
    <w:p>
      <w:pPr>
        <w:tabs>
          <w:tab w:pos="1920" w:val="left" w:leader="none"/>
          <w:tab w:pos="2860" w:val="left" w:leader="none"/>
          <w:tab w:pos="3800" w:val="left" w:leader="none"/>
          <w:tab w:pos="4320" w:val="left" w:leader="none"/>
        </w:tabs>
        <w:spacing w:line="126" w:lineRule="exact" w:before="0"/>
        <w:ind w:left="920" w:right="0" w:firstLine="0"/>
        <w:jc w:val="left"/>
        <w:rPr>
          <w:sz w:val="12"/>
        </w:rPr>
      </w:pPr>
      <w:r>
        <w:rPr>
          <w:sz w:val="12"/>
        </w:rPr>
        <w:t>1994</w:t>
        <w:tab/>
        <w:t>95</w:t>
        <w:tab/>
        <w:t>96</w:t>
        <w:tab/>
        <w:t>97</w:t>
        <w:tab/>
        <w:t>98</w:t>
      </w:r>
    </w:p>
    <w:p>
      <w:pPr>
        <w:pStyle w:val="BodyText"/>
        <w:spacing w:before="8"/>
        <w:rPr>
          <w:sz w:val="9"/>
        </w:rPr>
      </w:pPr>
    </w:p>
    <w:p>
      <w:pPr>
        <w:spacing w:before="0"/>
        <w:ind w:left="385" w:right="0" w:firstLine="0"/>
        <w:jc w:val="left"/>
        <w:rPr>
          <w:sz w:val="12"/>
        </w:rPr>
      </w:pPr>
      <w:r>
        <w:rPr>
          <w:color w:val="231F20"/>
          <w:sz w:val="12"/>
        </w:rPr>
        <w:t>(a) Land Registry data for England and Wales only.</w:t>
      </w:r>
    </w:p>
    <w:p>
      <w:pPr>
        <w:spacing w:after="0"/>
        <w:jc w:val="left"/>
        <w:rPr>
          <w:sz w:val="12"/>
        </w:rPr>
        <w:sectPr>
          <w:type w:val="continuous"/>
          <w:pgSz w:w="11880" w:h="16840"/>
          <w:pgMar w:top="1200" w:bottom="280" w:left="620" w:right="620"/>
          <w:cols w:num="2" w:equalWidth="0">
            <w:col w:w="5032" w:space="128"/>
            <w:col w:w="5480"/>
          </w:cols>
        </w:sectPr>
      </w:pPr>
    </w:p>
    <w:p>
      <w:pPr>
        <w:pStyle w:val="BodyText"/>
        <w:rPr>
          <w:sz w:val="20"/>
        </w:rPr>
      </w:pPr>
    </w:p>
    <w:p>
      <w:pPr>
        <w:pStyle w:val="BodyText"/>
        <w:spacing w:before="10"/>
        <w:rPr>
          <w:sz w:val="20"/>
        </w:rPr>
      </w:pPr>
    </w:p>
    <w:p>
      <w:pPr>
        <w:pStyle w:val="Heading5"/>
        <w:spacing w:line="242" w:lineRule="auto"/>
        <w:ind w:left="4994" w:right="260"/>
      </w:pPr>
      <w:bookmarkStart w:name="Stockbuilding" w:id="41"/>
      <w:bookmarkEnd w:id="41"/>
      <w:r>
        <w:rPr/>
      </w:r>
      <w:bookmarkStart w:name="_bookmark14" w:id="42"/>
      <w:bookmarkEnd w:id="42"/>
      <w:r>
        <w:rPr/>
      </w:r>
      <w:r>
        <w:rPr>
          <w:color w:val="231F20"/>
        </w:rPr>
        <w:t>suggests that one reason why investment has not risen faster during this recovery is that firms may have begun the recovery with large amounts of spare capacity and, related to this, high levels of indebtedness.</w:t>
      </w:r>
      <w:r>
        <w:rPr>
          <w:color w:val="231F20"/>
          <w:position w:val="5"/>
          <w:sz w:val="16"/>
        </w:rPr>
        <w:t>(1) </w:t>
      </w:r>
      <w:r>
        <w:rPr>
          <w:color w:val="231F20"/>
        </w:rPr>
        <w:t>So to assess the investment picture, it is important to look not only at rates of growth of investment flows, but also at how far firms are from their desired capital stock.</w:t>
      </w:r>
    </w:p>
    <w:p>
      <w:pPr>
        <w:pStyle w:val="BodyText"/>
        <w:spacing w:before="1"/>
        <w:rPr>
          <w:sz w:val="25"/>
        </w:rPr>
      </w:pPr>
    </w:p>
    <w:p>
      <w:pPr>
        <w:spacing w:line="242" w:lineRule="auto" w:before="0"/>
        <w:ind w:left="4994" w:right="188" w:firstLine="0"/>
        <w:jc w:val="left"/>
        <w:rPr>
          <w:sz w:val="24"/>
        </w:rPr>
      </w:pPr>
      <w:r>
        <w:rPr>
          <w:color w:val="231F20"/>
          <w:sz w:val="24"/>
        </w:rPr>
        <w:t>Business investment has grown more quickly than whole-economy investment since the recovery began, though the rate of growth of business investment slowed during 1997, contrary to the MPC’s expectations. There are several reasons to expect a relatively strong profile for business investment, including a lower user cost of capital, high stock market valuations, high levels of profitability, increasing capacity constraints and the ready availability of finance. The apparent weakness in investment may be partly the result of incomplete recording of investment spending. For example, reports from the Bank’s regional Agencies have suggested that IT equipment, because of its short economic life, may have been recorded as current rather than capital expenditure. And spending on software, which is not currently classified as investment in the National Accounts, has become more important relative to spending on machinery. In September 1998, the United Kingdom will begin to use the new European System of Accounting, which will record software expenditure as investment.</w:t>
      </w:r>
    </w:p>
    <w:p>
      <w:pPr>
        <w:pStyle w:val="BodyText"/>
        <w:spacing w:before="7"/>
        <w:rPr>
          <w:sz w:val="20"/>
        </w:rPr>
      </w:pPr>
    </w:p>
    <w:p>
      <w:pPr>
        <w:spacing w:after="0"/>
        <w:rPr>
          <w:sz w:val="20"/>
        </w:rPr>
        <w:sectPr>
          <w:pgSz w:w="11880" w:h="16840"/>
          <w:pgMar w:header="586" w:footer="597" w:top="780" w:bottom="780" w:left="620" w:right="620"/>
        </w:sectPr>
      </w:pPr>
    </w:p>
    <w:p>
      <w:pPr>
        <w:pStyle w:val="BodyText"/>
        <w:rPr>
          <w:sz w:val="22"/>
        </w:rPr>
      </w:pPr>
    </w:p>
    <w:p>
      <w:pPr>
        <w:pStyle w:val="BodyText"/>
        <w:rPr>
          <w:sz w:val="22"/>
        </w:rPr>
      </w:pPr>
    </w:p>
    <w:p>
      <w:pPr>
        <w:pStyle w:val="BodyText"/>
        <w:spacing w:before="3"/>
        <w:rPr>
          <w:sz w:val="29"/>
        </w:rPr>
      </w:pPr>
    </w:p>
    <w:p>
      <w:pPr>
        <w:pStyle w:val="Heading9"/>
        <w:spacing w:before="0"/>
        <w:ind w:left="210"/>
      </w:pPr>
      <w:r>
        <w:rPr>
          <w:color w:val="0093C1"/>
        </w:rPr>
        <w:t>Chart 2.8</w:t>
      </w:r>
    </w:p>
    <w:p>
      <w:pPr>
        <w:spacing w:before="10"/>
        <w:ind w:left="210" w:right="0" w:firstLine="0"/>
        <w:jc w:val="left"/>
        <w:rPr>
          <w:b/>
          <w:sz w:val="20"/>
        </w:rPr>
      </w:pPr>
      <w:r>
        <w:rPr>
          <w:b/>
          <w:color w:val="0093C1"/>
          <w:sz w:val="20"/>
        </w:rPr>
        <w:t>Stock to sales ratio</w:t>
      </w:r>
    </w:p>
    <w:p>
      <w:pPr>
        <w:pStyle w:val="BodyText"/>
        <w:spacing w:before="1" w:after="40"/>
        <w:rPr>
          <w:b/>
          <w:sz w:val="21"/>
        </w:rPr>
      </w:pPr>
    </w:p>
    <w:p>
      <w:pPr>
        <w:pStyle w:val="BodyText"/>
        <w:spacing w:line="20" w:lineRule="exact"/>
        <w:ind w:left="2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2"/>
        <w:rPr>
          <w:b/>
          <w:sz w:val="26"/>
        </w:rPr>
      </w:pPr>
      <w:r>
        <w:rPr/>
        <w:pict>
          <v:shape style="position:absolute;margin-left:44pt;margin-top:17.25pt;width:5pt;height:.1pt;mso-position-horizontal-relative:page;mso-position-vertical-relative:paragraph;z-index:-15601152;mso-wrap-distance-left:0;mso-wrap-distance-right:0" coordorigin="880,345" coordsize="100,0" path="m980,345l880,345e" filled="false" stroked="true" strokeweight=".5pt" strokecolor="#000000">
            <v:path arrowok="t"/>
            <v:stroke dashstyle="solid"/>
            <w10:wrap type="topAndBottom"/>
          </v:shape>
        </w:pict>
      </w:r>
      <w:r>
        <w:rPr/>
        <w:pict>
          <v:shape style="position:absolute;margin-left:44pt;margin-top:36.25pt;width:5pt;height:.1pt;mso-position-horizontal-relative:page;mso-position-vertical-relative:paragraph;z-index:-15600640;mso-wrap-distance-left:0;mso-wrap-distance-right:0" coordorigin="880,725" coordsize="100,0" path="m980,725l880,725e" filled="false" stroked="true" strokeweight=".5pt" strokecolor="#000000">
            <v:path arrowok="t"/>
            <v:stroke dashstyle="solid"/>
            <w10:wrap type="topAndBottom"/>
          </v:shape>
        </w:pict>
      </w:r>
      <w:r>
        <w:rPr/>
        <w:pict>
          <v:shape style="position:absolute;margin-left:44pt;margin-top:55.25pt;width:5pt;height:.1pt;mso-position-horizontal-relative:page;mso-position-vertical-relative:paragraph;z-index:-15600128;mso-wrap-distance-left:0;mso-wrap-distance-right:0" coordorigin="880,1105" coordsize="100,0" path="m980,1105l880,1105e" filled="false" stroked="true" strokeweight=".5pt" strokecolor="#000000">
            <v:path arrowok="t"/>
            <v:stroke dashstyle="solid"/>
            <w10:wrap type="topAndBottom"/>
          </v:shape>
        </w:pict>
      </w:r>
      <w:r>
        <w:rPr/>
        <w:pict>
          <v:shape style="position:absolute;margin-left:44pt;margin-top:74.25pt;width:5pt;height:.1pt;mso-position-horizontal-relative:page;mso-position-vertical-relative:paragraph;z-index:-15599616;mso-wrap-distance-left:0;mso-wrap-distance-right:0" coordorigin="880,1485" coordsize="100,0" path="m980,1485l880,1485e" filled="false" stroked="true" strokeweight=".5pt" strokecolor="#000000">
            <v:path arrowok="t"/>
            <v:stroke dashstyle="solid"/>
            <w10:wrap type="topAndBottom"/>
          </v:shape>
        </w:pict>
      </w:r>
      <w:r>
        <w:rPr/>
        <w:pict>
          <v:shape style="position:absolute;margin-left:44pt;margin-top:93.25pt;width:5pt;height:.1pt;mso-position-horizontal-relative:page;mso-position-vertical-relative:paragraph;z-index:-15599104;mso-wrap-distance-left:0;mso-wrap-distance-right:0" coordorigin="880,1865" coordsize="100,0" path="m980,1865l880,1865e" filled="false" stroked="true" strokeweight=".5pt" strokecolor="#000000">
            <v:path arrowok="t"/>
            <v:stroke dashstyle="solid"/>
            <w10:wrap type="topAndBottom"/>
          </v:shape>
        </w:pict>
      </w:r>
    </w:p>
    <w:p>
      <w:pPr>
        <w:pStyle w:val="BodyText"/>
        <w:spacing w:before="3"/>
        <w:rPr>
          <w:b/>
          <w:sz w:val="26"/>
        </w:rPr>
      </w:pPr>
    </w:p>
    <w:p>
      <w:pPr>
        <w:pStyle w:val="BodyText"/>
        <w:spacing w:before="3"/>
        <w:rPr>
          <w:b/>
          <w:sz w:val="26"/>
        </w:rPr>
      </w:pPr>
    </w:p>
    <w:p>
      <w:pPr>
        <w:pStyle w:val="BodyText"/>
        <w:spacing w:before="3"/>
        <w:rPr>
          <w:b/>
          <w:sz w:val="26"/>
        </w:rPr>
      </w:pPr>
    </w:p>
    <w:p>
      <w:pPr>
        <w:pStyle w:val="BodyText"/>
        <w:spacing w:before="3"/>
        <w:rPr>
          <w:b/>
          <w:sz w:val="26"/>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6"/>
        </w:rPr>
      </w:pPr>
    </w:p>
    <w:p>
      <w:pPr>
        <w:spacing w:line="119" w:lineRule="exact" w:before="0"/>
        <w:ind w:left="210" w:right="0" w:firstLine="0"/>
        <w:jc w:val="left"/>
        <w:rPr>
          <w:sz w:val="12"/>
        </w:rPr>
      </w:pPr>
      <w:r>
        <w:rPr>
          <w:sz w:val="12"/>
        </w:rPr>
        <w:t>1990 = 100</w:t>
      </w:r>
    </w:p>
    <w:p>
      <w:pPr>
        <w:spacing w:line="119" w:lineRule="exact" w:before="0"/>
        <w:ind w:left="756" w:right="0" w:firstLine="0"/>
        <w:jc w:val="left"/>
        <w:rPr>
          <w:sz w:val="12"/>
        </w:rPr>
      </w:pPr>
      <w:r>
        <w:rPr/>
        <w:pict>
          <v:line style="position:absolute;mso-position-horizontal-relative:page;mso-position-vertical-relative:paragraph;z-index:15866368" from="214pt,2.484866pt" to="209pt,2.484866pt" stroked="true" strokeweight=".5pt" strokecolor="#000000">
            <v:stroke dashstyle="solid"/>
            <w10:wrap type="none"/>
          </v:line>
        </w:pict>
      </w:r>
      <w:r>
        <w:rPr>
          <w:sz w:val="12"/>
        </w:rPr>
        <w:t>110.0</w:t>
      </w:r>
    </w:p>
    <w:p>
      <w:pPr>
        <w:pStyle w:val="BodyText"/>
        <w:rPr>
          <w:sz w:val="12"/>
        </w:rPr>
      </w:pPr>
    </w:p>
    <w:p>
      <w:pPr>
        <w:spacing w:before="84"/>
        <w:ind w:left="0" w:right="38" w:firstLine="0"/>
        <w:jc w:val="right"/>
        <w:rPr>
          <w:sz w:val="12"/>
        </w:rPr>
      </w:pPr>
      <w:r>
        <w:rPr/>
        <w:pict>
          <v:group style="position:absolute;margin-left:53.5pt;margin-top:6.134573pt;width:151pt;height:133.75pt;mso-position-horizontal-relative:page;mso-position-vertical-relative:paragraph;z-index:15861760" coordorigin="1070,123" coordsize="3020,2675">
            <v:shape style="position:absolute;left:1080;top:132;width:3000;height:1660" coordorigin="1080,133" coordsize="3000,1660" path="m1080,1413l1180,1373,1280,1353,1380,1013,1480,1373,1580,1273,1680,1293,1780,1453,1880,1213,1980,1473,2080,1433,2180,1453,2280,1793,2380,1793,2480,1613,2580,1493,2680,1433,2780,1233,2880,1193,3180,833,3280,593,3380,413,3480,133,3580,213,3680,393,3780,533,3880,333,3980,413,4080,233e" filled="false" stroked="true" strokeweight="1pt" strokecolor="#0066a5">
              <v:path arrowok="t"/>
              <v:stroke dashstyle="solid"/>
            </v:shape>
            <v:shape style="position:absolute;left:1080;top:1252;width:3000;height:1440" coordorigin="1080,1253" coordsize="3000,1440" path="m1080,1253l1180,1293,1280,1253,1380,1353,1480,1393,1580,1473,1680,1593,1780,1753,1880,1713,1980,1833,2080,1913,2180,2033,2280,2193,2380,2233,2480,2353,2580,2373,2680,2473,2780,2533,2880,2673,2980,2653,3080,2693,3180,2613,3280,2453,3480,2413,3580,2433,3780,2513,3880,2453,3980,2493,4080,2593e" filled="false" stroked="true" strokeweight="1pt" strokecolor="#ed1b2d">
              <v:path arrowok="t"/>
              <v:stroke dashstyle="solid"/>
            </v:shape>
            <v:shape style="position:absolute;left:1080;top:2719;width:3000;height:74" coordorigin="1080,2719" coordsize="3000,74" path="m1080,2793l4080,2793m1080,2793l1080,2753m1180,2793l1180,2766m1280,2793l1280,2766m1380,2793l1380,2766m1480,2793l1480,2753m1580,2793l1580,2766m1680,2793l1680,2766m1780,2793l1780,2766m1880,2793l1880,2753m1980,2793l1980,2766m2080,2793l2080,2766m2180,2793l2180,2766m2280,2793l2280,2753m2380,2793l2380,2766m2480,2793l2480,2766m2580,2793l2580,2766m2680,2793l2680,2753m2780,2793l2780,2766m2880,2793l2880,2766m2980,2793l2980,2766m3080,2793l3080,2753m3180,2793l3180,2766m3280,2793l3280,2766m3380,2793l3380,2766m3480,2793l3480,2753m3580,2793l3580,2766m3680,2793l3680,2766m3780,2793l3780,2766m3880,2793l3880,2753m3980,2793l3980,2766m4080,2793l4080,2766m1080,2793l1080,2719m1480,2793l1480,2719m1880,2793l1880,2719m2280,2793l2280,2719m2680,2793l2680,2719m3080,2793l3080,2719m3480,2793l3480,2719m3880,2793l3880,2719e" filled="false" stroked="true" strokeweight=".5pt" strokecolor="#000000">
              <v:path arrowok="t"/>
              <v:stroke dashstyle="solid"/>
            </v:shape>
            <v:shape style="position:absolute;left:2696;top:715;width:470;height:133" type="#_x0000_t202" filled="false" stroked="false">
              <v:textbox inset="0,0,0,0">
                <w:txbxContent>
                  <w:p>
                    <w:pPr>
                      <w:spacing w:line="133" w:lineRule="exact" w:before="0"/>
                      <w:ind w:left="0" w:right="0" w:firstLine="0"/>
                      <w:jc w:val="left"/>
                      <w:rPr>
                        <w:sz w:val="12"/>
                      </w:rPr>
                    </w:pPr>
                    <w:r>
                      <w:rPr>
                        <w:sz w:val="12"/>
                      </w:rPr>
                      <w:t>Retail (a)</w:t>
                    </w:r>
                  </w:p>
                </w:txbxContent>
              </v:textbox>
              <w10:wrap type="none"/>
            </v:shape>
            <v:shape style="position:absolute;left:2490;top:2195;width:444;height:133" type="#_x0000_t202" filled="false" stroked="false">
              <v:textbox inset="0,0,0,0">
                <w:txbxContent>
                  <w:p>
                    <w:pPr>
                      <w:spacing w:line="133" w:lineRule="exact" w:before="0"/>
                      <w:ind w:left="0" w:right="0" w:firstLine="0"/>
                      <w:jc w:val="left"/>
                      <w:rPr>
                        <w:sz w:val="12"/>
                      </w:rPr>
                    </w:pPr>
                    <w:r>
                      <w:rPr>
                        <w:sz w:val="12"/>
                      </w:rPr>
                      <w:t>Total (b)</w:t>
                    </w:r>
                  </w:p>
                </w:txbxContent>
              </v:textbox>
              <w10:wrap type="none"/>
            </v:shape>
            <w10:wrap type="none"/>
          </v:group>
        </w:pict>
      </w:r>
      <w:r>
        <w:rPr/>
        <w:pict>
          <v:line style="position:absolute;mso-position-horizontal-relative:page;mso-position-vertical-relative:paragraph;z-index:15865856" from="214pt,7.634573pt" to="209pt,7.634573pt" stroked="true" strokeweight=".5pt" strokecolor="#000000">
            <v:stroke dashstyle="solid"/>
            <w10:wrap type="none"/>
          </v:line>
        </w:pict>
      </w:r>
      <w:r>
        <w:rPr>
          <w:sz w:val="12"/>
        </w:rPr>
        <w:t>107.5</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5344" from="214pt,8.634558pt" to="209pt,8.634558pt" stroked="true" strokeweight=".5pt" strokecolor="#000000">
            <v:stroke dashstyle="solid"/>
            <w10:wrap type="none"/>
          </v:line>
        </w:pict>
      </w:r>
      <w:r>
        <w:rPr>
          <w:sz w:val="12"/>
        </w:rPr>
        <w:t>105.0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4832" from="214pt,8.634558pt" to="209pt,8.634558pt" stroked="true" strokeweight=".5pt" strokecolor="#000000">
            <v:stroke dashstyle="solid"/>
            <w10:wrap type="none"/>
          </v:line>
        </w:pict>
      </w:r>
      <w:r>
        <w:rPr>
          <w:sz w:val="12"/>
        </w:rPr>
        <w:t>102.5</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4320" from="214pt,8.634558pt" to="209pt,8.634558pt" stroked="true" strokeweight=".5pt" strokecolor="#000000">
            <v:stroke dashstyle="solid"/>
            <w10:wrap type="none"/>
          </v:line>
        </w:pict>
      </w:r>
      <w:r>
        <w:rPr>
          <w:sz w:val="12"/>
        </w:rPr>
        <w:t>100.0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3808" from="214pt,8.634558pt" to="209pt,8.634558pt" stroked="true" strokeweight=".5pt" strokecolor="#000000">
            <v:stroke dashstyle="solid"/>
            <w10:wrap type="none"/>
          </v:line>
        </w:pict>
      </w:r>
      <w:r>
        <w:rPr>
          <w:sz w:val="12"/>
        </w:rPr>
        <w:t>97.5</w:t>
      </w:r>
    </w:p>
    <w:p>
      <w:pPr>
        <w:pStyle w:val="Heading6"/>
        <w:spacing w:before="90"/>
        <w:ind w:left="210"/>
        <w:rPr>
          <w:i/>
        </w:rPr>
      </w:pPr>
      <w:r>
        <w:rPr>
          <w:i w:val="0"/>
        </w:rPr>
        <w:br w:type="column"/>
      </w:r>
      <w:r>
        <w:rPr>
          <w:i/>
          <w:color w:val="009483"/>
        </w:rPr>
        <w:t>Stockbuilding</w:t>
      </w:r>
    </w:p>
    <w:p>
      <w:pPr>
        <w:spacing w:line="242" w:lineRule="auto" w:before="164"/>
        <w:ind w:left="210" w:right="219" w:firstLine="0"/>
        <w:jc w:val="left"/>
        <w:rPr>
          <w:sz w:val="24"/>
        </w:rPr>
      </w:pPr>
      <w:r>
        <w:rPr>
          <w:color w:val="231F20"/>
          <w:sz w:val="24"/>
        </w:rPr>
        <w:t>Stocks, excluding the alignment adjustment, reduced GDP growth by 0.5 percentage points in 1997 Q3, having reduced growth by 0.2 percentage points in the previous quarter. In 1990 prices, stocks rose by</w:t>
      </w:r>
    </w:p>
    <w:p>
      <w:pPr>
        <w:spacing w:line="242" w:lineRule="auto" w:before="5"/>
        <w:ind w:left="210" w:right="219" w:firstLine="0"/>
        <w:jc w:val="left"/>
        <w:rPr>
          <w:sz w:val="24"/>
        </w:rPr>
      </w:pPr>
      <w:r>
        <w:rPr>
          <w:color w:val="231F20"/>
          <w:sz w:val="24"/>
        </w:rPr>
        <w:t>£260 million in 1997 Q3, the smallest quarterly increase for three years (excluding the alignment adjustment).</w:t>
      </w:r>
    </w:p>
    <w:p>
      <w:pPr>
        <w:spacing w:line="242" w:lineRule="auto" w:before="3"/>
        <w:ind w:left="210" w:right="212" w:firstLine="0"/>
        <w:jc w:val="left"/>
        <w:rPr>
          <w:sz w:val="24"/>
        </w:rPr>
      </w:pPr>
      <w:r>
        <w:rPr>
          <w:color w:val="231F20"/>
          <w:sz w:val="24"/>
        </w:rPr>
        <w:t>In making its projections, the MPC has assumed that the fall in the ratio of stocks to output since the early 1980s will continue at a moderate pace during the next two years, as stock management techniques continue to improve.</w:t>
      </w:r>
    </w:p>
    <w:p>
      <w:pPr>
        <w:spacing w:after="0" w:line="242" w:lineRule="auto"/>
        <w:jc w:val="left"/>
        <w:rPr>
          <w:sz w:val="24"/>
        </w:rPr>
        <w:sectPr>
          <w:type w:val="continuous"/>
          <w:pgSz w:w="11880" w:h="16840"/>
          <w:pgMar w:top="1200" w:bottom="280" w:left="620" w:right="620"/>
          <w:cols w:num="3" w:equalWidth="0">
            <w:col w:w="1856" w:space="1065"/>
            <w:col w:w="1067" w:space="797"/>
            <w:col w:w="5855"/>
          </w:cols>
        </w:sectPr>
      </w:pPr>
    </w:p>
    <w:p>
      <w:pPr>
        <w:pStyle w:val="BodyText"/>
        <w:rPr>
          <w:sz w:val="20"/>
        </w:rPr>
      </w:pPr>
    </w:p>
    <w:p>
      <w:pPr>
        <w:pStyle w:val="BodyText"/>
        <w:spacing w:line="20" w:lineRule="exact"/>
        <w:ind w:left="2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7"/>
        </w:rPr>
      </w:pPr>
      <w:r>
        <w:rPr/>
        <w:pict>
          <v:shape style="position:absolute;margin-left:44pt;margin-top:18.25pt;width:5pt;height:.1pt;mso-position-horizontal-relative:page;mso-position-vertical-relative:paragraph;z-index:-15598080;mso-wrap-distance-left:0;mso-wrap-distance-right:0" coordorigin="880,365" coordsize="100,0" path="m980,365l880,365e" filled="false" stroked="true" strokeweight=".5pt" strokecolor="#000000">
            <v:path arrowok="t"/>
            <v:stroke dashstyle="solid"/>
            <w10:wrap type="topAndBottom"/>
          </v:shape>
        </w:pict>
      </w:r>
      <w:r>
        <w:rPr/>
        <w:pict>
          <v:shape style="position:absolute;margin-left:44pt;margin-top:37.25pt;width:5pt;height:.1pt;mso-position-horizontal-relative:page;mso-position-vertical-relative:paragraph;z-index:-15597568;mso-wrap-distance-left:0;mso-wrap-distance-right:0" coordorigin="880,745" coordsize="100,0" path="m980,745l880,745e" filled="false" stroked="true" strokeweight=".5pt" strokecolor="#000000">
            <v:path arrowok="t"/>
            <v:stroke dashstyle="solid"/>
            <w10:wrap type="topAndBottom"/>
          </v:shape>
        </w:pict>
      </w:r>
    </w:p>
    <w:p>
      <w:pPr>
        <w:pStyle w:val="BodyText"/>
        <w:spacing w:before="3"/>
        <w:rPr>
          <w:sz w:val="26"/>
        </w:rPr>
      </w:pPr>
    </w:p>
    <w:p>
      <w:pPr>
        <w:tabs>
          <w:tab w:pos="989" w:val="left" w:leader="none"/>
          <w:tab w:pos="1389" w:val="left" w:leader="none"/>
          <w:tab w:pos="1789" w:val="left" w:leader="none"/>
          <w:tab w:pos="2189" w:val="left" w:leader="none"/>
          <w:tab w:pos="2589" w:val="left" w:leader="none"/>
          <w:tab w:pos="2989" w:val="left" w:leader="none"/>
        </w:tabs>
        <w:spacing w:before="0"/>
        <w:ind w:left="529" w:right="0" w:firstLine="0"/>
        <w:jc w:val="left"/>
        <w:rPr>
          <w:sz w:val="12"/>
        </w:rPr>
      </w:pPr>
      <w:r>
        <w:rPr>
          <w:sz w:val="12"/>
        </w:rPr>
        <w:t>1990</w:t>
        <w:tab/>
        <w:t>91</w:t>
        <w:tab/>
        <w:t>92</w:t>
        <w:tab/>
        <w:t>93</w:t>
        <w:tab/>
        <w:t>94</w:t>
        <w:tab/>
        <w:t>95</w:t>
        <w:tab/>
        <w:t>96</w:t>
      </w:r>
      <w:r>
        <w:rPr>
          <w:spacing w:val="20"/>
          <w:sz w:val="12"/>
        </w:rPr>
        <w:t> </w:t>
      </w:r>
      <w:r>
        <w:rPr>
          <w:sz w:val="12"/>
        </w:rPr>
        <w:t>97</w:t>
      </w:r>
    </w:p>
    <w:p>
      <w:pPr>
        <w:pStyle w:val="BodyText"/>
        <w:spacing w:before="10"/>
        <w:rPr>
          <w:sz w:val="9"/>
        </w:rPr>
      </w:pPr>
    </w:p>
    <w:p>
      <w:pPr>
        <w:spacing w:line="120" w:lineRule="exact" w:before="0"/>
        <w:ind w:left="430" w:right="0" w:hanging="240"/>
        <w:jc w:val="left"/>
        <w:rPr>
          <w:sz w:val="12"/>
        </w:rPr>
      </w:pPr>
      <w:r>
        <w:rPr>
          <w:color w:val="231F20"/>
          <w:sz w:val="12"/>
        </w:rPr>
        <w:t>(a) Level of retail stocks outstanding relative to quarterly retail sales. Excludes motor trades.</w:t>
      </w:r>
    </w:p>
    <w:p>
      <w:pPr>
        <w:pStyle w:val="BodyText"/>
        <w:spacing w:before="6"/>
        <w:rPr>
          <w:sz w:val="14"/>
        </w:rPr>
      </w:pPr>
      <w:r>
        <w:rPr/>
        <w:br w:type="column"/>
      </w:r>
      <w:r>
        <w:rPr>
          <w:sz w:val="14"/>
        </w:rPr>
      </w:r>
    </w:p>
    <w:p>
      <w:pPr>
        <w:spacing w:before="0"/>
        <w:ind w:left="121" w:right="0" w:firstLine="0"/>
        <w:jc w:val="left"/>
        <w:rPr>
          <w:sz w:val="12"/>
        </w:rPr>
      </w:pPr>
      <w:r>
        <w:rPr>
          <w:sz w:val="12"/>
        </w:rPr>
        <w:t>95.0</w:t>
      </w:r>
    </w:p>
    <w:p>
      <w:pPr>
        <w:pStyle w:val="BodyText"/>
        <w:rPr>
          <w:sz w:val="12"/>
        </w:rPr>
      </w:pPr>
    </w:p>
    <w:p>
      <w:pPr>
        <w:spacing w:before="104"/>
        <w:ind w:left="121" w:right="0" w:firstLine="0"/>
        <w:jc w:val="left"/>
        <w:rPr>
          <w:sz w:val="12"/>
        </w:rPr>
      </w:pPr>
      <w:r>
        <w:rPr/>
        <w:pict>
          <v:line style="position:absolute;mso-position-horizontal-relative:page;mso-position-vertical-relative:paragraph;z-index:15862784" from="214pt,8.634558pt" to="209pt,8.634558pt" stroked="true" strokeweight=".5pt" strokecolor="#000000">
            <v:stroke dashstyle="solid"/>
            <w10:wrap type="none"/>
          </v:line>
        </w:pict>
      </w:r>
      <w:r>
        <w:rPr/>
        <w:pict>
          <v:line style="position:absolute;mso-position-horizontal-relative:page;mso-position-vertical-relative:paragraph;z-index:15863296" from="214pt,-10.365442pt" to="209pt,-10.365442pt" stroked="true" strokeweight=".5pt" strokecolor="#000000">
            <v:stroke dashstyle="solid"/>
            <w10:wrap type="none"/>
          </v:line>
        </w:pict>
      </w:r>
      <w:r>
        <w:rPr>
          <w:sz w:val="12"/>
        </w:rPr>
        <w:t>92.5</w:t>
      </w:r>
    </w:p>
    <w:p>
      <w:pPr>
        <w:pStyle w:val="BodyText"/>
        <w:rPr>
          <w:sz w:val="12"/>
        </w:rPr>
      </w:pPr>
    </w:p>
    <w:p>
      <w:pPr>
        <w:spacing w:before="104"/>
        <w:ind w:left="121" w:right="0" w:firstLine="0"/>
        <w:jc w:val="left"/>
        <w:rPr>
          <w:sz w:val="12"/>
        </w:rPr>
      </w:pPr>
      <w:r>
        <w:rPr/>
        <w:pict>
          <v:line style="position:absolute;mso-position-horizontal-relative:page;mso-position-vertical-relative:paragraph;z-index:15862272" from="214pt,8.634558pt" to="209pt,8.634558pt" stroked="true" strokeweight=".5pt" strokecolor="#000000">
            <v:stroke dashstyle="solid"/>
            <w10:wrap type="none"/>
          </v:line>
        </w:pict>
      </w:r>
      <w:r>
        <w:rPr>
          <w:sz w:val="12"/>
        </w:rPr>
        <w:t>90.0</w:t>
      </w:r>
    </w:p>
    <w:p>
      <w:pPr>
        <w:pStyle w:val="BodyText"/>
        <w:spacing w:before="10"/>
        <w:rPr>
          <w:sz w:val="24"/>
        </w:rPr>
      </w:pPr>
      <w:r>
        <w:rPr/>
        <w:br w:type="column"/>
      </w:r>
      <w:r>
        <w:rPr>
          <w:sz w:val="24"/>
        </w:rPr>
      </w:r>
    </w:p>
    <w:p>
      <w:pPr>
        <w:pStyle w:val="Heading5"/>
        <w:ind w:left="190"/>
      </w:pPr>
      <w:r>
        <w:rPr>
          <w:color w:val="231F20"/>
        </w:rPr>
        <w:t>Retail stocks rose by a cumulative total of nearly</w:t>
      </w:r>
    </w:p>
    <w:p>
      <w:pPr>
        <w:spacing w:before="4"/>
        <w:ind w:left="190" w:right="0" w:firstLine="0"/>
        <w:jc w:val="left"/>
        <w:rPr>
          <w:sz w:val="24"/>
        </w:rPr>
      </w:pPr>
      <w:r>
        <w:rPr>
          <w:color w:val="231F20"/>
          <w:sz w:val="24"/>
        </w:rPr>
        <w:t>£900 million in the first three quarters of 1997.</w:t>
      </w:r>
    </w:p>
    <w:p>
      <w:pPr>
        <w:spacing w:line="242" w:lineRule="auto" w:before="4"/>
        <w:ind w:left="190" w:right="450" w:firstLine="0"/>
        <w:jc w:val="left"/>
        <w:rPr>
          <w:sz w:val="24"/>
        </w:rPr>
      </w:pPr>
      <w:r>
        <w:rPr>
          <w:color w:val="231F20"/>
          <w:sz w:val="24"/>
        </w:rPr>
        <w:t>Chart 2.8 shows that the retail stocks to sales ratio </w:t>
      </w:r>
      <w:r>
        <w:rPr>
          <w:color w:val="231F20"/>
          <w:spacing w:val="-6"/>
          <w:sz w:val="24"/>
        </w:rPr>
        <w:t>has </w:t>
      </w:r>
      <w:r>
        <w:rPr>
          <w:color w:val="231F20"/>
          <w:sz w:val="24"/>
        </w:rPr>
        <w:t>been on a broadly upward trend since 1993.</w:t>
      </w:r>
      <w:r>
        <w:rPr>
          <w:color w:val="231F20"/>
          <w:spacing w:val="58"/>
          <w:sz w:val="24"/>
        </w:rPr>
        <w:t> </w:t>
      </w:r>
      <w:r>
        <w:rPr>
          <w:color w:val="231F20"/>
          <w:sz w:val="24"/>
        </w:rPr>
        <w:t>This</w:t>
      </w:r>
    </w:p>
    <w:p>
      <w:pPr>
        <w:spacing w:after="0" w:line="242" w:lineRule="auto"/>
        <w:jc w:val="left"/>
        <w:rPr>
          <w:sz w:val="24"/>
        </w:rPr>
        <w:sectPr>
          <w:type w:val="continuous"/>
          <w:pgSz w:w="11880" w:h="16840"/>
          <w:pgMar w:top="1200" w:bottom="280" w:left="620" w:right="620"/>
          <w:cols w:num="3" w:equalWidth="0">
            <w:col w:w="3576" w:space="40"/>
            <w:col w:w="372" w:space="817"/>
            <w:col w:w="5835"/>
          </w:cols>
        </w:sectPr>
      </w:pPr>
    </w:p>
    <w:p>
      <w:pPr>
        <w:spacing w:line="208" w:lineRule="auto" w:before="0"/>
        <w:ind w:left="430" w:right="38" w:hanging="240"/>
        <w:jc w:val="both"/>
        <w:rPr>
          <w:sz w:val="12"/>
        </w:rPr>
      </w:pPr>
      <w:r>
        <w:rPr>
          <w:color w:val="231F20"/>
          <w:sz w:val="12"/>
        </w:rPr>
        <w:t>(b) Level of total stocks outstanding relative to quarterly total final sales. Total final sales are defined as domestic expenditure plus UK exports minus stockbuilding. Excludes alignment adjustment.</w:t>
      </w:r>
    </w:p>
    <w:p>
      <w:pPr>
        <w:pStyle w:val="Heading5"/>
        <w:spacing w:line="177" w:lineRule="exact"/>
        <w:ind w:left="194"/>
      </w:pPr>
      <w:r>
        <w:rPr/>
        <w:br w:type="column"/>
      </w:r>
      <w:r>
        <w:rPr>
          <w:color w:val="231F20"/>
        </w:rPr>
        <w:t>reflects a corresponding downward trend in the ratio of</w:t>
      </w:r>
    </w:p>
    <w:p>
      <w:pPr>
        <w:spacing w:before="4"/>
        <w:ind w:left="194" w:right="0" w:firstLine="0"/>
        <w:jc w:val="left"/>
        <w:rPr>
          <w:sz w:val="24"/>
        </w:rPr>
      </w:pPr>
      <w:r>
        <w:rPr>
          <w:color w:val="231F20"/>
          <w:sz w:val="24"/>
        </w:rPr>
        <w:t>wholesale stocks to turnover, as retailers have</w:t>
      </w:r>
    </w:p>
    <w:p>
      <w:pPr>
        <w:pStyle w:val="BodyText"/>
        <w:spacing w:before="10"/>
        <w:rPr>
          <w:sz w:val="9"/>
        </w:rPr>
      </w:pPr>
      <w:r>
        <w:rPr/>
        <w:pict>
          <v:shape style="position:absolute;margin-left:278.869995pt;margin-top:7.73147pt;width:276.75pt;height:.1pt;mso-position-horizontal-relative:page;mso-position-vertical-relative:paragraph;z-index:-15597056;mso-wrap-distance-left:0;mso-wrap-distance-right:0" coordorigin="5577,155" coordsize="5535,0" path="m5577,155l11112,155e" filled="false" stroked="true" strokeweight=".125pt" strokecolor="#231f20">
            <v:path arrowok="t"/>
            <v:stroke dashstyle="solid"/>
            <w10:wrap type="topAndBottom"/>
          </v:shape>
        </w:pict>
      </w:r>
    </w:p>
    <w:p>
      <w:pPr>
        <w:pStyle w:val="ListParagraph"/>
        <w:numPr>
          <w:ilvl w:val="0"/>
          <w:numId w:val="15"/>
        </w:numPr>
        <w:tabs>
          <w:tab w:pos="431" w:val="left" w:leader="none"/>
        </w:tabs>
        <w:spacing w:line="136" w:lineRule="exact" w:before="0" w:after="0"/>
        <w:ind w:left="430" w:right="0" w:hanging="241"/>
        <w:jc w:val="left"/>
        <w:rPr>
          <w:sz w:val="16"/>
        </w:rPr>
      </w:pPr>
      <w:r>
        <w:rPr>
          <w:color w:val="231F20"/>
          <w:sz w:val="16"/>
        </w:rPr>
        <w:t>Whitaker, S (1998), ‘Investment in this recovery: an assessment’,</w:t>
      </w:r>
    </w:p>
    <w:p>
      <w:pPr>
        <w:spacing w:line="172" w:lineRule="exact" w:before="0"/>
        <w:ind w:left="430" w:right="0" w:firstLine="0"/>
        <w:jc w:val="left"/>
        <w:rPr>
          <w:sz w:val="16"/>
        </w:rPr>
      </w:pPr>
      <w:r>
        <w:rPr>
          <w:i/>
          <w:color w:val="231F20"/>
          <w:sz w:val="16"/>
        </w:rPr>
        <w:t>Quarterly Bulletin</w:t>
      </w:r>
      <w:r>
        <w:rPr>
          <w:color w:val="231F20"/>
          <w:sz w:val="16"/>
        </w:rPr>
        <w:t>, February, pages 38–47.</w:t>
      </w:r>
    </w:p>
    <w:p>
      <w:pPr>
        <w:spacing w:after="0" w:line="172" w:lineRule="exact"/>
        <w:jc w:val="left"/>
        <w:rPr>
          <w:sz w:val="16"/>
        </w:rPr>
        <w:sectPr>
          <w:type w:val="continuous"/>
          <w:pgSz w:w="11880" w:h="16840"/>
          <w:pgMar w:top="1200" w:bottom="280" w:left="620" w:right="620"/>
          <w:cols w:num="2" w:equalWidth="0">
            <w:col w:w="3809" w:space="991"/>
            <w:col w:w="5840"/>
          </w:cols>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Heading5"/>
        <w:spacing w:line="242" w:lineRule="auto" w:before="220"/>
        <w:ind w:left="4985" w:right="160"/>
      </w:pPr>
      <w:bookmarkStart w:name="Public sector demand" w:id="43"/>
      <w:bookmarkEnd w:id="43"/>
      <w:r>
        <w:rPr/>
      </w:r>
      <w:bookmarkStart w:name="Output" w:id="44"/>
      <w:bookmarkEnd w:id="44"/>
      <w:r>
        <w:rPr/>
      </w:r>
      <w:bookmarkStart w:name="_bookmark15" w:id="45"/>
      <w:bookmarkEnd w:id="45"/>
      <w:r>
        <w:rPr/>
      </w:r>
      <w:r>
        <w:rPr>
          <w:color w:val="231F20"/>
        </w:rPr>
        <w:t>increasingly taken over stockholding from wholesalers. It is perhaps more surprising that the ratio has risen during the past year, when retail sales </w:t>
      </w:r>
      <w:r>
        <w:rPr>
          <w:color w:val="231F20"/>
          <w:spacing w:val="-3"/>
        </w:rPr>
        <w:t>have </w:t>
      </w:r>
      <w:r>
        <w:rPr>
          <w:color w:val="231F20"/>
        </w:rPr>
        <w:t>increased at their fastest rate for nearly a decade. This could </w:t>
      </w:r>
      <w:r>
        <w:rPr>
          <w:color w:val="231F20"/>
          <w:spacing w:val="-3"/>
        </w:rPr>
        <w:t>have </w:t>
      </w:r>
      <w:r>
        <w:rPr>
          <w:color w:val="231F20"/>
        </w:rPr>
        <w:t>been because retailers were increasing their stocks in anticipation of </w:t>
      </w:r>
      <w:r>
        <w:rPr>
          <w:color w:val="231F20"/>
          <w:spacing w:val="-3"/>
        </w:rPr>
        <w:t>even </w:t>
      </w:r>
      <w:r>
        <w:rPr>
          <w:color w:val="231F20"/>
        </w:rPr>
        <w:t>stronger demand: the </w:t>
      </w:r>
      <w:r>
        <w:rPr>
          <w:color w:val="231F20"/>
          <w:spacing w:val="-3"/>
        </w:rPr>
        <w:t>Bank’s </w:t>
      </w:r>
      <w:r>
        <w:rPr>
          <w:color w:val="231F20"/>
        </w:rPr>
        <w:t>regional Agencies </w:t>
      </w:r>
      <w:r>
        <w:rPr>
          <w:color w:val="231F20"/>
          <w:spacing w:val="-3"/>
        </w:rPr>
        <w:t>have </w:t>
      </w:r>
      <w:r>
        <w:rPr>
          <w:color w:val="231F20"/>
        </w:rPr>
        <w:t>reported a stock overhang </w:t>
      </w:r>
      <w:r>
        <w:rPr>
          <w:color w:val="231F20"/>
          <w:spacing w:val="-4"/>
        </w:rPr>
        <w:t>among </w:t>
      </w:r>
      <w:r>
        <w:rPr>
          <w:color w:val="231F20"/>
        </w:rPr>
        <w:t>retailers, and strong price discounting in the January sales.</w:t>
      </w:r>
    </w:p>
    <w:p>
      <w:pPr>
        <w:pStyle w:val="BodyText"/>
        <w:spacing w:before="4"/>
        <w:rPr>
          <w:sz w:val="25"/>
        </w:rPr>
      </w:pPr>
    </w:p>
    <w:p>
      <w:pPr>
        <w:pStyle w:val="Heading6"/>
        <w:ind w:left="4985"/>
        <w:rPr>
          <w:i/>
        </w:rPr>
      </w:pPr>
      <w:r>
        <w:rPr>
          <w:i/>
          <w:color w:val="009483"/>
        </w:rPr>
        <w:t>Public sector demand</w:t>
      </w:r>
    </w:p>
    <w:p>
      <w:pPr>
        <w:spacing w:line="242" w:lineRule="auto" w:before="164"/>
        <w:ind w:left="4985" w:right="201" w:firstLine="0"/>
        <w:jc w:val="left"/>
        <w:rPr>
          <w:sz w:val="24"/>
        </w:rPr>
      </w:pPr>
      <w:r>
        <w:rPr>
          <w:color w:val="231F20"/>
          <w:sz w:val="24"/>
        </w:rPr>
        <w:t>The Public Sector Borrowing Requirement (PSBR) for the first nine months of fiscal year 1997/98 was</w:t>
      </w:r>
    </w:p>
    <w:p>
      <w:pPr>
        <w:spacing w:line="242" w:lineRule="auto" w:before="2"/>
        <w:ind w:left="4985" w:right="128" w:firstLine="0"/>
        <w:jc w:val="left"/>
        <w:rPr>
          <w:sz w:val="24"/>
        </w:rPr>
      </w:pPr>
      <w:r>
        <w:rPr>
          <w:color w:val="231F20"/>
          <w:sz w:val="24"/>
        </w:rPr>
        <w:t>£6.1 billion, compared with £16.3 billion in the first nine months of the previous fiscal year. The </w:t>
      </w:r>
      <w:r>
        <w:rPr>
          <w:i/>
          <w:color w:val="231F20"/>
          <w:sz w:val="24"/>
        </w:rPr>
        <w:t>Pre-Budget </w:t>
      </w:r>
      <w:r>
        <w:rPr>
          <w:i/>
          <w:color w:val="231F20"/>
          <w:sz w:val="24"/>
        </w:rPr>
        <w:t>Report </w:t>
      </w:r>
      <w:r>
        <w:rPr>
          <w:color w:val="231F20"/>
          <w:sz w:val="24"/>
        </w:rPr>
        <w:t>on 25 November revised down the 1997/98 PSBR forecast by £1.4 billion to £11.9 billion (£9.5 billion when the windfall tax and associated spending are included). The largest change was to cyclical social security spending, which was revised down by £1 billion for 1997/98 in the </w:t>
      </w:r>
      <w:r>
        <w:rPr>
          <w:i/>
          <w:color w:val="231F20"/>
          <w:sz w:val="24"/>
        </w:rPr>
        <w:t>Pre-Budget Report</w:t>
      </w:r>
      <w:r>
        <w:rPr>
          <w:color w:val="231F20"/>
          <w:sz w:val="24"/>
        </w:rPr>
        <w:t>, reflecting the fall in unemployment since July.</w:t>
      </w:r>
    </w:p>
    <w:p>
      <w:pPr>
        <w:pStyle w:val="BodyText"/>
        <w:spacing w:before="4"/>
        <w:rPr>
          <w:sz w:val="25"/>
        </w:rPr>
      </w:pPr>
    </w:p>
    <w:p>
      <w:pPr>
        <w:spacing w:line="242" w:lineRule="auto" w:before="0"/>
        <w:ind w:left="4985" w:right="183" w:firstLine="0"/>
        <w:jc w:val="left"/>
        <w:rPr>
          <w:sz w:val="24"/>
        </w:rPr>
      </w:pPr>
      <w:r>
        <w:rPr>
          <w:color w:val="231F20"/>
          <w:sz w:val="24"/>
        </w:rPr>
        <w:t>In its assessment of the outlook for the public finances, the MPC has taken government nominal expenditure plans and effective tax rates from the July Budget and the November </w:t>
      </w:r>
      <w:r>
        <w:rPr>
          <w:i/>
          <w:color w:val="231F20"/>
          <w:sz w:val="24"/>
        </w:rPr>
        <w:t>Pre-Budget Report </w:t>
      </w:r>
      <w:r>
        <w:rPr>
          <w:color w:val="231F20"/>
          <w:sz w:val="24"/>
        </w:rPr>
        <w:t>as its central case. </w:t>
      </w:r>
      <w:r>
        <w:rPr>
          <w:color w:val="231F20"/>
          <w:spacing w:val="-5"/>
          <w:sz w:val="24"/>
        </w:rPr>
        <w:t>But </w:t>
      </w:r>
      <w:r>
        <w:rPr>
          <w:color w:val="231F20"/>
          <w:sz w:val="24"/>
        </w:rPr>
        <w:t>the distribution of possible inflation outcomes takes account of the risks from fiscal </w:t>
      </w:r>
      <w:r>
        <w:rPr>
          <w:color w:val="231F20"/>
          <w:spacing w:val="-3"/>
          <w:sz w:val="24"/>
        </w:rPr>
        <w:t>policy, </w:t>
      </w:r>
      <w:r>
        <w:rPr>
          <w:color w:val="231F20"/>
          <w:sz w:val="24"/>
        </w:rPr>
        <w:t>drawing on the past variance and skewness of nominal expenditure outturns compared with announced plans.</w:t>
      </w:r>
    </w:p>
    <w:p>
      <w:pPr>
        <w:pStyle w:val="BodyText"/>
        <w:rPr>
          <w:sz w:val="22"/>
        </w:rPr>
      </w:pPr>
    </w:p>
    <w:p>
      <w:pPr>
        <w:pStyle w:val="Heading3"/>
        <w:numPr>
          <w:ilvl w:val="1"/>
          <w:numId w:val="16"/>
        </w:numPr>
        <w:tabs>
          <w:tab w:pos="9394" w:val="left" w:leader="none"/>
          <w:tab w:pos="9395" w:val="left" w:leader="none"/>
          <w:tab w:pos="10487" w:val="left" w:leader="none"/>
        </w:tabs>
        <w:spacing w:line="240" w:lineRule="auto" w:before="0" w:after="0"/>
        <w:ind w:left="9394" w:right="0" w:hanging="4410"/>
        <w:jc w:val="left"/>
      </w:pPr>
      <w:r>
        <w:rPr>
          <w:color w:val="009483"/>
          <w:u w:val="thick" w:color="0093C1"/>
        </w:rPr>
        <w:t>Output</w:t>
        <w:tab/>
      </w:r>
    </w:p>
    <w:p>
      <w:pPr>
        <w:pStyle w:val="BodyText"/>
        <w:spacing w:before="1"/>
        <w:rPr>
          <w:b/>
          <w:sz w:val="15"/>
        </w:rPr>
      </w:pPr>
    </w:p>
    <w:p>
      <w:pPr>
        <w:spacing w:after="0"/>
        <w:rPr>
          <w:sz w:val="15"/>
        </w:rPr>
        <w:sectPr>
          <w:pgSz w:w="11880" w:h="16840"/>
          <w:pgMar w:header="586" w:footer="617" w:top="780" w:bottom="800" w:left="620" w:right="620"/>
        </w:sectPr>
      </w:pPr>
    </w:p>
    <w:p>
      <w:pPr>
        <w:pStyle w:val="BodyText"/>
        <w:spacing w:before="7"/>
        <w:rPr>
          <w:b/>
          <w:sz w:val="28"/>
        </w:rPr>
      </w:pPr>
    </w:p>
    <w:p>
      <w:pPr>
        <w:pStyle w:val="Heading9"/>
        <w:spacing w:before="0"/>
        <w:ind w:left="192"/>
      </w:pPr>
      <w:r>
        <w:rPr>
          <w:color w:val="0093C1"/>
        </w:rPr>
        <w:t>Chart 2.9</w:t>
      </w:r>
    </w:p>
    <w:p>
      <w:pPr>
        <w:spacing w:before="10"/>
        <w:ind w:left="192" w:right="0" w:firstLine="0"/>
        <w:jc w:val="left"/>
        <w:rPr>
          <w:sz w:val="12"/>
        </w:rPr>
      </w:pPr>
      <w:r>
        <w:rPr>
          <w:b/>
          <w:color w:val="0093C1"/>
          <w:sz w:val="20"/>
        </w:rPr>
        <w:t>Annual GDP growth</w:t>
      </w:r>
      <w:r>
        <w:rPr>
          <w:color w:val="231F20"/>
          <w:position w:val="4"/>
          <w:sz w:val="12"/>
        </w:rPr>
        <w:t>(a)</w:t>
      </w:r>
    </w:p>
    <w:p>
      <w:pPr>
        <w:spacing w:before="85"/>
        <w:ind w:left="1965" w:right="0" w:firstLine="0"/>
        <w:jc w:val="left"/>
        <w:rPr>
          <w:sz w:val="12"/>
        </w:rPr>
      </w:pPr>
      <w:r>
        <w:rPr/>
        <w:pict>
          <v:line style="position:absolute;mso-position-horizontal-relative:page;mso-position-vertical-relative:paragraph;z-index:15871488" from="48.130001pt,13.35156pt" to="43.130001pt,13.35156pt" stroked="true" strokeweight=".5pt" strokecolor="#000000">
            <v:stroke dashstyle="solid"/>
            <w10:wrap type="none"/>
          </v:line>
        </w:pict>
      </w:r>
      <w:r>
        <w:rPr/>
        <w:pict>
          <v:group style="position:absolute;margin-left:53.630001pt;margin-top:12.85156pt;width:161.5pt;height:150.75pt;mso-position-horizontal-relative:page;mso-position-vertical-relative:paragraph;z-index:-20216832" coordorigin="1073,257" coordsize="3230,3015">
            <v:shape style="position:absolute;left:1082;top:267;width:3020;height:2920" coordorigin="1083,267" coordsize="3020,2920" path="m1083,1647l1183,1607,1283,2067,1363,2407,1463,2887,1563,3187,1663,2887,1763,2707,1863,2667,1963,2487,2063,2187,2163,2027,2243,1527,2343,1327,2443,1247,2543,1107,2643,767,2743,467,2843,307,2943,267,3023,627,3123,1047,3223,1327,3323,1387,3423,1327,3523,1227,3623,1187,3723,1027,3803,1027,3903,807,4003,727,4103,967e" filled="false" stroked="true" strokeweight="1pt" strokecolor="#008256">
              <v:path arrowok="t"/>
              <v:stroke dashstyle="solid"/>
            </v:shape>
            <v:shape style="position:absolute;left:1082;top:267;width:3200;height:3000" coordorigin="1083,267" coordsize="3200,3000" path="m1083,3267l4103,3267m1083,3267l1083,3227m1183,3267l1183,3227m1273,3267l1273,3227m1363,3267l1363,3227m1463,3267l1463,3227m1563,3267l1563,3227m1663,3267l1663,3227m1763,3267l1763,3227m1863,3267l1863,3227m1963,3267l1963,3227m2053,3267l2053,3227m2143,3267l2143,3227m2243,3267l2243,3227m2343,3267l2343,3227m2443,3267l2443,3227m2543,3267l2543,3227m2643,3267l2643,3227m2743,3267l2743,3227m2833,3267l2833,3227m2923,3267l2923,3227m3023,3267l3023,3227m3123,3267l3123,3227m3223,3267l3223,3227m3323,3267l3323,3227m3423,3267l3423,3227m3523,3267l3523,3227m3613,3267l3613,3227m3703,3267l3703,3227m3803,3267l3803,3227m3903,3267l3903,3227m4003,3267l4003,3227m4103,3267l4103,3227m1083,3267l1083,3167m1463,3267l1463,3167m1863,3267l1863,3167m2243,3267l2243,3167m2643,3267l2643,3167m3023,3267l3023,3167m3423,3267l3423,3167m3803,3267l3803,3167m4283,2507l4183,2507m4283,2887l4183,2887m4283,3267l4183,3267m4283,1767l4183,1767m4283,1387l4183,1387m4283,1007l4183,1007m4283,627l4183,627m4283,267l4183,267e" filled="false" stroked="true" strokeweight=".5pt" strokecolor="#000000">
              <v:path arrowok="t"/>
              <v:stroke dashstyle="solid"/>
            </v:shape>
            <v:line style="position:absolute" from="4103,1247" to="1083,1247" stroked="true" strokeweight=".5pt" strokecolor="#000000">
              <v:stroke dashstyle="dash"/>
            </v:line>
            <v:line style="position:absolute" from="1083,1267" to="1083,1267" stroked="true" strokeweight=".5pt" strokecolor="#000000">
              <v:stroke dashstyle="solid"/>
            </v:line>
            <v:line style="position:absolute" from="1653,664" to="1653,1144" stroked="true" strokeweight=".5pt" strokecolor="#000000">
              <v:stroke dashstyle="solid"/>
            </v:line>
            <v:shape style="position:absolute;left:1627;top:1126;width:51;height:85" coordorigin="1627,1127" coordsize="51,85" path="m1678,1127l1627,1127,1634,1143,1638,1155,1653,1211,1654,1203,1656,1192,1659,1180,1663,1167,1667,1156,1678,1127xe" filled="true" fillcolor="#000000" stroked="false">
              <v:path arrowok="t"/>
              <v:fill type="solid"/>
            </v:shape>
            <v:shape style="position:absolute;left:1292;top:370;width:890;height:253" type="#_x0000_t202" filled="false" stroked="false">
              <v:textbox inset="0,0,0,0">
                <w:txbxContent>
                  <w:p>
                    <w:pPr>
                      <w:spacing w:line="208" w:lineRule="auto" w:before="9"/>
                      <w:ind w:left="0" w:right="0" w:firstLine="0"/>
                      <w:jc w:val="left"/>
                      <w:rPr>
                        <w:sz w:val="12"/>
                      </w:rPr>
                    </w:pPr>
                    <w:r>
                      <w:rPr>
                        <w:sz w:val="12"/>
                      </w:rPr>
                      <w:t>Average annual growth (1955–97)</w:t>
                    </w:r>
                  </w:p>
                </w:txbxContent>
              </v:textbox>
              <w10:wrap type="none"/>
            </v:shape>
            <v:shape style="position:absolute;left:1082;top:2050;width:3220;height:133" type="#_x0000_t202" filled="false" stroked="false">
              <v:textbox inset="0,0,0,0">
                <w:txbxContent>
                  <w:p>
                    <w:pPr>
                      <w:tabs>
                        <w:tab w:pos="3019" w:val="left" w:leader="none"/>
                      </w:tabs>
                      <w:spacing w:line="133" w:lineRule="exact" w:before="0"/>
                      <w:ind w:left="0" w:right="0" w:firstLine="0"/>
                      <w:jc w:val="left"/>
                      <w:rPr>
                        <w:sz w:val="12"/>
                      </w:rPr>
                    </w:pPr>
                    <w:r>
                      <w:rPr>
                        <w:sz w:val="12"/>
                        <w:u w:val="single"/>
                      </w:rPr>
                      <w:t> </w:t>
                      <w:tab/>
                    </w:r>
                    <w:r>
                      <w:rPr>
                        <w:sz w:val="12"/>
                      </w:rPr>
                      <w:t>  </w:t>
                    </w:r>
                    <w:r>
                      <w:rPr>
                        <w:spacing w:val="-10"/>
                        <w:sz w:val="12"/>
                      </w:rPr>
                      <w:t> </w:t>
                    </w:r>
                    <w:r>
                      <w:rPr>
                        <w:sz w:val="12"/>
                        <w:u w:val="single"/>
                      </w:rPr>
                      <w:t> </w:t>
                    </w:r>
                    <w:r>
                      <w:rPr>
                        <w:spacing w:val="10"/>
                        <w:sz w:val="12"/>
                        <w:u w:val="single"/>
                      </w:rPr>
                      <w:t> </w:t>
                    </w:r>
                  </w:p>
                </w:txbxContent>
              </v:textbox>
              <w10:wrap type="none"/>
            </v:shape>
            <w10:wrap type="none"/>
          </v:group>
        </w:pict>
      </w:r>
      <w:r>
        <w:rPr>
          <w:sz w:val="12"/>
        </w:rPr>
        <w:t>Percentage change on a year earlier </w:t>
      </w:r>
      <w:r>
        <w:rPr>
          <w:position w:val="-7"/>
          <w:sz w:val="12"/>
        </w:rPr>
        <w:t>5</w:t>
      </w:r>
    </w:p>
    <w:p>
      <w:pPr>
        <w:pStyle w:val="BodyText"/>
        <w:spacing w:before="1"/>
        <w:rPr>
          <w:sz w:val="21"/>
        </w:rPr>
      </w:pPr>
    </w:p>
    <w:p>
      <w:pPr>
        <w:spacing w:before="0"/>
        <w:ind w:left="0" w:right="38" w:firstLine="0"/>
        <w:jc w:val="right"/>
        <w:rPr>
          <w:sz w:val="12"/>
        </w:rPr>
      </w:pPr>
      <w:r>
        <w:rPr/>
        <w:pict>
          <v:line style="position:absolute;mso-position-horizontal-relative:page;mso-position-vertical-relative:paragraph;z-index:15870976" from="48.130001pt,4.10156pt" to="43.130001pt,4.10156pt" stroked="true" strokeweight=".5pt" strokecolor="#000000">
            <v:stroke dashstyle="solid"/>
            <w10:wrap type="none"/>
          </v:line>
        </w:pict>
      </w:r>
      <w:r>
        <w:rPr>
          <w:sz w:val="12"/>
        </w:rPr>
        <w:t>4</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70464" from="48.130001pt,9.301559pt" to="43.130001pt,9.301559pt" stroked="true" strokeweight=".5pt" strokecolor="#000000">
            <v:stroke dashstyle="solid"/>
            <w10:wrap type="none"/>
          </v:line>
        </w:pict>
      </w:r>
      <w:r>
        <w:rPr>
          <w:sz w:val="12"/>
        </w:rPr>
        <w:t>3</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9952" from="48.130001pt,9.301559pt" to="43.130001pt,9.301559pt" stroked="true" strokeweight=".5pt" strokecolor="#000000">
            <v:stroke dashstyle="solid"/>
            <w10:wrap type="none"/>
          </v:line>
        </w:pict>
      </w:r>
      <w:r>
        <w:rPr>
          <w:sz w:val="12"/>
        </w:rPr>
        <w:t>2</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5869440" from="48.130001pt,9.301559pt" to="43.130001pt,9.301559pt" stroked="true" strokeweight=".5pt" strokecolor="#000000">
            <v:stroke dashstyle="solid"/>
            <w10:wrap type="none"/>
          </v:line>
        </w:pict>
      </w:r>
      <w:r>
        <w:rPr>
          <w:sz w:val="12"/>
        </w:rPr>
        <w:t>1</w:t>
      </w:r>
    </w:p>
    <w:p>
      <w:pPr>
        <w:spacing w:before="11"/>
        <w:ind w:left="3659" w:right="0" w:firstLine="0"/>
        <w:jc w:val="left"/>
        <w:rPr>
          <w:sz w:val="16"/>
        </w:rPr>
      </w:pPr>
      <w:r>
        <w:rPr>
          <w:sz w:val="16"/>
        </w:rPr>
        <w:t>+</w:t>
      </w:r>
    </w:p>
    <w:p>
      <w:pPr>
        <w:spacing w:line="134" w:lineRule="exact" w:before="47"/>
        <w:ind w:left="3732" w:right="0" w:firstLine="0"/>
        <w:jc w:val="left"/>
        <w:rPr>
          <w:sz w:val="12"/>
        </w:rPr>
      </w:pPr>
      <w:r>
        <w:rPr/>
        <w:pict>
          <v:line style="position:absolute;mso-position-horizontal-relative:page;mso-position-vertical-relative:paragraph;z-index:15868928" from="48.130001pt,7.45156pt" to="43.130001pt,7.45156pt" stroked="true" strokeweight=".5pt" strokecolor="#000000">
            <v:stroke dashstyle="solid"/>
            <w10:wrap type="none"/>
          </v:line>
        </w:pict>
      </w:r>
      <w:r>
        <w:rPr>
          <w:sz w:val="12"/>
        </w:rPr>
        <w:t>0</w:t>
      </w:r>
    </w:p>
    <w:p>
      <w:pPr>
        <w:spacing w:line="180" w:lineRule="exact" w:before="0"/>
        <w:ind w:left="3659" w:right="0" w:firstLine="0"/>
        <w:jc w:val="left"/>
        <w:rPr>
          <w:sz w:val="16"/>
        </w:rPr>
      </w:pPr>
      <w:r>
        <w:rPr>
          <w:sz w:val="16"/>
        </w:rPr>
        <w:t>_</w:t>
      </w:r>
    </w:p>
    <w:p>
      <w:pPr>
        <w:spacing w:before="67"/>
        <w:ind w:left="0" w:right="38" w:firstLine="0"/>
        <w:jc w:val="right"/>
        <w:rPr>
          <w:sz w:val="12"/>
        </w:rPr>
      </w:pPr>
      <w:r>
        <w:rPr/>
        <w:pict>
          <v:line style="position:absolute;mso-position-horizontal-relative:page;mso-position-vertical-relative:paragraph;z-index:15867392" from="48.130001pt,7.45156pt" to="43.130001pt,7.45156pt" stroked="true" strokeweight=".5pt" strokecolor="#000000">
            <v:stroke dashstyle="solid"/>
            <w10:wrap type="none"/>
          </v:line>
        </w:pict>
      </w:r>
      <w:r>
        <w:rPr>
          <w:sz w:val="12"/>
        </w:rPr>
        <w:t>1</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67904" from="48.130001pt,9.301559pt" to="43.130001pt,9.301559pt" stroked="true" strokeweight=".5pt" strokecolor="#000000">
            <v:stroke dashstyle="solid"/>
            <w10:wrap type="none"/>
          </v:line>
        </w:pict>
      </w:r>
      <w:r>
        <w:rPr>
          <w:sz w:val="12"/>
        </w:rPr>
        <w:t>2</w:t>
      </w:r>
    </w:p>
    <w:p>
      <w:pPr>
        <w:pStyle w:val="BodyText"/>
        <w:rPr>
          <w:sz w:val="12"/>
        </w:rPr>
      </w:pPr>
    </w:p>
    <w:p>
      <w:pPr>
        <w:spacing w:line="126" w:lineRule="exact" w:before="104"/>
        <w:ind w:left="3732" w:right="0" w:firstLine="0"/>
        <w:jc w:val="left"/>
        <w:rPr>
          <w:sz w:val="12"/>
        </w:rPr>
      </w:pPr>
      <w:r>
        <w:rPr/>
        <w:pict>
          <v:line style="position:absolute;mso-position-horizontal-relative:page;mso-position-vertical-relative:paragraph;z-index:15868416" from="48.130001pt,9.301559pt" to="43.130001pt,9.301559pt" stroked="true" strokeweight=".5pt" strokecolor="#000000">
            <v:stroke dashstyle="solid"/>
            <w10:wrap type="none"/>
          </v:line>
        </w:pict>
      </w:r>
      <w:r>
        <w:rPr>
          <w:sz w:val="12"/>
        </w:rPr>
        <w:t>3</w:t>
      </w:r>
    </w:p>
    <w:p>
      <w:pPr>
        <w:tabs>
          <w:tab w:pos="1385" w:val="left" w:leader="none"/>
          <w:tab w:pos="1765" w:val="left" w:leader="none"/>
          <w:tab w:pos="2165" w:val="left" w:leader="none"/>
          <w:tab w:pos="2545" w:val="left" w:leader="none"/>
          <w:tab w:pos="2945" w:val="left" w:leader="none"/>
          <w:tab w:pos="3305" w:val="left" w:leader="none"/>
        </w:tabs>
        <w:spacing w:line="126" w:lineRule="exact" w:before="0"/>
        <w:ind w:left="545" w:right="0" w:firstLine="0"/>
        <w:jc w:val="left"/>
        <w:rPr>
          <w:sz w:val="12"/>
        </w:rPr>
      </w:pPr>
      <w:r>
        <w:rPr>
          <w:sz w:val="12"/>
        </w:rPr>
        <w:t>1990     </w:t>
      </w:r>
      <w:r>
        <w:rPr>
          <w:spacing w:val="20"/>
          <w:sz w:val="12"/>
        </w:rPr>
        <w:t> </w:t>
      </w:r>
      <w:r>
        <w:rPr>
          <w:sz w:val="12"/>
        </w:rPr>
        <w:t>91</w:t>
        <w:tab/>
        <w:t>92</w:t>
        <w:tab/>
        <w:t>93</w:t>
        <w:tab/>
        <w:t>94</w:t>
        <w:tab/>
        <w:t>95</w:t>
        <w:tab/>
        <w:t>96</w:t>
        <w:tab/>
        <w:t>97</w:t>
      </w:r>
    </w:p>
    <w:p>
      <w:pPr>
        <w:pStyle w:val="BodyText"/>
        <w:spacing w:before="9"/>
        <w:rPr>
          <w:sz w:val="9"/>
        </w:rPr>
      </w:pPr>
    </w:p>
    <w:p>
      <w:pPr>
        <w:pStyle w:val="ListParagraph"/>
        <w:numPr>
          <w:ilvl w:val="1"/>
          <w:numId w:val="15"/>
        </w:numPr>
        <w:tabs>
          <w:tab w:pos="433" w:val="left" w:leader="none"/>
        </w:tabs>
        <w:spacing w:line="240" w:lineRule="auto" w:before="0" w:after="0"/>
        <w:ind w:left="432" w:right="0" w:hanging="241"/>
        <w:jc w:val="left"/>
        <w:rPr>
          <w:sz w:val="12"/>
        </w:rPr>
      </w:pPr>
      <w:r>
        <w:rPr>
          <w:color w:val="231F20"/>
          <w:sz w:val="12"/>
        </w:rPr>
        <w:t>GDP(A), 1990 prices.</w:t>
      </w:r>
    </w:p>
    <w:p>
      <w:pPr>
        <w:pStyle w:val="Heading5"/>
        <w:spacing w:line="242" w:lineRule="auto" w:before="90"/>
        <w:ind w:left="192"/>
      </w:pPr>
      <w:r>
        <w:rPr/>
        <w:br w:type="column"/>
      </w:r>
      <w:r>
        <w:rPr>
          <w:color w:val="231F20"/>
        </w:rPr>
        <w:t>The preliminary estimate of real GDP in 1997 Q4 was 0.5% higher than the previous quarter and 3.1% higher than a year earlier, significantly below the growth rate in the MPC’s forecast in November (see Chart 2.9). Within this total, service sector output grew by 1% during the quarter.</w:t>
      </w:r>
    </w:p>
    <w:p>
      <w:pPr>
        <w:pStyle w:val="BodyText"/>
        <w:rPr>
          <w:sz w:val="25"/>
        </w:rPr>
      </w:pPr>
    </w:p>
    <w:p>
      <w:pPr>
        <w:spacing w:line="242" w:lineRule="auto" w:before="0"/>
        <w:ind w:left="192" w:right="189" w:firstLine="0"/>
        <w:jc w:val="left"/>
        <w:rPr>
          <w:sz w:val="24"/>
        </w:rPr>
      </w:pPr>
      <w:r>
        <w:rPr>
          <w:color w:val="231F20"/>
          <w:sz w:val="24"/>
        </w:rPr>
        <w:t>Manufacturing output fell by 0.4% in 1997 Q4, its largest fall since 1991. These data were published after the preliminary GDP estimate. The fall may have been partly because of a weak external demand: output in the investment and intermediate goods sectors, which had been contributing to manufacturing and export growth, fell by 1.7% and 1.6% respectively in 1997 Q4. The fall in manufacturing output is consistent with recent survey evidence which suggests that the manufacturing sector is slowing down. The CBI quarterly Industrial Trends</w:t>
      </w:r>
    </w:p>
    <w:p>
      <w:pPr>
        <w:spacing w:after="0" w:line="242" w:lineRule="auto"/>
        <w:jc w:val="left"/>
        <w:rPr>
          <w:sz w:val="24"/>
        </w:rPr>
        <w:sectPr>
          <w:type w:val="continuous"/>
          <w:pgSz w:w="11880" w:h="16840"/>
          <w:pgMar w:top="1200" w:bottom="280" w:left="620" w:right="620"/>
          <w:cols w:num="2" w:equalWidth="0">
            <w:col w:w="3833" w:space="960"/>
            <w:col w:w="5847"/>
          </w:cols>
        </w:sectPr>
      </w:pPr>
    </w:p>
    <w:p>
      <w:pPr>
        <w:pStyle w:val="BodyText"/>
        <w:rPr>
          <w:sz w:val="20"/>
        </w:rPr>
      </w:pPr>
    </w:p>
    <w:p>
      <w:pPr>
        <w:spacing w:after="0"/>
        <w:rPr>
          <w:sz w:val="20"/>
        </w:rPr>
        <w:sectPr>
          <w:pgSz w:w="11880" w:h="16840"/>
          <w:pgMar w:header="586" w:footer="597" w:top="780" w:bottom="780" w:left="620" w:right="620"/>
        </w:sectPr>
      </w:pPr>
    </w:p>
    <w:p>
      <w:pPr>
        <w:pStyle w:val="BodyText"/>
        <w:spacing w:before="11"/>
        <w:rPr>
          <w:sz w:val="19"/>
        </w:rPr>
      </w:pPr>
    </w:p>
    <w:p>
      <w:pPr>
        <w:pStyle w:val="Heading9"/>
        <w:spacing w:before="0"/>
        <w:ind w:left="217"/>
      </w:pPr>
      <w:bookmarkStart w:name="Summary" w:id="46"/>
      <w:bookmarkEnd w:id="46"/>
      <w:r>
        <w:rPr>
          <w:b w:val="0"/>
        </w:rPr>
      </w:r>
      <w:bookmarkStart w:name="_bookmark16" w:id="47"/>
      <w:bookmarkEnd w:id="47"/>
      <w:r>
        <w:rPr>
          <w:b w:val="0"/>
        </w:rPr>
      </w:r>
      <w:r>
        <w:rPr>
          <w:color w:val="0093C1"/>
        </w:rPr>
        <w:t>Chart 2.10</w:t>
      </w:r>
    </w:p>
    <w:p>
      <w:pPr>
        <w:spacing w:line="249" w:lineRule="auto" w:before="10"/>
        <w:ind w:left="217" w:right="20" w:firstLine="0"/>
        <w:jc w:val="left"/>
        <w:rPr>
          <w:b/>
          <w:sz w:val="20"/>
        </w:rPr>
      </w:pPr>
      <w:r>
        <w:rPr>
          <w:b/>
          <w:color w:val="0093C1"/>
          <w:sz w:val="20"/>
        </w:rPr>
        <w:t>Forward-looking indicators for the service sector: the BCC Survey</w:t>
      </w:r>
    </w:p>
    <w:p>
      <w:pPr>
        <w:spacing w:before="136"/>
        <w:ind w:left="0" w:right="159" w:firstLine="0"/>
        <w:jc w:val="right"/>
        <w:rPr>
          <w:sz w:val="12"/>
        </w:rPr>
      </w:pPr>
      <w:r>
        <w:rPr/>
        <w:pict>
          <v:group style="position:absolute;margin-left:41.360001pt;margin-top:14.401538pt;width:168pt;height:117.75pt;mso-position-horizontal-relative:page;mso-position-vertical-relative:paragraph;z-index:-20215296" coordorigin="827,288" coordsize="3360,2355">
            <v:shape style="position:absolute;left:827;top:958;width:100;height:1680" coordorigin="827,958" coordsize="100,1680" path="m927,2638l827,2638m927,2298l827,2298m927,1958l827,1958m927,1638l827,1638m927,1298l827,1298m927,958l827,958e" filled="false" stroked="true" strokeweight=".5pt" strokecolor="#000000">
              <v:path arrowok="t"/>
              <v:stroke dashstyle="solid"/>
            </v:shape>
            <v:shape style="position:absolute;left:1007;top:918;width:3000;height:1680" coordorigin="1007,918" coordsize="3000,1680" path="m1007,1018l1087,1538,1187,1538,1267,1698,1347,1758,1447,1958,1527,2498,1607,2598,1687,2358,1787,2358,1867,1658,1947,1898,2047,1938,2127,1658,2207,2498,2307,1958,2387,1538,2467,1338,2547,1158,2647,1418,2727,1258,2807,1238,2907,1298,2987,1398,3067,1358,3167,1638,3247,1738,3327,1558,3407,1238,3507,1258,3587,1138,3667,918,3767,1058,3847,1138,3927,1018,4007,1198e" filled="false" stroked="true" strokeweight="1pt" strokecolor="#522e91">
              <v:path arrowok="t"/>
              <v:stroke dashstyle="solid"/>
            </v:shape>
            <v:shape style="position:absolute;left:827;top:298;width:100;height:340" coordorigin="827,298" coordsize="100,340" path="m927,638l827,638m927,298l827,298e" filled="false" stroked="true" strokeweight=".5pt" strokecolor="#000000">
              <v:path arrowok="t"/>
              <v:stroke dashstyle="solid"/>
            </v:shape>
            <v:shape style="position:absolute;left:1007;top:298;width:3000;height:1800" coordorigin="1007,298" coordsize="3000,1800" path="m1007,298l1087,798,1187,818,1267,1098,1347,1198,1447,1238,1527,1738,1607,2038,1687,1898,1787,1758,1867,1238,1947,1358,2047,1358,2127,1098,2207,2098,2307,1638,2387,1058,2467,918,2547,698,2647,818,2727,798,2807,758,2907,858,2987,898,3067,958,3167,1258,3247,1298,3327,1238,3407,798,3507,798,3587,738,3667,498,3767,698,3847,558,3927,518,4007,638e" filled="false" stroked="true" strokeweight="1pt" strokecolor="#df6f1d">
              <v:path arrowok="t"/>
              <v:stroke dashstyle="solid"/>
            </v:shape>
            <v:shape style="position:absolute;left:4087;top:298;width:100;height:2000" coordorigin="4087,298" coordsize="100,2000" path="m4187,2298l4087,2298m4187,1958l4087,1958m4187,1638l4087,1638m4187,1298l4087,1298m4187,958l4087,958m4187,638l4087,638m4187,298l4087,298e" filled="false" stroked="true" strokeweight=".5pt" strokecolor="#000000">
              <v:path arrowok="t"/>
              <v:stroke dashstyle="solid"/>
            </v:shape>
            <v:line style="position:absolute" from="2831,1381" to="2771,1768" stroked="true" strokeweight=".5pt" strokecolor="#000000">
              <v:stroke dashstyle="solid"/>
            </v:line>
            <v:shape style="position:absolute;left:2803;top:1314;width:50;height:88" coordorigin="2803,1314" coordsize="50,88" path="m2841,1314l2803,1394,2853,1402,2842,1334,2841,1323,2841,1314xe" filled="true" fillcolor="#000000" stroked="false">
              <v:path arrowok="t"/>
              <v:fill type="solid"/>
            </v:shape>
            <w10:wrap type="none"/>
          </v:group>
        </w:pict>
      </w:r>
      <w:r>
        <w:rPr>
          <w:sz w:val="12"/>
        </w:rPr>
        <w:t>Balance </w:t>
      </w:r>
      <w:r>
        <w:rPr>
          <w:position w:val="-5"/>
          <w:sz w:val="12"/>
        </w:rPr>
        <w:t>70</w:t>
      </w:r>
    </w:p>
    <w:p>
      <w:pPr>
        <w:spacing w:line="129" w:lineRule="exact" w:before="82"/>
        <w:ind w:left="1617" w:right="0" w:firstLine="0"/>
        <w:jc w:val="left"/>
        <w:rPr>
          <w:sz w:val="12"/>
        </w:rPr>
      </w:pPr>
      <w:r>
        <w:rPr>
          <w:sz w:val="12"/>
        </w:rPr>
        <w:t>Confidence</w:t>
      </w:r>
    </w:p>
    <w:p>
      <w:pPr>
        <w:tabs>
          <w:tab w:pos="3717" w:val="right" w:leader="none"/>
        </w:tabs>
        <w:spacing w:line="129" w:lineRule="exact" w:before="0"/>
        <w:ind w:left="1707" w:right="0" w:firstLine="0"/>
        <w:jc w:val="left"/>
        <w:rPr>
          <w:sz w:val="12"/>
        </w:rPr>
      </w:pPr>
      <w:r>
        <w:rPr>
          <w:sz w:val="12"/>
        </w:rPr>
        <w:t>in turnover (a)</w:t>
        <w:tab/>
        <w:t>60</w:t>
      </w:r>
    </w:p>
    <w:p>
      <w:pPr>
        <w:pStyle w:val="BodyText"/>
        <w:spacing w:before="7"/>
        <w:rPr>
          <w:sz w:val="17"/>
        </w:rPr>
      </w:pPr>
    </w:p>
    <w:p>
      <w:pPr>
        <w:spacing w:before="0"/>
        <w:ind w:left="0" w:right="159" w:firstLine="0"/>
        <w:jc w:val="right"/>
        <w:rPr>
          <w:sz w:val="12"/>
        </w:rPr>
      </w:pPr>
      <w:r>
        <w:rPr>
          <w:sz w:val="12"/>
        </w:rPr>
        <w:t>50</w:t>
      </w:r>
    </w:p>
    <w:p>
      <w:pPr>
        <w:pStyle w:val="BodyText"/>
        <w:spacing w:before="9"/>
        <w:rPr>
          <w:sz w:val="15"/>
        </w:rPr>
      </w:pPr>
    </w:p>
    <w:p>
      <w:pPr>
        <w:spacing w:before="1"/>
        <w:ind w:left="0" w:right="159" w:firstLine="0"/>
        <w:jc w:val="right"/>
        <w:rPr>
          <w:sz w:val="12"/>
        </w:rPr>
      </w:pPr>
      <w:r>
        <w:rPr>
          <w:sz w:val="12"/>
        </w:rPr>
        <w:t>40</w:t>
      </w:r>
    </w:p>
    <w:p>
      <w:pPr>
        <w:pStyle w:val="BodyText"/>
        <w:spacing w:before="6"/>
        <w:rPr>
          <w:sz w:val="17"/>
        </w:rPr>
      </w:pPr>
    </w:p>
    <w:p>
      <w:pPr>
        <w:spacing w:before="0"/>
        <w:ind w:left="0" w:right="159" w:firstLine="0"/>
        <w:jc w:val="right"/>
        <w:rPr>
          <w:sz w:val="12"/>
        </w:rPr>
      </w:pPr>
      <w:r>
        <w:rPr>
          <w:sz w:val="12"/>
        </w:rPr>
        <w:t>30</w:t>
      </w:r>
    </w:p>
    <w:p>
      <w:pPr>
        <w:spacing w:line="119" w:lineRule="exact" w:before="102"/>
        <w:ind w:left="1877" w:right="0" w:firstLine="0"/>
        <w:jc w:val="left"/>
        <w:rPr>
          <w:sz w:val="12"/>
        </w:rPr>
      </w:pPr>
      <w:r>
        <w:rPr>
          <w:sz w:val="12"/>
        </w:rPr>
        <w:t>Confidence in</w:t>
      </w:r>
    </w:p>
    <w:p>
      <w:pPr>
        <w:tabs>
          <w:tab w:pos="3597" w:val="left" w:leader="none"/>
        </w:tabs>
        <w:spacing w:line="139" w:lineRule="exact" w:before="0"/>
        <w:ind w:left="1937" w:right="0" w:firstLine="0"/>
        <w:jc w:val="left"/>
        <w:rPr>
          <w:sz w:val="12"/>
        </w:rPr>
      </w:pPr>
      <w:r>
        <w:rPr>
          <w:sz w:val="12"/>
        </w:rPr>
        <w:t>profitability (b)</w:t>
        <w:tab/>
      </w:r>
      <w:r>
        <w:rPr>
          <w:position w:val="2"/>
          <w:sz w:val="12"/>
        </w:rPr>
        <w:t>20</w:t>
      </w:r>
    </w:p>
    <w:p>
      <w:pPr>
        <w:pStyle w:val="BodyText"/>
        <w:spacing w:before="9"/>
        <w:rPr>
          <w:sz w:val="15"/>
        </w:rPr>
      </w:pPr>
    </w:p>
    <w:p>
      <w:pPr>
        <w:spacing w:before="1"/>
        <w:ind w:left="0" w:right="159" w:firstLine="0"/>
        <w:jc w:val="right"/>
        <w:rPr>
          <w:sz w:val="12"/>
        </w:rPr>
      </w:pPr>
      <w:r>
        <w:rPr>
          <w:sz w:val="12"/>
        </w:rPr>
        <w:t>10</w:t>
      </w:r>
    </w:p>
    <w:p>
      <w:pPr>
        <w:tabs>
          <w:tab w:pos="3387" w:val="left" w:leader="none"/>
        </w:tabs>
        <w:spacing w:line="177" w:lineRule="exact" w:before="11"/>
        <w:ind w:left="387" w:right="0" w:firstLine="0"/>
        <w:jc w:val="left"/>
        <w:rPr>
          <w:sz w:val="16"/>
        </w:rPr>
      </w:pPr>
      <w:r>
        <w:rPr>
          <w:sz w:val="16"/>
          <w:u w:val="single"/>
        </w:rPr>
        <w:t> </w:t>
        <w:tab/>
      </w:r>
      <w:r>
        <w:rPr>
          <w:sz w:val="16"/>
        </w:rPr>
        <w:t>  </w:t>
      </w:r>
      <w:r>
        <w:rPr>
          <w:sz w:val="16"/>
          <w:u w:val="single"/>
        </w:rPr>
        <w:t> </w:t>
      </w:r>
      <w:r>
        <w:rPr>
          <w:spacing w:val="20"/>
          <w:sz w:val="16"/>
          <w:u w:val="single"/>
        </w:rPr>
        <w:t> </w:t>
      </w:r>
      <w:r>
        <w:rPr>
          <w:sz w:val="16"/>
        </w:rPr>
        <w:t>+</w:t>
      </w:r>
    </w:p>
    <w:p>
      <w:pPr>
        <w:spacing w:line="168" w:lineRule="auto" w:before="5"/>
        <w:ind w:left="3563" w:right="0" w:firstLine="0"/>
        <w:jc w:val="left"/>
        <w:rPr>
          <w:sz w:val="12"/>
        </w:rPr>
      </w:pPr>
      <w:r>
        <w:rPr>
          <w:spacing w:val="6"/>
          <w:position w:val="-10"/>
          <w:sz w:val="16"/>
        </w:rPr>
        <w:t>_</w:t>
      </w:r>
      <w:r>
        <w:rPr>
          <w:spacing w:val="6"/>
          <w:sz w:val="12"/>
        </w:rPr>
        <w:t>0</w:t>
      </w:r>
    </w:p>
    <w:p>
      <w:pPr>
        <w:spacing w:before="125"/>
        <w:ind w:left="0" w:right="159" w:firstLine="0"/>
        <w:jc w:val="right"/>
        <w:rPr>
          <w:sz w:val="12"/>
        </w:rPr>
      </w:pPr>
      <w:r>
        <w:rPr/>
        <w:pict>
          <v:line style="position:absolute;mso-position-horizontal-relative:page;mso-position-vertical-relative:paragraph;z-index:15873536" from="46.360001pt,10.351538pt" to="41.360001pt,10.351538pt" stroked="true" strokeweight=".5pt" strokecolor="#000000">
            <v:stroke dashstyle="solid"/>
            <w10:wrap type="none"/>
          </v:line>
        </w:pict>
      </w:r>
      <w:r>
        <w:rPr/>
        <w:pict>
          <v:line style="position:absolute;mso-position-horizontal-relative:page;mso-position-vertical-relative:paragraph;z-index:15875584" from="209.360001pt,10.351538pt" to="204.360001pt,10.351538pt" stroked="true" strokeweight=".5pt" strokecolor="#000000">
            <v:stroke dashstyle="solid"/>
            <w10:wrap type="none"/>
          </v:line>
        </w:pict>
      </w:r>
      <w:r>
        <w:rPr>
          <w:sz w:val="12"/>
        </w:rPr>
        <w:t>10</w:t>
      </w:r>
    </w:p>
    <w:p>
      <w:pPr>
        <w:pStyle w:val="BodyText"/>
        <w:spacing w:before="6"/>
        <w:rPr>
          <w:sz w:val="17"/>
        </w:rPr>
      </w:pPr>
    </w:p>
    <w:p>
      <w:pPr>
        <w:spacing w:line="119" w:lineRule="exact" w:before="1"/>
        <w:ind w:left="3597" w:right="0" w:firstLine="0"/>
        <w:jc w:val="left"/>
        <w:rPr>
          <w:sz w:val="12"/>
        </w:rPr>
      </w:pPr>
      <w:r>
        <w:rPr/>
        <w:pict>
          <v:line style="position:absolute;mso-position-horizontal-relative:page;mso-position-vertical-relative:paragraph;z-index:15874048" from="46.360001pt,4.151538pt" to="41.360001pt,4.151538pt" stroked="true" strokeweight=".5pt" strokecolor="#000000">
            <v:stroke dashstyle="solid"/>
            <w10:wrap type="none"/>
          </v:line>
        </w:pict>
      </w:r>
      <w:r>
        <w:rPr/>
        <w:pict>
          <v:shape style="position:absolute;margin-left:50.360001pt;margin-top:-.848462pt;width:150pt;height:5pt;mso-position-horizontal-relative:page;mso-position-vertical-relative:paragraph;z-index:15875072" coordorigin="1007,-17" coordsize="3000,100" path="m1007,83l4007,83m1007,83l1007,43m1087,83l1087,43m1177,83l1177,43m1267,83l1267,43m1347,83l1347,43m1427,83l1427,43m1517,83l1517,43m1607,83l1607,43m1687,83l1687,43m1787,83l1787,43m1867,83l1867,43m1947,83l1947,43m2047,83l2047,43m2127,83l2127,43m2207,83l2207,43m2287,83l2287,43m2387,83l2387,43m2467,83l2467,43m2557,83l2557,43m2647,83l2647,43m2727,83l2727,43m2807,83l2807,43m2897,83l2897,43m2987,83l2987,43m3067,83l3067,43m3147,83l3147,43m3237,83l3237,43m3327,83l3327,43m3407,83l3407,43m3507,83l3507,43m3587,83l3587,43m3667,83l3667,43m3767,83l3767,43m3847,83l3847,43m3927,83l3927,43m4007,83l4007,43m1007,83l1007,-17m1347,83l1347,-17m1687,83l1687,-17m2047,83l2047,-17m2387,83l2387,-17m2727,83l2727,-17m3067,83l3067,-17m3407,83l3407,-17m3767,83l3767,-17e" filled="false" stroked="true" strokeweight=".5pt" strokecolor="#000000">
            <v:path arrowok="t"/>
            <v:stroke dashstyle="solid"/>
            <w10:wrap type="none"/>
          </v:shape>
        </w:pict>
      </w:r>
      <w:r>
        <w:rPr/>
        <w:pict>
          <v:line style="position:absolute;mso-position-horizontal-relative:page;mso-position-vertical-relative:paragraph;z-index:15876096" from="209.360001pt,4.151538pt" to="204.360001pt,4.151538pt" stroked="true" strokeweight=".5pt" strokecolor="#000000">
            <v:stroke dashstyle="solid"/>
            <w10:wrap type="none"/>
          </v:line>
        </w:pict>
      </w:r>
      <w:r>
        <w:rPr>
          <w:sz w:val="12"/>
        </w:rPr>
        <w:t>20</w:t>
      </w:r>
    </w:p>
    <w:p>
      <w:pPr>
        <w:tabs>
          <w:tab w:pos="1177" w:val="left" w:leader="none"/>
          <w:tab w:pos="1537" w:val="left" w:leader="none"/>
          <w:tab w:pos="1876" w:val="left" w:leader="none"/>
          <w:tab w:pos="2216" w:val="left" w:leader="none"/>
          <w:tab w:pos="2556" w:val="left" w:leader="none"/>
          <w:tab w:pos="2896" w:val="left" w:leader="none"/>
          <w:tab w:pos="3256" w:val="left" w:leader="none"/>
        </w:tabs>
        <w:spacing w:line="119" w:lineRule="exact" w:before="0"/>
        <w:ind w:left="437" w:right="0" w:firstLine="0"/>
        <w:jc w:val="left"/>
        <w:rPr>
          <w:sz w:val="12"/>
        </w:rPr>
      </w:pPr>
      <w:r>
        <w:rPr>
          <w:sz w:val="12"/>
        </w:rPr>
        <w:t>1989    </w:t>
      </w:r>
      <w:r>
        <w:rPr>
          <w:spacing w:val="9"/>
          <w:sz w:val="12"/>
        </w:rPr>
        <w:t> </w:t>
      </w:r>
      <w:r>
        <w:rPr>
          <w:sz w:val="12"/>
        </w:rPr>
        <w:t>90</w:t>
        <w:tab/>
        <w:t>91</w:t>
        <w:tab/>
        <w:t>92</w:t>
        <w:tab/>
        <w:t>93</w:t>
        <w:tab/>
        <w:t>94</w:t>
        <w:tab/>
        <w:t>95</w:t>
        <w:tab/>
        <w:t>96</w:t>
        <w:tab/>
        <w:t>97</w:t>
      </w:r>
    </w:p>
    <w:p>
      <w:pPr>
        <w:spacing w:before="85"/>
        <w:ind w:left="217" w:right="0" w:firstLine="0"/>
        <w:jc w:val="left"/>
        <w:rPr>
          <w:sz w:val="12"/>
        </w:rPr>
      </w:pPr>
      <w:r>
        <w:rPr>
          <w:color w:val="231F20"/>
          <w:sz w:val="12"/>
        </w:rPr>
        <w:t>Source: BCC.</w:t>
      </w:r>
    </w:p>
    <w:p>
      <w:pPr>
        <w:pStyle w:val="BodyText"/>
        <w:spacing w:before="2"/>
        <w:rPr>
          <w:sz w:val="10"/>
        </w:rPr>
      </w:pPr>
    </w:p>
    <w:p>
      <w:pPr>
        <w:pStyle w:val="ListParagraph"/>
        <w:numPr>
          <w:ilvl w:val="0"/>
          <w:numId w:val="17"/>
        </w:numPr>
        <w:tabs>
          <w:tab w:pos="458" w:val="left" w:leader="none"/>
        </w:tabs>
        <w:spacing w:line="208" w:lineRule="auto" w:before="0" w:after="0"/>
        <w:ind w:left="457" w:right="260" w:hanging="240"/>
        <w:jc w:val="left"/>
        <w:rPr>
          <w:sz w:val="12"/>
        </w:rPr>
      </w:pPr>
      <w:r>
        <w:rPr>
          <w:color w:val="231F20"/>
          <w:sz w:val="12"/>
        </w:rPr>
        <w:t>The proportion of firms expecting turnover to improve in the </w:t>
      </w:r>
      <w:r>
        <w:rPr>
          <w:color w:val="231F20"/>
          <w:spacing w:val="-5"/>
          <w:sz w:val="12"/>
        </w:rPr>
        <w:t>next </w:t>
      </w:r>
      <w:r>
        <w:rPr>
          <w:color w:val="231F20"/>
          <w:sz w:val="12"/>
        </w:rPr>
        <w:t>twelve months.</w:t>
      </w:r>
    </w:p>
    <w:p>
      <w:pPr>
        <w:pStyle w:val="ListParagraph"/>
        <w:numPr>
          <w:ilvl w:val="0"/>
          <w:numId w:val="17"/>
        </w:numPr>
        <w:tabs>
          <w:tab w:pos="458" w:val="left" w:leader="none"/>
        </w:tabs>
        <w:spacing w:line="208" w:lineRule="auto" w:before="0" w:after="0"/>
        <w:ind w:left="457" w:right="330" w:hanging="240"/>
        <w:jc w:val="left"/>
        <w:rPr>
          <w:sz w:val="12"/>
        </w:rPr>
      </w:pPr>
      <w:r>
        <w:rPr>
          <w:color w:val="231F20"/>
          <w:sz w:val="12"/>
        </w:rPr>
        <w:t>The proportion of firms expecting profitability to improve in </w:t>
      </w:r>
      <w:r>
        <w:rPr>
          <w:color w:val="231F20"/>
          <w:spacing w:val="-6"/>
          <w:sz w:val="12"/>
        </w:rPr>
        <w:t>the </w:t>
      </w:r>
      <w:r>
        <w:rPr>
          <w:color w:val="231F20"/>
          <w:sz w:val="12"/>
        </w:rPr>
        <w:t>next twelve months.</w:t>
      </w:r>
    </w:p>
    <w:p>
      <w:pPr>
        <w:pStyle w:val="BodyText"/>
        <w:spacing w:before="10"/>
        <w:rPr>
          <w:sz w:val="20"/>
        </w:rPr>
      </w:pPr>
      <w:r>
        <w:rPr/>
        <w:br w:type="column"/>
      </w:r>
      <w:r>
        <w:rPr>
          <w:sz w:val="20"/>
        </w:rPr>
      </w:r>
    </w:p>
    <w:p>
      <w:pPr>
        <w:pStyle w:val="Heading5"/>
        <w:spacing w:line="242" w:lineRule="auto"/>
        <w:ind w:left="217"/>
      </w:pPr>
      <w:r>
        <w:rPr>
          <w:color w:val="231F20"/>
        </w:rPr>
        <w:t>Survey recorded a balance of +2 for new orders expectations in January, the least positive response in the survey since 1992. Skilled labour shortages and plant capacity were cited as important factors likely to limit output in the next four months.</w:t>
      </w:r>
    </w:p>
    <w:p>
      <w:pPr>
        <w:pStyle w:val="BodyText"/>
        <w:spacing w:before="10"/>
        <w:rPr>
          <w:sz w:val="24"/>
        </w:rPr>
      </w:pPr>
    </w:p>
    <w:p>
      <w:pPr>
        <w:spacing w:before="0"/>
        <w:ind w:left="217" w:right="0" w:firstLine="0"/>
        <w:jc w:val="left"/>
        <w:rPr>
          <w:sz w:val="24"/>
        </w:rPr>
      </w:pPr>
      <w:r>
        <w:rPr>
          <w:color w:val="231F20"/>
          <w:sz w:val="24"/>
        </w:rPr>
        <w:t>Service sector output grew by 4.4% in the year to</w:t>
      </w:r>
    </w:p>
    <w:p>
      <w:pPr>
        <w:spacing w:line="242" w:lineRule="auto" w:before="4"/>
        <w:ind w:left="217" w:right="181" w:firstLine="0"/>
        <w:jc w:val="left"/>
        <w:rPr>
          <w:sz w:val="24"/>
        </w:rPr>
      </w:pPr>
      <w:r>
        <w:rPr>
          <w:color w:val="231F20"/>
          <w:sz w:val="24"/>
        </w:rPr>
        <w:t>1997 Q4, faster than its trend rate of 2.4%. But there are signs that the pace of service sector activity has passed its peak and may be slowing. Most of the</w:t>
      </w:r>
    </w:p>
    <w:p>
      <w:pPr>
        <w:spacing w:line="242" w:lineRule="auto" w:before="4"/>
        <w:ind w:left="217" w:right="181" w:firstLine="0"/>
        <w:jc w:val="left"/>
        <w:rPr>
          <w:sz w:val="24"/>
        </w:rPr>
      </w:pPr>
      <w:r>
        <w:rPr>
          <w:color w:val="231F20"/>
          <w:sz w:val="24"/>
        </w:rPr>
        <w:t>forward-looking indicators in the British Chambers of Commerce (BCC) Survey for 1997 Q4—including investment intentions and confidence—were lower, suggesting that firms are expecting slower growth (see Chart 2.10). The C</w:t>
      </w:r>
      <w:r>
        <w:rPr>
          <w:color w:val="231F20"/>
          <w:sz w:val="20"/>
        </w:rPr>
        <w:t>IPS </w:t>
      </w:r>
      <w:r>
        <w:rPr>
          <w:color w:val="231F20"/>
          <w:sz w:val="24"/>
        </w:rPr>
        <w:t>Survey recorded an increase in service sector activity in January, though it remained below levels recorded during summer 1997.</w:t>
      </w:r>
    </w:p>
    <w:p>
      <w:pPr>
        <w:pStyle w:val="BodyText"/>
        <w:spacing w:before="9"/>
        <w:rPr>
          <w:sz w:val="28"/>
        </w:rPr>
      </w:pPr>
    </w:p>
    <w:p>
      <w:pPr>
        <w:pStyle w:val="Heading3"/>
        <w:numPr>
          <w:ilvl w:val="1"/>
          <w:numId w:val="16"/>
        </w:numPr>
        <w:tabs>
          <w:tab w:pos="4315" w:val="left" w:leader="none"/>
          <w:tab w:pos="4316" w:val="left" w:leader="none"/>
          <w:tab w:pos="5720" w:val="left" w:leader="none"/>
        </w:tabs>
        <w:spacing w:line="240" w:lineRule="auto" w:before="1" w:after="0"/>
        <w:ind w:left="4315" w:right="0" w:hanging="4099"/>
        <w:jc w:val="left"/>
      </w:pPr>
      <w:r>
        <w:rPr>
          <w:color w:val="009483"/>
          <w:u w:val="thick" w:color="0093C1"/>
        </w:rPr>
        <w:t>Summary</w:t>
        <w:tab/>
      </w:r>
    </w:p>
    <w:p>
      <w:pPr>
        <w:pStyle w:val="BodyText"/>
        <w:spacing w:before="10"/>
        <w:rPr>
          <w:b/>
          <w:sz w:val="23"/>
        </w:rPr>
      </w:pPr>
    </w:p>
    <w:p>
      <w:pPr>
        <w:spacing w:line="242" w:lineRule="auto" w:before="0"/>
        <w:ind w:left="217" w:right="0" w:firstLine="0"/>
        <w:jc w:val="left"/>
        <w:rPr>
          <w:sz w:val="24"/>
        </w:rPr>
      </w:pPr>
      <w:r>
        <w:rPr>
          <w:color w:val="231F20"/>
          <w:sz w:val="24"/>
        </w:rPr>
        <w:t>The MPC has assumed that recent developments in Asia will reduce UK output by around half a percentage point by the end of 1999, in the central case. But the uncertainties surrounding these forecasts have increased, and there are downside risks to UK activity and inflation. A much larger crisis resulting from contagion affecting other countries is possible, but unlikely.</w:t>
      </w:r>
    </w:p>
    <w:p>
      <w:pPr>
        <w:pStyle w:val="BodyText"/>
        <w:spacing w:before="2"/>
        <w:rPr>
          <w:sz w:val="25"/>
        </w:rPr>
      </w:pPr>
    </w:p>
    <w:p>
      <w:pPr>
        <w:spacing w:line="242" w:lineRule="auto" w:before="0"/>
        <w:ind w:left="217" w:right="150" w:firstLine="0"/>
        <w:jc w:val="left"/>
        <w:rPr>
          <w:sz w:val="24"/>
        </w:rPr>
      </w:pPr>
      <w:r>
        <w:rPr>
          <w:color w:val="231F20"/>
          <w:sz w:val="24"/>
        </w:rPr>
        <w:t>Real GDP grew by 3.3% in 1997, the sixth year of expansion in the United Kingdom. Revisions to real GDP data for 1997 Q3 and the preliminary estimate of output growth for 1997 Q4 suggest that the pace of economic activity slowed more rapidly in the second </w:t>
      </w:r>
      <w:r>
        <w:rPr>
          <w:color w:val="231F20"/>
          <w:spacing w:val="-5"/>
          <w:sz w:val="24"/>
        </w:rPr>
        <w:t>half </w:t>
      </w:r>
      <w:r>
        <w:rPr>
          <w:color w:val="231F20"/>
          <w:sz w:val="24"/>
        </w:rPr>
        <w:t>of 1997 than expected at the time of the November </w:t>
      </w:r>
      <w:r>
        <w:rPr>
          <w:i/>
          <w:color w:val="231F20"/>
          <w:sz w:val="24"/>
        </w:rPr>
        <w:t>Report</w:t>
      </w:r>
      <w:r>
        <w:rPr>
          <w:color w:val="231F20"/>
          <w:sz w:val="24"/>
        </w:rPr>
        <w:t>. Consumption growth is expected to slow during 1998, but to remain above its historical</w:t>
      </w:r>
      <w:r>
        <w:rPr>
          <w:color w:val="231F20"/>
          <w:spacing w:val="-4"/>
          <w:sz w:val="24"/>
        </w:rPr>
        <w:t> </w:t>
      </w:r>
      <w:r>
        <w:rPr>
          <w:color w:val="231F20"/>
          <w:sz w:val="24"/>
        </w:rPr>
        <w:t>trend.</w:t>
      </w:r>
    </w:p>
    <w:p>
      <w:pPr>
        <w:spacing w:after="0" w:line="242" w:lineRule="auto"/>
        <w:jc w:val="left"/>
        <w:rPr>
          <w:sz w:val="24"/>
        </w:rPr>
        <w:sectPr>
          <w:type w:val="continuous"/>
          <w:pgSz w:w="11880" w:h="16840"/>
          <w:pgMar w:top="1200" w:bottom="280" w:left="620" w:right="620"/>
          <w:cols w:num="2" w:equalWidth="0">
            <w:col w:w="3879" w:space="898"/>
            <w:col w:w="5863"/>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580160;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The labour market" w:id="48"/>
                  <w:bookmarkEnd w:id="48"/>
                  <w:r>
                    <w:rPr/>
                  </w:r>
                  <w:bookmarkStart w:name="Nominal earnings" w:id="49"/>
                  <w:bookmarkEnd w:id="49"/>
                  <w:r>
                    <w:rPr/>
                  </w:r>
                  <w:bookmarkStart w:name="_bookmark17" w:id="50"/>
                  <w:bookmarkEnd w:id="50"/>
                  <w:r>
                    <w:rPr/>
                  </w:r>
                  <w:bookmarkStart w:name="_bookmark18" w:id="51"/>
                  <w:bookmarkEnd w:id="51"/>
                  <w:r>
                    <w:rPr/>
                  </w:r>
                  <w:r>
                    <w:rPr>
                      <w:b/>
                      <w:color w:val="009483"/>
                      <w:sz w:val="48"/>
                    </w:rPr>
                    <w:t>The</w:t>
                  </w:r>
                  <w:r>
                    <w:rPr>
                      <w:b/>
                      <w:color w:val="009483"/>
                      <w:spacing w:val="-1"/>
                      <w:sz w:val="48"/>
                    </w:rPr>
                    <w:t> </w:t>
                  </w:r>
                  <w:r>
                    <w:rPr>
                      <w:b/>
                      <w:color w:val="009483"/>
                      <w:sz w:val="48"/>
                    </w:rPr>
                    <w:t>labour market</w:t>
                    <w:tab/>
                  </w:r>
                  <w:r>
                    <w:rPr>
                      <w:b/>
                      <w:color w:val="009483"/>
                      <w:sz w:val="72"/>
                    </w:rPr>
                    <w:t>3</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43"/>
          <w:footerReference w:type="default" r:id="rId44"/>
          <w:footerReference w:type="even" r:id="rId45"/>
          <w:pgSz w:w="11880" w:h="16840"/>
          <w:pgMar w:header="0" w:footer="597" w:top="760" w:bottom="780" w:left="620" w:right="620"/>
          <w:pgNumType w:start="23"/>
        </w:sectPr>
      </w:pPr>
    </w:p>
    <w:p>
      <w:pPr>
        <w:pStyle w:val="BodyText"/>
        <w:spacing w:before="9"/>
        <w:rPr>
          <w:sz w:val="19"/>
        </w:rPr>
      </w:pPr>
    </w:p>
    <w:p>
      <w:pPr>
        <w:pStyle w:val="Heading9"/>
        <w:spacing w:before="0"/>
        <w:ind w:left="205"/>
      </w:pPr>
      <w:r>
        <w:rPr>
          <w:color w:val="0093C1"/>
        </w:rPr>
        <w:t>Chart 3.1</w:t>
      </w:r>
    </w:p>
    <w:p>
      <w:pPr>
        <w:spacing w:before="10"/>
        <w:ind w:left="205" w:right="0" w:firstLine="0"/>
        <w:jc w:val="left"/>
        <w:rPr>
          <w:sz w:val="12"/>
        </w:rPr>
      </w:pPr>
      <w:r>
        <w:rPr>
          <w:b/>
          <w:color w:val="0093C1"/>
          <w:sz w:val="20"/>
        </w:rPr>
        <w:t>Underlying earnings growth</w:t>
      </w:r>
      <w:r>
        <w:rPr>
          <w:color w:val="231F20"/>
          <w:position w:val="4"/>
          <w:sz w:val="12"/>
        </w:rPr>
        <w:t>(a)</w:t>
      </w:r>
    </w:p>
    <w:p>
      <w:pPr>
        <w:spacing w:before="89"/>
        <w:ind w:left="1893" w:right="0" w:firstLine="0"/>
        <w:jc w:val="left"/>
        <w:rPr>
          <w:sz w:val="12"/>
        </w:rPr>
      </w:pPr>
      <w:r>
        <w:rPr/>
        <w:pict>
          <v:line style="position:absolute;mso-position-horizontal-relative:page;mso-position-vertical-relative:paragraph;z-index:15882752" from="52.612999pt,11.55157pt" to="47.612999pt,11.55157pt" stroked="true" strokeweight=".5pt" strokecolor="#000000">
            <v:stroke dashstyle="solid"/>
            <w10:wrap type="none"/>
          </v:line>
        </w:pict>
      </w:r>
      <w:r>
        <w:rPr/>
        <w:pict>
          <v:line style="position:absolute;mso-position-horizontal-relative:page;mso-position-vertical-relative:paragraph;z-index:-20205568" from="212.613007pt,11.55157pt" to="208.613007pt,11.55157pt" stroked="true" strokeweight=".5pt" strokecolor="#000000">
            <v:stroke dashstyle="solid"/>
            <w10:wrap type="none"/>
          </v:line>
        </w:pict>
      </w:r>
      <w:r>
        <w:rPr>
          <w:sz w:val="12"/>
        </w:rPr>
        <w:t>Percentage changes on a year earlier </w:t>
      </w:r>
      <w:r>
        <w:rPr>
          <w:position w:val="-5"/>
          <w:sz w:val="12"/>
        </w:rPr>
        <w:t>6</w:t>
      </w:r>
    </w:p>
    <w:p>
      <w:pPr>
        <w:pStyle w:val="BodyText"/>
      </w:pPr>
    </w:p>
    <w:p>
      <w:pPr>
        <w:spacing w:before="155"/>
        <w:ind w:left="0" w:right="201" w:firstLine="0"/>
        <w:jc w:val="right"/>
        <w:rPr>
          <w:sz w:val="12"/>
        </w:rPr>
      </w:pPr>
      <w:r>
        <w:rPr/>
        <w:pict>
          <v:group style="position:absolute;margin-left:47.612999pt;margin-top:5.005091pt;width:165pt;height:77.350pt;mso-position-horizontal-relative:page;mso-position-vertical-relative:paragraph;z-index:-20207616" coordorigin="952,100" coordsize="3300,1547">
            <v:shape style="position:absolute;left:952;top:757;width:100;height:500" coordorigin="952,757" coordsize="100,500" path="m1052,1257l952,1257m1052,757l952,757e" filled="false" stroked="true" strokeweight=".5pt" strokecolor="#000000">
              <v:path arrowok="t"/>
              <v:stroke dashstyle="solid"/>
            </v:shape>
            <v:shape style="position:absolute;left:1112;top:377;width:3000;height:880" coordorigin="1112,377" coordsize="3000,880" path="m1112,377l1152,497,1212,757,1252,757,1312,877,1352,877,1412,997,1472,1137,1512,1257,1612,1257,1672,1137,1732,877,1772,877,1832,757,1872,877,1932,757,1992,877,2352,877,2392,997,2452,997,2492,877,2552,997,2612,997,2652,1137,2912,1137,2972,997,3012,877,3232,877,3272,757,3432,757,3492,637,3532,377,3592,377,3652,497,3752,497,3792,637,3852,637,3892,497,3952,637,4012,637,4052,497,4112,377e" filled="false" stroked="true" strokeweight="1pt" strokecolor="#ed1b2d">
              <v:path arrowok="t"/>
              <v:stroke dashstyle="solid"/>
            </v:shape>
            <v:line style="position:absolute" from="1052,237" to="952,237" stroked="true" strokeweight=".5pt" strokecolor="#000000">
              <v:stroke dashstyle="solid"/>
            </v:line>
            <v:shape style="position:absolute;left:1112;top:117;width:3000;height:640" coordorigin="1112,117" coordsize="3000,640" path="m1112,117l1152,237,1352,237,1412,377,1472,497,1512,617,1572,617,1612,757,1672,617,1732,497,1772,377,1872,377,1992,617,2032,617,2092,497,2132,377,2192,377,2252,237,2292,237,2352,117,2392,237,2452,117,2492,377,2552,377,2612,497,2652,497,2712,617,2752,757,2912,757,2972,617,3072,617,3072,637,3232,637,3272,497,3432,497,3492,377,3592,377,3652,497,3692,497,3752,637,4012,637,4052,497,4112,377e" filled="false" stroked="true" strokeweight="1pt" strokecolor="#0066a5">
              <v:path arrowok="t"/>
              <v:stroke dashstyle="solid"/>
            </v:shape>
            <v:shape style="position:absolute;left:4172;top:237;width:80;height:1020" coordorigin="4172,237" coordsize="80,1020" path="m4252,1257l4172,1257m4252,757l4172,757m4252,237l4172,237e" filled="false" stroked="true" strokeweight=".5pt" strokecolor="#000000">
              <v:path arrowok="t"/>
              <v:stroke dashstyle="solid"/>
            </v:shape>
            <v:shape style="position:absolute;left:1112;top:257;width:3000;height:1380" coordorigin="1112,257" coordsize="3000,1380" path="m1112,497l1152,637,1212,877,1252,1137,1312,1257,1352,1377,1472,1377,1512,1637,1572,1637,1612,1497,1672,1377,1732,1137,1772,997,1832,757,1872,997,1932,877,1992,997,2132,997,2192,1137,2252,1257,2292,1377,2452,1377,2492,1257,2552,1377,2612,1377,2652,1497,2752,1497,2812,1377,2872,1377,2912,1257,2972,1257,3012,997,3232,997,3272,877,3392,877,3432,757,3492,757,3532,497,3652,257,3692,377,3752,377,3792,497,4052,497,4112,377e" filled="false" stroked="true" strokeweight="1pt" strokecolor="#faab54">
              <v:path arrowok="t"/>
              <v:stroke dashstyle="solid"/>
            </v:shape>
            <v:line style="position:absolute" from="2769,274" to="2556,840" stroked="true" strokeweight=".5pt" strokecolor="#000000">
              <v:stroke dashstyle="solid"/>
            </v:line>
            <v:shape style="position:absolute;left:2531;top:815;width:54;height:89" coordorigin="2532,816" coordsize="54,89" path="m2538,816l2538,833,2538,846,2538,859,2536,872,2535,884,2533,895,2532,904,2536,896,2585,833,2538,816xe" filled="true" fillcolor="#000000" stroked="false">
              <v:path arrowok="t"/>
              <v:fill type="solid"/>
            </v:shape>
            <v:shape style="position:absolute;left:1348;top:106;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2702;top:100;width:754;height:133" type="#_x0000_t202" filled="false" stroked="false">
              <v:textbox inset="0,0,0,0">
                <w:txbxContent>
                  <w:p>
                    <w:pPr>
                      <w:spacing w:line="133" w:lineRule="exact" w:before="0"/>
                      <w:ind w:left="0" w:right="0" w:firstLine="0"/>
                      <w:jc w:val="left"/>
                      <w:rPr>
                        <w:sz w:val="12"/>
                      </w:rPr>
                    </w:pPr>
                    <w:r>
                      <w:rPr>
                        <w:sz w:val="12"/>
                      </w:rPr>
                      <w:t>Economy-wide</w:t>
                    </w:r>
                  </w:p>
                </w:txbxContent>
              </v:textbox>
              <w10:wrap type="none"/>
            </v:shape>
            <w10:wrap type="none"/>
          </v:group>
        </w:pict>
      </w:r>
      <w:r>
        <w:rPr>
          <w:sz w:val="12"/>
        </w:rPr>
        <w:t>5</w:t>
      </w:r>
    </w:p>
    <w:p>
      <w:pPr>
        <w:pStyle w:val="BodyText"/>
        <w:rPr>
          <w:sz w:val="12"/>
        </w:rPr>
      </w:pPr>
    </w:p>
    <w:p>
      <w:pPr>
        <w:pStyle w:val="BodyText"/>
        <w:rPr>
          <w:sz w:val="12"/>
        </w:rPr>
      </w:pPr>
    </w:p>
    <w:p>
      <w:pPr>
        <w:spacing w:before="86"/>
        <w:ind w:left="0" w:right="201" w:firstLine="0"/>
        <w:jc w:val="right"/>
        <w:rPr>
          <w:sz w:val="12"/>
        </w:rPr>
      </w:pPr>
      <w:r>
        <w:rPr>
          <w:sz w:val="12"/>
        </w:rPr>
        <w:t>4</w:t>
      </w:r>
    </w:p>
    <w:p>
      <w:pPr>
        <w:pStyle w:val="BodyText"/>
        <w:rPr>
          <w:sz w:val="12"/>
        </w:rPr>
      </w:pPr>
    </w:p>
    <w:p>
      <w:pPr>
        <w:pStyle w:val="BodyText"/>
        <w:rPr>
          <w:sz w:val="12"/>
        </w:rPr>
      </w:pPr>
    </w:p>
    <w:p>
      <w:pPr>
        <w:spacing w:before="86"/>
        <w:ind w:left="0" w:right="201" w:firstLine="0"/>
        <w:jc w:val="right"/>
        <w:rPr>
          <w:sz w:val="12"/>
        </w:rPr>
      </w:pPr>
      <w:r>
        <w:rPr>
          <w:sz w:val="12"/>
        </w:rPr>
        <w:t>3</w:t>
      </w:r>
    </w:p>
    <w:p>
      <w:pPr>
        <w:pStyle w:val="BodyText"/>
        <w:rPr>
          <w:sz w:val="12"/>
        </w:rPr>
      </w:pPr>
    </w:p>
    <w:p>
      <w:pPr>
        <w:pStyle w:val="BodyText"/>
        <w:spacing w:before="6"/>
        <w:rPr>
          <w:sz w:val="12"/>
        </w:rPr>
      </w:pPr>
    </w:p>
    <w:p>
      <w:pPr>
        <w:spacing w:line="119" w:lineRule="exact" w:before="0"/>
        <w:ind w:left="988" w:right="0" w:firstLine="0"/>
        <w:jc w:val="left"/>
        <w:rPr>
          <w:sz w:val="12"/>
        </w:rPr>
      </w:pPr>
      <w:r>
        <w:rPr>
          <w:sz w:val="12"/>
        </w:rPr>
        <w:t>Services</w:t>
      </w:r>
    </w:p>
    <w:p>
      <w:pPr>
        <w:spacing w:line="119" w:lineRule="exact" w:before="0"/>
        <w:ind w:left="3682" w:right="0" w:firstLine="0"/>
        <w:jc w:val="left"/>
        <w:rPr>
          <w:sz w:val="12"/>
        </w:rPr>
      </w:pPr>
      <w:r>
        <w:rPr/>
        <w:pict>
          <v:line style="position:absolute;mso-position-horizontal-relative:page;mso-position-vertical-relative:paragraph;z-index:15880704" from="52.612999pt,3.151863pt" to="47.612999pt,3.151863pt" stroked="true" strokeweight=".5pt" strokecolor="#000000">
            <v:stroke dashstyle="solid"/>
            <w10:wrap type="none"/>
          </v:line>
        </w:pict>
      </w:r>
      <w:r>
        <w:rPr/>
        <w:pict>
          <v:line style="position:absolute;mso-position-horizontal-relative:page;mso-position-vertical-relative:paragraph;z-index:15883776" from="212.613007pt,3.151863pt" to="208.613007pt,3.1518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0" w:right="201" w:firstLine="0"/>
        <w:jc w:val="right"/>
        <w:rPr>
          <w:sz w:val="12"/>
        </w:rPr>
      </w:pPr>
      <w:r>
        <w:rPr/>
        <w:pict>
          <v:line style="position:absolute;mso-position-horizontal-relative:page;mso-position-vertical-relative:paragraph;z-index:15880192" from="52.612999pt,8.40157pt" to="47.612999pt,8.40157pt" stroked="true" strokeweight=".5pt" strokecolor="#000000">
            <v:stroke dashstyle="solid"/>
            <w10:wrap type="none"/>
          </v:line>
        </w:pict>
      </w:r>
      <w:r>
        <w:rPr/>
        <w:pict>
          <v:line style="position:absolute;mso-position-horizontal-relative:page;mso-position-vertical-relative:paragraph;z-index:15883264" from="212.613007pt,8.40157pt" to="208.613007pt,8.40157pt" stroked="true" strokeweight=".5pt" strokecolor="#000000">
            <v:stroke dashstyle="solid"/>
            <w10:wrap type="none"/>
          </v:line>
        </w:pict>
      </w:r>
      <w:r>
        <w:rPr>
          <w:sz w:val="12"/>
        </w:rPr>
        <w:t>1</w:t>
      </w:r>
    </w:p>
    <w:p>
      <w:pPr>
        <w:pStyle w:val="BodyText"/>
        <w:rPr>
          <w:sz w:val="12"/>
        </w:rPr>
      </w:pPr>
    </w:p>
    <w:p>
      <w:pPr>
        <w:pStyle w:val="BodyText"/>
        <w:rPr>
          <w:sz w:val="12"/>
        </w:rPr>
      </w:pPr>
    </w:p>
    <w:p>
      <w:pPr>
        <w:spacing w:line="119" w:lineRule="exact" w:before="86"/>
        <w:ind w:left="3682" w:right="0" w:firstLine="0"/>
        <w:jc w:val="left"/>
        <w:rPr>
          <w:sz w:val="12"/>
        </w:rPr>
      </w:pPr>
      <w:r>
        <w:rPr/>
        <w:pict>
          <v:shape style="position:absolute;margin-left:47.612999pt;margin-top:3.40157pt;width:165pt;height:5pt;mso-position-horizontal-relative:page;mso-position-vertical-relative:paragraph;z-index:15879680" coordorigin="952,68" coordsize="3300,100" path="m1052,168l952,168m4252,168l4172,168m1092,168l4112,168m1092,168l1092,128m1152,168l1152,128m1204,168l1204,128m1256,168l1256,128m1308,168l1308,128m1360,168l1360,128m1412,168l1412,128m1464,168l1464,128m1516,168l1516,128m1568,168l1568,128m1620,168l1620,128m1672,168l1672,128m1712,168l1712,128m1772,168l1772,128m1824,168l1824,128m1876,168l1876,128m1928,168l1928,128m1980,168l1980,128m2032,168l2032,128m2084,168l2084,128m2136,168l2136,128m2188,168l2188,128m2240,168l2240,128m2292,168l2292,128m2352,168l2352,128m2392,168l2392,128m2444,168l2444,128m2496,168l2496,128m2548,168l2548,128m2600,168l2600,128m2652,168l2652,128m2704,168l2704,128m2756,168l2756,128m2808,168l2808,128m2860,168l2860,128m2912,168l2912,128m2972,168l2972,128m3012,168l3012,128m3064,168l3064,128m3116,168l3116,128m3168,168l3168,128m3220,168l3220,128m3272,168l3272,128m3324,168l3324,128m3376,168l3376,128m3428,168l3428,128m3480,168l3480,128m3532,168l3532,128m3592,168l3592,128m3632,168l3632,128m3685,168l3685,128m3737,168l3737,128m3790,168l3790,128m3842,168l3842,128m3895,168l3895,128m3947,168l3947,128m4000,168l4000,128m4052,168l4052,128m4112,168l4112,128m1092,168l1092,68m1712,168l1712,68m2352,168l2352,68m2972,168l2972,68m3592,168l3592,68e" filled="false" stroked="true" strokeweight=".5pt" strokecolor="#000000">
            <v:path arrowok="t"/>
            <v:stroke dashstyle="solid"/>
            <w10:wrap type="none"/>
          </v:shape>
        </w:pict>
      </w:r>
      <w:r>
        <w:rPr>
          <w:sz w:val="12"/>
        </w:rPr>
        <w:t>0</w:t>
      </w:r>
    </w:p>
    <w:p>
      <w:pPr>
        <w:tabs>
          <w:tab w:pos="1362" w:val="left" w:leader="none"/>
          <w:tab w:pos="1982" w:val="left" w:leader="none"/>
          <w:tab w:pos="2602" w:val="left" w:leader="none"/>
          <w:tab w:pos="3202" w:val="left" w:leader="none"/>
        </w:tabs>
        <w:spacing w:line="119" w:lineRule="exact" w:before="0"/>
        <w:ind w:left="682" w:right="0" w:firstLine="0"/>
        <w:jc w:val="left"/>
        <w:rPr>
          <w:sz w:val="12"/>
        </w:rPr>
      </w:pPr>
      <w:r>
        <w:rPr>
          <w:sz w:val="12"/>
        </w:rPr>
        <w:t>1993</w:t>
        <w:tab/>
        <w:t>94</w:t>
        <w:tab/>
        <w:t>95</w:t>
        <w:tab/>
        <w:t>96</w:t>
        <w:tab/>
        <w:t>97</w:t>
      </w:r>
    </w:p>
    <w:p>
      <w:pPr>
        <w:spacing w:line="208" w:lineRule="auto" w:before="107"/>
        <w:ind w:left="430" w:right="20" w:hanging="240"/>
        <w:jc w:val="left"/>
        <w:rPr>
          <w:sz w:val="12"/>
        </w:rPr>
      </w:pPr>
      <w:r>
        <w:rPr>
          <w:color w:val="231F20"/>
          <w:sz w:val="12"/>
        </w:rPr>
        <w:t>(a) Underlying earnings growth for Great Britain makes allowances for temporary influences such as arrears, variations in the timing of bonuses and industrial disputes.</w:t>
      </w:r>
    </w:p>
    <w:p>
      <w:pPr>
        <w:pStyle w:val="BodyText"/>
        <w:rPr>
          <w:sz w:val="12"/>
        </w:rPr>
      </w:pPr>
    </w:p>
    <w:p>
      <w:pPr>
        <w:pStyle w:val="BodyText"/>
        <w:rPr>
          <w:sz w:val="12"/>
        </w:rPr>
      </w:pPr>
    </w:p>
    <w:p>
      <w:pPr>
        <w:pStyle w:val="BodyText"/>
        <w:rPr>
          <w:sz w:val="12"/>
        </w:rPr>
      </w:pPr>
    </w:p>
    <w:p>
      <w:pPr>
        <w:pStyle w:val="BodyText"/>
        <w:spacing w:before="8"/>
        <w:rPr>
          <w:sz w:val="16"/>
        </w:rPr>
      </w:pPr>
    </w:p>
    <w:p>
      <w:pPr>
        <w:pStyle w:val="Heading9"/>
        <w:spacing w:before="0"/>
        <w:ind w:left="205"/>
      </w:pPr>
      <w:r>
        <w:rPr>
          <w:color w:val="0093C1"/>
        </w:rPr>
        <w:t>Chart 3.2</w:t>
      </w:r>
    </w:p>
    <w:p>
      <w:pPr>
        <w:spacing w:before="11"/>
        <w:ind w:left="205" w:right="0" w:firstLine="0"/>
        <w:jc w:val="left"/>
        <w:rPr>
          <w:b/>
          <w:sz w:val="20"/>
        </w:rPr>
      </w:pPr>
      <w:r>
        <w:rPr>
          <w:b/>
          <w:color w:val="0093C1"/>
          <w:sz w:val="20"/>
        </w:rPr>
        <w:t>Whole-economy average earnings growth</w:t>
      </w:r>
    </w:p>
    <w:p>
      <w:pPr>
        <w:spacing w:line="249" w:lineRule="auto" w:before="101"/>
        <w:ind w:left="582" w:right="246" w:firstLine="1259"/>
        <w:jc w:val="left"/>
        <w:rPr>
          <w:sz w:val="12"/>
        </w:rPr>
      </w:pPr>
      <w:r>
        <w:rPr/>
        <w:pict>
          <v:group style="position:absolute;margin-left:44.279999pt;margin-top:12.318158pt;width:166pt;height:78pt;mso-position-horizontal-relative:page;mso-position-vertical-relative:paragraph;z-index:-20204544" coordorigin="886,246" coordsize="3320,1560">
            <v:shape style="position:absolute;left:885;top:856;width:100;height:600" coordorigin="886,856" coordsize="100,600" path="m986,1456l886,1456m986,856l886,856e" filled="false" stroked="true" strokeweight=".5pt" strokecolor="#000000">
              <v:path arrowok="t"/>
              <v:stroke dashstyle="solid"/>
            </v:shape>
            <v:shape style="position:absolute;left:1045;top:536;width:3020;height:1260" coordorigin="1046,536" coordsize="3020,1260" path="m1046,1796l1186,1696,1326,1136,1446,936,1586,796,1726,896,1866,736,2006,856,2146,636,2286,656,2406,676,2546,636,2686,696,2826,596,2966,636,3106,536,3226,596,3366,556,3506,736,3646,736,3786,816,3926,656,4066,616e" filled="false" stroked="true" strokeweight="1pt" strokecolor="#95459a">
              <v:path arrowok="t"/>
              <v:stroke dashstyle="solid"/>
            </v:shape>
            <v:line style="position:absolute" from="986,256" to="886,256" stroked="true" strokeweight=".5pt" strokecolor="#000000">
              <v:stroke dashstyle="solid"/>
            </v:line>
            <v:shape style="position:absolute;left:1045;top:256;width:3020;height:1080" coordorigin="1046,256" coordsize="3020,1080" path="m1046,1176l1186,1036,1326,856,1446,916,1586,1336,1726,896,1866,836,2006,936,2146,736,2286,996,2406,776,2546,256,2686,376,2826,716,2966,376,3106,736,3226,716,3366,676,3506,556,3646,596,3786,756,3926,616,4066,436e" filled="false" stroked="true" strokeweight="1pt" strokecolor="#faab54">
              <v:path arrowok="t"/>
              <v:stroke dashstyle="solid"/>
            </v:shape>
            <v:shape style="position:absolute;left:1045;top:496;width:3020;height:720" coordorigin="1046,496" coordsize="3020,720" path="m1046,1216l1326,1096,1446,1036,1586,1036,2286,736,2406,676,2686,556,2826,616,3506,616,3646,556,3926,556,4066,496e" filled="false" stroked="true" strokeweight="1pt" strokecolor="#b8babc">
              <v:path arrowok="t"/>
              <v:stroke dashstyle="solid"/>
            </v:shape>
            <v:shape style="position:absolute;left:2668;top:659;width:1537;height:797" coordorigin="2669,660" coordsize="1537,797" path="m4206,1456l4106,1456m4206,856l4106,856m2669,660l2669,966e" filled="false" stroked="true" strokeweight=".5pt" strokecolor="#000000">
              <v:path arrowok="t"/>
              <v:stroke dashstyle="solid"/>
            </v:shape>
            <v:shape style="position:absolute;left:2643;top:591;width:51;height:85" coordorigin="2644,592" coordsize="51,85" path="m2669,592l2644,677,2694,677,2673,611,2670,601,2669,592xe" filled="true" fillcolor="#000000" stroked="false">
              <v:path arrowok="t"/>
              <v:fill type="solid"/>
            </v:shape>
            <w10:wrap type="none"/>
          </v:group>
        </w:pict>
      </w:r>
      <w:r>
        <w:rPr>
          <w:sz w:val="12"/>
        </w:rPr>
        <w:t>Percentage changes on a year earl</w:t>
      </w:r>
      <w:r>
        <w:rPr>
          <w:sz w:val="12"/>
          <w:u w:val="single"/>
        </w:rPr>
        <w:t>ie</w:t>
      </w:r>
      <w:r>
        <w:rPr>
          <w:sz w:val="12"/>
        </w:rPr>
        <w:t>r </w:t>
      </w:r>
      <w:r>
        <w:rPr>
          <w:position w:val="-6"/>
          <w:sz w:val="12"/>
        </w:rPr>
        <w:t>5 </w:t>
      </w:r>
      <w:r>
        <w:rPr>
          <w:sz w:val="12"/>
        </w:rPr>
        <w:t>ONS index of earnings (a)</w:t>
      </w:r>
    </w:p>
    <w:p>
      <w:pPr>
        <w:pStyle w:val="BodyText"/>
        <w:rPr>
          <w:sz w:val="12"/>
        </w:rPr>
      </w:pPr>
    </w:p>
    <w:p>
      <w:pPr>
        <w:pStyle w:val="BodyText"/>
        <w:spacing w:before="6"/>
        <w:rPr>
          <w:sz w:val="15"/>
        </w:rPr>
      </w:pPr>
    </w:p>
    <w:p>
      <w:pPr>
        <w:spacing w:before="0"/>
        <w:ind w:left="0" w:right="248" w:firstLine="0"/>
        <w:jc w:val="right"/>
        <w:rPr>
          <w:sz w:val="12"/>
        </w:rPr>
      </w:pPr>
      <w:r>
        <w:rPr>
          <w:sz w:val="12"/>
        </w:rPr>
        <w:t>4</w:t>
      </w:r>
    </w:p>
    <w:p>
      <w:pPr>
        <w:pStyle w:val="Heading5"/>
        <w:spacing w:line="242" w:lineRule="auto" w:before="228"/>
        <w:ind w:left="190" w:right="91"/>
      </w:pPr>
      <w:r>
        <w:rPr/>
        <w:br w:type="column"/>
      </w:r>
      <w:r>
        <w:rPr>
          <w:color w:val="231F20"/>
        </w:rPr>
        <w:t>Average earnings growth was 4</w:t>
      </w:r>
      <w:r>
        <w:rPr>
          <w:color w:val="231F20"/>
          <w:position w:val="8"/>
          <w:sz w:val="12"/>
        </w:rPr>
        <w:t>3</w:t>
      </w:r>
      <w:r>
        <w:rPr>
          <w:color w:val="231F20"/>
        </w:rPr>
        <w:t>/</w:t>
      </w:r>
      <w:r>
        <w:rPr>
          <w:color w:val="231F20"/>
          <w:sz w:val="12"/>
        </w:rPr>
        <w:t>4</w:t>
      </w:r>
      <w:r>
        <w:rPr>
          <w:color w:val="231F20"/>
        </w:rPr>
        <w:t>% in the twelve months to November, having risen by a </w:t>
      </w:r>
      <w:r>
        <w:rPr>
          <w:color w:val="231F20"/>
          <w:position w:val="8"/>
          <w:sz w:val="12"/>
        </w:rPr>
        <w:t>1</w:t>
      </w:r>
      <w:r>
        <w:rPr>
          <w:color w:val="231F20"/>
        </w:rPr>
        <w:t>/</w:t>
      </w:r>
      <w:r>
        <w:rPr>
          <w:color w:val="231F20"/>
          <w:sz w:val="12"/>
        </w:rPr>
        <w:t>4 </w:t>
      </w:r>
      <w:r>
        <w:rPr>
          <w:color w:val="231F20"/>
        </w:rPr>
        <w:t>percentage point in both October and November. Unemployment fell by 150,000 in the autumn,</w:t>
      </w:r>
      <w:r>
        <w:rPr>
          <w:color w:val="231F20"/>
          <w:position w:val="5"/>
          <w:sz w:val="16"/>
        </w:rPr>
        <w:t>(1) </w:t>
      </w:r>
      <w:r>
        <w:rPr>
          <w:color w:val="231F20"/>
        </w:rPr>
        <w:t>according to the Labour Force Survey (LFS). At 6.6% of the workforce, it was</w:t>
      </w:r>
    </w:p>
    <w:p>
      <w:pPr>
        <w:spacing w:line="242" w:lineRule="auto" w:before="7"/>
        <w:ind w:left="190" w:right="141" w:firstLine="0"/>
        <w:jc w:val="left"/>
        <w:rPr>
          <w:sz w:val="24"/>
        </w:rPr>
      </w:pPr>
      <w:r>
        <w:rPr>
          <w:color w:val="231F20"/>
          <w:sz w:val="24"/>
        </w:rPr>
        <w:t>1.3 percentage points lower than the previous year and at its lowest rate since the Survey began in 1984. Other indicators also suggest that the labour market continues to tighten. Employment rose by 0.4% in the autumn, slightly above its rate of growth in the summer, according to the LFS.</w:t>
      </w:r>
    </w:p>
    <w:p>
      <w:pPr>
        <w:pStyle w:val="BodyText"/>
        <w:spacing w:before="5"/>
        <w:rPr>
          <w:sz w:val="23"/>
        </w:rPr>
      </w:pPr>
    </w:p>
    <w:p>
      <w:pPr>
        <w:pStyle w:val="Heading3"/>
        <w:numPr>
          <w:ilvl w:val="1"/>
          <w:numId w:val="18"/>
        </w:numPr>
        <w:tabs>
          <w:tab w:pos="3350" w:val="left" w:leader="none"/>
          <w:tab w:pos="3351" w:val="left" w:leader="none"/>
        </w:tabs>
        <w:spacing w:line="240" w:lineRule="auto" w:before="1" w:after="0"/>
        <w:ind w:left="3350" w:right="0" w:hanging="3161"/>
        <w:jc w:val="left"/>
        <w:rPr>
          <w:color w:val="009483"/>
        </w:rPr>
      </w:pPr>
      <w:r>
        <w:rPr>
          <w:color w:val="009483"/>
        </w:rPr>
        <w:t>Nominal</w:t>
      </w:r>
      <w:r>
        <w:rPr>
          <w:color w:val="009483"/>
          <w:spacing w:val="-1"/>
        </w:rPr>
        <w:t> </w:t>
      </w:r>
      <w:r>
        <w:rPr>
          <w:color w:val="009483"/>
        </w:rPr>
        <w:t>earnings</w:t>
      </w:r>
    </w:p>
    <w:p>
      <w:pPr>
        <w:pStyle w:val="BodyText"/>
        <w:spacing w:line="40" w:lineRule="exact"/>
        <w:ind w:left="17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spacing w:line="242" w:lineRule="auto" w:before="223"/>
        <w:ind w:left="190" w:right="188" w:firstLine="0"/>
        <w:jc w:val="left"/>
        <w:rPr>
          <w:sz w:val="24"/>
        </w:rPr>
      </w:pPr>
      <w:r>
        <w:rPr>
          <w:color w:val="231F20"/>
          <w:sz w:val="24"/>
        </w:rPr>
        <w:t>Whole-economy average underlying earnings grew by 4</w:t>
      </w:r>
      <w:r>
        <w:rPr>
          <w:color w:val="231F20"/>
          <w:position w:val="8"/>
          <w:sz w:val="12"/>
        </w:rPr>
        <w:t>3</w:t>
      </w:r>
      <w:r>
        <w:rPr>
          <w:color w:val="231F20"/>
          <w:sz w:val="24"/>
        </w:rPr>
        <w:t>/</w:t>
      </w:r>
      <w:r>
        <w:rPr>
          <w:color w:val="231F20"/>
          <w:sz w:val="12"/>
        </w:rPr>
        <w:t>4</w:t>
      </w:r>
      <w:r>
        <w:rPr>
          <w:color w:val="231F20"/>
          <w:sz w:val="24"/>
        </w:rPr>
        <w:t>% in November 1997 compared with a year earlier— </w:t>
      </w:r>
      <w:r>
        <w:rPr>
          <w:color w:val="231F20"/>
          <w:position w:val="8"/>
          <w:sz w:val="12"/>
        </w:rPr>
        <w:t>1</w:t>
      </w:r>
      <w:r>
        <w:rPr>
          <w:color w:val="231F20"/>
          <w:sz w:val="24"/>
        </w:rPr>
        <w:t>/</w:t>
      </w:r>
      <w:r>
        <w:rPr>
          <w:color w:val="231F20"/>
          <w:sz w:val="12"/>
        </w:rPr>
        <w:t>4 </w:t>
      </w:r>
      <w:r>
        <w:rPr>
          <w:color w:val="231F20"/>
          <w:sz w:val="24"/>
        </w:rPr>
        <w:t>percentage point higher than in October and</w:t>
      </w:r>
    </w:p>
    <w:p>
      <w:pPr>
        <w:spacing w:line="242" w:lineRule="auto" w:before="4"/>
        <w:ind w:left="190" w:right="485" w:firstLine="0"/>
        <w:jc w:val="left"/>
        <w:rPr>
          <w:sz w:val="24"/>
        </w:rPr>
      </w:pPr>
      <w:r>
        <w:rPr>
          <w:color w:val="231F20"/>
          <w:position w:val="8"/>
          <w:sz w:val="12"/>
        </w:rPr>
        <w:t>1</w:t>
      </w:r>
      <w:r>
        <w:rPr>
          <w:color w:val="231F20"/>
          <w:sz w:val="24"/>
        </w:rPr>
        <w:t>/</w:t>
      </w:r>
      <w:r>
        <w:rPr>
          <w:color w:val="231F20"/>
          <w:sz w:val="12"/>
        </w:rPr>
        <w:t>2 </w:t>
      </w:r>
      <w:r>
        <w:rPr>
          <w:color w:val="231F20"/>
          <w:sz w:val="24"/>
        </w:rPr>
        <w:t>percentage point above that in September (see Chart 3.1). Some of the rise in November can be</w:t>
      </w:r>
    </w:p>
    <w:p>
      <w:pPr>
        <w:spacing w:line="280" w:lineRule="exact" w:before="3"/>
        <w:ind w:left="190" w:right="168" w:firstLine="0"/>
        <w:jc w:val="left"/>
        <w:rPr>
          <w:sz w:val="24"/>
        </w:rPr>
      </w:pPr>
      <w:r>
        <w:rPr>
          <w:color w:val="231F20"/>
          <w:sz w:val="24"/>
        </w:rPr>
        <w:t>accounted for by bonuses. There were higher bonuses in both manufacturing, where higher overtime payments were also a factor, and services. But even after smoothing the earnings series, in an attempt to adjust for</w:t>
      </w:r>
    </w:p>
    <w:p>
      <w:pPr>
        <w:spacing w:after="0" w:line="280" w:lineRule="exact"/>
        <w:jc w:val="left"/>
        <w:rPr>
          <w:sz w:val="24"/>
        </w:rPr>
        <w:sectPr>
          <w:type w:val="continuous"/>
          <w:pgSz w:w="11880" w:h="16840"/>
          <w:pgMar w:top="1200" w:bottom="280" w:left="620" w:right="620"/>
          <w:cols w:num="2" w:equalWidth="0">
            <w:col w:w="3946" w:space="864"/>
            <w:col w:w="5830"/>
          </w:cols>
        </w:sectPr>
      </w:pPr>
    </w:p>
    <w:p>
      <w:pPr>
        <w:pStyle w:val="BodyText"/>
        <w:rPr>
          <w:sz w:val="12"/>
        </w:rPr>
      </w:pPr>
    </w:p>
    <w:p>
      <w:pPr>
        <w:pStyle w:val="BodyText"/>
        <w:rPr>
          <w:sz w:val="12"/>
        </w:rPr>
      </w:pPr>
    </w:p>
    <w:p>
      <w:pPr>
        <w:pStyle w:val="BodyText"/>
        <w:rPr>
          <w:sz w:val="12"/>
        </w:rPr>
      </w:pPr>
    </w:p>
    <w:p>
      <w:pPr>
        <w:pStyle w:val="BodyText"/>
        <w:rPr>
          <w:sz w:val="15"/>
        </w:rPr>
      </w:pPr>
    </w:p>
    <w:p>
      <w:pPr>
        <w:spacing w:line="208" w:lineRule="auto" w:before="0"/>
        <w:ind w:left="682" w:right="-20" w:hanging="60"/>
        <w:jc w:val="left"/>
        <w:rPr>
          <w:sz w:val="12"/>
        </w:rPr>
      </w:pPr>
      <w:r>
        <w:rPr>
          <w:sz w:val="12"/>
        </w:rPr>
        <w:t>Earnings growth adjusted for uneven bonus effects (b)</w:t>
      </w:r>
    </w:p>
    <w:p>
      <w:pPr>
        <w:pStyle w:val="BodyText"/>
        <w:spacing w:before="7"/>
        <w:rPr>
          <w:sz w:val="6"/>
        </w:rPr>
      </w:pPr>
    </w:p>
    <w:p>
      <w:pPr>
        <w:pStyle w:val="BodyText"/>
        <w:spacing w:line="20" w:lineRule="exact"/>
        <w:ind w:left="26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7"/>
        </w:rPr>
      </w:pPr>
      <w:r>
        <w:rPr/>
        <w:pict>
          <v:shape style="position:absolute;margin-left:44.279999pt;margin-top:17.761669pt;width:5pt;height:.1pt;mso-position-horizontal-relative:page;mso-position-vertical-relative:paragraph;z-index:-15578624;mso-wrap-distance-left:0;mso-wrap-distance-right:0" coordorigin="886,355" coordsize="100,0" path="m986,355l886,355e" filled="false" stroked="true" strokeweight=".5pt" strokecolor="#000000">
            <v:path arrowok="t"/>
            <v:stroke dashstyle="solid"/>
            <w10:wrap type="topAndBottom"/>
          </v:shape>
        </w:pict>
      </w:r>
    </w:p>
    <w:p>
      <w:pPr>
        <w:spacing w:line="64" w:lineRule="exact" w:before="0"/>
        <w:ind w:left="106" w:right="0" w:firstLine="0"/>
        <w:jc w:val="left"/>
        <w:rPr>
          <w:sz w:val="12"/>
        </w:rPr>
      </w:pPr>
      <w:r>
        <w:rPr/>
        <w:br w:type="column"/>
      </w:r>
      <w:r>
        <w:rPr>
          <w:sz w:val="12"/>
        </w:rPr>
        <w:t>Kalman filter</w:t>
      </w:r>
    </w:p>
    <w:p>
      <w:pPr>
        <w:pStyle w:val="BodyText"/>
        <w:rPr>
          <w:sz w:val="12"/>
        </w:rPr>
      </w:pPr>
    </w:p>
    <w:p>
      <w:pPr>
        <w:pStyle w:val="BodyText"/>
        <w:spacing w:before="6"/>
        <w:rPr>
          <w:sz w:val="12"/>
        </w:rPr>
      </w:pPr>
    </w:p>
    <w:p>
      <w:pPr>
        <w:spacing w:before="0"/>
        <w:ind w:left="0" w:right="38" w:firstLine="0"/>
        <w:jc w:val="right"/>
        <w:rPr>
          <w:sz w:val="12"/>
        </w:rPr>
      </w:pPr>
      <w:r>
        <w:rPr>
          <w:sz w:val="12"/>
        </w:rPr>
        <w:t>3</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886336" from="210.279999pt,4.101563pt" to="205.279999pt,4.101563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885824" from="210.279999pt,4.101563pt" to="205.279999pt,4.101563pt" stroked="true" strokeweight=".5pt" strokecolor="#000000">
            <v:stroke dashstyle="solid"/>
            <w10:wrap type="none"/>
          </v:line>
        </w:pict>
      </w:r>
      <w:r>
        <w:rPr>
          <w:sz w:val="12"/>
        </w:rPr>
        <w:t>1</w:t>
      </w:r>
    </w:p>
    <w:p>
      <w:pPr>
        <w:pStyle w:val="Heading5"/>
        <w:spacing w:line="242" w:lineRule="auto"/>
        <w:ind w:left="622" w:right="162"/>
      </w:pPr>
      <w:r>
        <w:rPr/>
        <w:br w:type="column"/>
      </w:r>
      <w:r>
        <w:rPr>
          <w:color w:val="231F20"/>
        </w:rPr>
        <w:t>the effects of bonuses (see Chart 3.2), there was still a small increase in earnings growth in </w:t>
      </w:r>
      <w:r>
        <w:rPr>
          <w:color w:val="231F20"/>
          <w:spacing w:val="-3"/>
        </w:rPr>
        <w:t>November. </w:t>
      </w:r>
      <w:r>
        <w:rPr>
          <w:color w:val="231F20"/>
        </w:rPr>
        <w:t>Unit labour costs for the whole economy rose by 2.6% in 1997 Q3 compared with a year earlier; a higher rate of increase is likely in 1997 Q4, because earnings growth has risen while GDP growth has fallen without signs of </w:t>
      </w:r>
      <w:r>
        <w:rPr>
          <w:color w:val="231F20"/>
          <w:spacing w:val="-16"/>
        </w:rPr>
        <w:t>a </w:t>
      </w:r>
      <w:r>
        <w:rPr>
          <w:color w:val="231F20"/>
        </w:rPr>
        <w:t>corresponding fall yet in employment growth.</w:t>
      </w:r>
    </w:p>
    <w:p>
      <w:pPr>
        <w:spacing w:after="0" w:line="242" w:lineRule="auto"/>
        <w:sectPr>
          <w:type w:val="continuous"/>
          <w:pgSz w:w="11880" w:h="16840"/>
          <w:pgMar w:top="1200" w:bottom="280" w:left="620" w:right="620"/>
          <w:cols w:num="3" w:equalWidth="0">
            <w:col w:w="1629" w:space="40"/>
            <w:col w:w="2067" w:space="641"/>
            <w:col w:w="6263"/>
          </w:cols>
        </w:sectPr>
      </w:pPr>
    </w:p>
    <w:p>
      <w:pPr>
        <w:pStyle w:val="BodyText"/>
        <w:spacing w:before="10"/>
        <w:rPr>
          <w:sz w:val="16"/>
        </w:rPr>
      </w:pPr>
    </w:p>
    <w:p>
      <w:pPr>
        <w:spacing w:before="0"/>
        <w:ind w:left="3635" w:right="0" w:firstLine="0"/>
        <w:jc w:val="left"/>
        <w:rPr>
          <w:sz w:val="12"/>
        </w:rPr>
      </w:pPr>
      <w:r>
        <w:rPr/>
        <w:pict>
          <v:shape style="position:absolute;margin-left:44.279999pt;margin-top:-.898438pt;width:166pt;height:5pt;mso-position-horizontal-relative:page;mso-position-vertical-relative:paragraph;z-index:15884800" coordorigin="886,-18" coordsize="3320,100" path="m986,82l886,82m1046,82l4046,82m1046,82l1046,42m1186,82l1186,42m1326,82l1326,42m1446,82l1446,42m1586,82l1586,42m1726,82l1726,42m1866,82l1866,42m2006,82l2006,42m2146,82l2146,42m2286,82l2286,42m2406,82l2406,42m2546,82l2546,42m2686,82l2686,42m2826,82l2826,42m2966,82l2966,42m3086,82l3086,42m3226,82l3226,42m3366,82l3366,42m3506,82l3506,42m3646,82l3646,42m3786,82l3786,42m3926,82l3926,42m4046,82l4046,42m1046,82l1046,-18m2686,82l2686,-18m4206,82l4106,82e" filled="false" stroked="true" strokeweight=".5pt" strokecolor="#000000">
            <v:path arrowok="t"/>
            <v:stroke dashstyle="solid"/>
            <w10:wrap type="none"/>
          </v:shape>
        </w:pict>
      </w:r>
      <w:r>
        <w:rPr>
          <w:sz w:val="12"/>
        </w:rPr>
        <w:t>0</w:t>
      </w:r>
    </w:p>
    <w:p>
      <w:pPr>
        <w:tabs>
          <w:tab w:pos="2755" w:val="left" w:leader="none"/>
        </w:tabs>
        <w:spacing w:before="2"/>
        <w:ind w:left="1135" w:right="0" w:firstLine="0"/>
        <w:jc w:val="left"/>
        <w:rPr>
          <w:sz w:val="12"/>
        </w:rPr>
      </w:pPr>
      <w:r>
        <w:rPr>
          <w:sz w:val="12"/>
        </w:rPr>
        <w:t>1996</w:t>
        <w:tab/>
        <w:t>97</w:t>
      </w:r>
    </w:p>
    <w:p>
      <w:pPr>
        <w:spacing w:before="16"/>
        <w:ind w:left="205" w:right="0" w:firstLine="0"/>
        <w:jc w:val="left"/>
        <w:rPr>
          <w:sz w:val="12"/>
        </w:rPr>
      </w:pPr>
      <w:r>
        <w:rPr>
          <w:color w:val="231F20"/>
          <w:sz w:val="12"/>
        </w:rPr>
        <w:t>Sources: ONS and Bank of England.</w:t>
      </w:r>
    </w:p>
    <w:p>
      <w:pPr>
        <w:pStyle w:val="BodyText"/>
        <w:spacing w:before="2"/>
        <w:rPr>
          <w:sz w:val="10"/>
        </w:rPr>
      </w:pPr>
    </w:p>
    <w:p>
      <w:pPr>
        <w:pStyle w:val="ListParagraph"/>
        <w:numPr>
          <w:ilvl w:val="0"/>
          <w:numId w:val="19"/>
        </w:numPr>
        <w:tabs>
          <w:tab w:pos="446" w:val="left" w:leader="none"/>
        </w:tabs>
        <w:spacing w:line="208" w:lineRule="auto" w:before="0" w:after="0"/>
        <w:ind w:left="445" w:right="38" w:hanging="240"/>
        <w:jc w:val="left"/>
        <w:rPr>
          <w:sz w:val="12"/>
        </w:rPr>
      </w:pPr>
      <w:r>
        <w:rPr>
          <w:color w:val="231F20"/>
          <w:sz w:val="12"/>
        </w:rPr>
        <w:t>The underlying earnings series shown in Chart 3.1 is constructed </w:t>
      </w:r>
      <w:r>
        <w:rPr>
          <w:color w:val="231F20"/>
          <w:spacing w:val="-6"/>
          <w:sz w:val="12"/>
        </w:rPr>
        <w:t>by </w:t>
      </w:r>
      <w:r>
        <w:rPr>
          <w:color w:val="231F20"/>
          <w:sz w:val="12"/>
        </w:rPr>
        <w:t>the ONS using a three-month centred moving average of percentage changes in this series and then rounded to the nearest </w:t>
      </w:r>
      <w:r>
        <w:rPr>
          <w:color w:val="231F20"/>
          <w:position w:val="4"/>
          <w:sz w:val="6"/>
        </w:rPr>
        <w:t>1</w:t>
      </w:r>
      <w:r>
        <w:rPr>
          <w:color w:val="231F20"/>
          <w:sz w:val="12"/>
        </w:rPr>
        <w:t>/</w:t>
      </w:r>
      <w:r>
        <w:rPr>
          <w:color w:val="231F20"/>
          <w:sz w:val="6"/>
        </w:rPr>
        <w:t>4 </w:t>
      </w:r>
      <w:r>
        <w:rPr>
          <w:color w:val="231F20"/>
          <w:sz w:val="12"/>
        </w:rPr>
        <w:t>percentage point.</w:t>
      </w:r>
    </w:p>
    <w:p>
      <w:pPr>
        <w:pStyle w:val="ListParagraph"/>
        <w:numPr>
          <w:ilvl w:val="0"/>
          <w:numId w:val="19"/>
        </w:numPr>
        <w:tabs>
          <w:tab w:pos="446" w:val="left" w:leader="none"/>
        </w:tabs>
        <w:spacing w:line="208" w:lineRule="auto" w:before="0" w:after="0"/>
        <w:ind w:left="445" w:right="80" w:hanging="240"/>
        <w:jc w:val="left"/>
        <w:rPr>
          <w:sz w:val="12"/>
        </w:rPr>
      </w:pPr>
      <w:r>
        <w:rPr>
          <w:color w:val="231F20"/>
          <w:sz w:val="12"/>
        </w:rPr>
        <w:t>Three-month moving average of earnings growth, adjusted by subtracting monthly bonus effects and adding back a </w:t>
      </w:r>
      <w:r>
        <w:rPr>
          <w:color w:val="231F20"/>
          <w:spacing w:val="-2"/>
          <w:sz w:val="12"/>
        </w:rPr>
        <w:t>twelve-month </w:t>
      </w:r>
      <w:r>
        <w:rPr>
          <w:color w:val="231F20"/>
          <w:sz w:val="12"/>
        </w:rPr>
        <w:t>moving average of bonus effects.</w:t>
      </w:r>
    </w:p>
    <w:p>
      <w:pPr>
        <w:pStyle w:val="BodyText"/>
        <w:spacing w:before="4"/>
        <w:rPr>
          <w:sz w:val="23"/>
        </w:rPr>
      </w:pPr>
      <w:r>
        <w:rPr/>
        <w:br w:type="column"/>
      </w:r>
      <w:r>
        <w:rPr>
          <w:sz w:val="23"/>
        </w:rPr>
      </w:r>
    </w:p>
    <w:p>
      <w:pPr>
        <w:pStyle w:val="Heading5"/>
        <w:spacing w:line="242" w:lineRule="auto"/>
        <w:ind w:left="205" w:right="228"/>
      </w:pPr>
      <w:r>
        <w:rPr>
          <w:color w:val="231F20"/>
        </w:rPr>
        <w:t>The long run can provide a useful benchmark against which to judge whether the level of earnings growth is consistent with a particular level of domestically generated inflation. Nominal earnings growth higher than 4</w:t>
      </w:r>
      <w:r>
        <w:rPr>
          <w:color w:val="231F20"/>
          <w:position w:val="8"/>
          <w:sz w:val="12"/>
        </w:rPr>
        <w:t>1</w:t>
      </w:r>
      <w:r>
        <w:rPr>
          <w:color w:val="231F20"/>
        </w:rPr>
        <w:t>/</w:t>
      </w:r>
      <w:r>
        <w:rPr>
          <w:color w:val="231F20"/>
          <w:sz w:val="12"/>
        </w:rPr>
        <w:t>2</w:t>
      </w:r>
      <w:r>
        <w:rPr>
          <w:color w:val="231F20"/>
        </w:rPr>
        <w:t>% a year and unit labour costs rising more quickly than 2</w:t>
      </w:r>
      <w:r>
        <w:rPr>
          <w:color w:val="231F20"/>
          <w:position w:val="8"/>
          <w:sz w:val="12"/>
        </w:rPr>
        <w:t>1</w:t>
      </w:r>
      <w:r>
        <w:rPr>
          <w:color w:val="231F20"/>
        </w:rPr>
        <w:t>/</w:t>
      </w:r>
      <w:r>
        <w:rPr>
          <w:color w:val="231F20"/>
          <w:sz w:val="12"/>
        </w:rPr>
        <w:t>2</w:t>
      </w:r>
      <w:r>
        <w:rPr>
          <w:color w:val="231F20"/>
        </w:rPr>
        <w:t>% could not be sustained in the long run, unless domestically generated inflation were higher than 2</w:t>
      </w:r>
      <w:r>
        <w:rPr>
          <w:color w:val="231F20"/>
          <w:position w:val="8"/>
          <w:sz w:val="12"/>
        </w:rPr>
        <w:t>1</w:t>
      </w:r>
      <w:r>
        <w:rPr>
          <w:color w:val="231F20"/>
        </w:rPr>
        <w:t>/</w:t>
      </w:r>
      <w:r>
        <w:rPr>
          <w:color w:val="231F20"/>
          <w:sz w:val="12"/>
        </w:rPr>
        <w:t>2</w:t>
      </w:r>
      <w:r>
        <w:rPr>
          <w:color w:val="231F20"/>
        </w:rPr>
        <w:t>%. The inflation projection assumes that the trend growth in whole-economy productivity is 2% a year, close to its long-run average. Real wages, paid by employers, cannot grow more quickly than productivity</w:t>
      </w:r>
    </w:p>
    <w:p>
      <w:pPr>
        <w:pStyle w:val="BodyText"/>
        <w:spacing w:before="1"/>
        <w:rPr>
          <w:sz w:val="13"/>
        </w:rPr>
      </w:pPr>
      <w:r>
        <w:rPr/>
        <w:pict>
          <v:shape style="position:absolute;margin-left:279.5pt;margin-top:9.603808pt;width:278pt;height:.1pt;mso-position-horizontal-relative:page;mso-position-vertical-relative:paragraph;z-index:-15578112;mso-wrap-distance-left:0;mso-wrap-distance-right:0" coordorigin="5590,192" coordsize="5560,0" path="m5590,192l11150,192e" filled="false" stroked="true" strokeweight=".125pt" strokecolor="#231f20">
            <v:path arrowok="t"/>
            <v:stroke dashstyle="solid"/>
            <w10:wrap type="topAndBottom"/>
          </v:shape>
        </w:pict>
      </w:r>
    </w:p>
    <w:p>
      <w:pPr>
        <w:pStyle w:val="ListParagraph"/>
        <w:numPr>
          <w:ilvl w:val="1"/>
          <w:numId w:val="19"/>
        </w:numPr>
        <w:tabs>
          <w:tab w:pos="446" w:val="left" w:leader="none"/>
        </w:tabs>
        <w:spacing w:line="208" w:lineRule="auto" w:before="0" w:after="0"/>
        <w:ind w:left="445" w:right="799" w:hanging="240"/>
        <w:jc w:val="left"/>
        <w:rPr>
          <w:sz w:val="16"/>
        </w:rPr>
      </w:pPr>
      <w:r>
        <w:rPr>
          <w:color w:val="231F20"/>
          <w:sz w:val="16"/>
        </w:rPr>
        <w:t>‘Autumn’ covers the months September, October and November. The Survey has been published four times a year since 1992, and before </w:t>
      </w:r>
      <w:r>
        <w:rPr>
          <w:color w:val="231F20"/>
          <w:spacing w:val="-5"/>
          <w:sz w:val="16"/>
        </w:rPr>
        <w:t>that </w:t>
      </w:r>
      <w:r>
        <w:rPr>
          <w:color w:val="231F20"/>
          <w:sz w:val="16"/>
        </w:rPr>
        <w:t>once a year since 1984. From April 1998, the ONS plans to publish results from the LFS each month in the form of a three-month rolling average.</w:t>
      </w:r>
    </w:p>
    <w:p>
      <w:pPr>
        <w:spacing w:after="0" w:line="208" w:lineRule="auto"/>
        <w:jc w:val="left"/>
        <w:rPr>
          <w:sz w:val="16"/>
        </w:rPr>
        <w:sectPr>
          <w:type w:val="continuous"/>
          <w:pgSz w:w="11880" w:h="16840"/>
          <w:pgMar w:top="1200" w:bottom="280" w:left="620" w:right="620"/>
          <w:cols w:num="2" w:equalWidth="0">
            <w:col w:w="3755" w:space="1040"/>
            <w:col w:w="5845"/>
          </w:cols>
        </w:sectPr>
      </w:pPr>
    </w:p>
    <w:p>
      <w:pPr>
        <w:pStyle w:val="BodyText"/>
        <w:rPr>
          <w:sz w:val="20"/>
        </w:rPr>
      </w:pPr>
    </w:p>
    <w:p>
      <w:pPr>
        <w:pStyle w:val="Heading5"/>
        <w:spacing w:line="242" w:lineRule="auto" w:before="207"/>
        <w:ind w:left="4985"/>
      </w:pPr>
      <w:bookmarkStart w:name="Real earnings" w:id="52"/>
      <w:bookmarkEnd w:id="52"/>
      <w:r>
        <w:rPr/>
      </w:r>
      <w:bookmarkStart w:name="_bookmark19" w:id="53"/>
      <w:bookmarkEnd w:id="53"/>
      <w:r>
        <w:rPr/>
      </w:r>
      <w:r>
        <w:rPr>
          <w:color w:val="231F20"/>
        </w:rPr>
        <w:t>without the profit share in national output falling, and profits cannot adjust indefinitely.</w:t>
      </w:r>
    </w:p>
    <w:p>
      <w:pPr>
        <w:pStyle w:val="BodyText"/>
        <w:spacing w:before="3"/>
        <w:rPr>
          <w:sz w:val="20"/>
        </w:rPr>
      </w:pPr>
    </w:p>
    <w:p>
      <w:pPr>
        <w:spacing w:after="0"/>
        <w:rPr>
          <w:sz w:val="20"/>
        </w:rPr>
        <w:sectPr>
          <w:headerReference w:type="even" r:id="rId46"/>
          <w:headerReference w:type="default" r:id="rId47"/>
          <w:pgSz w:w="11880" w:h="16840"/>
          <w:pgMar w:header="566" w:footer="597" w:top="760" w:bottom="780" w:left="620" w:right="620"/>
        </w:sectPr>
      </w:pPr>
    </w:p>
    <w:p>
      <w:pPr>
        <w:pStyle w:val="BodyText"/>
        <w:rPr>
          <w:sz w:val="22"/>
        </w:rPr>
      </w:pPr>
    </w:p>
    <w:p>
      <w:pPr>
        <w:pStyle w:val="BodyText"/>
        <w:spacing w:before="4"/>
        <w:rPr>
          <w:sz w:val="31"/>
        </w:rPr>
      </w:pPr>
    </w:p>
    <w:p>
      <w:pPr>
        <w:pStyle w:val="Heading9"/>
        <w:spacing w:line="249" w:lineRule="auto" w:before="0"/>
        <w:ind w:left="185" w:right="20"/>
      </w:pPr>
      <w:r>
        <w:rPr>
          <w:color w:val="0093C1"/>
        </w:rPr>
        <w:t>Table 3.A Settlements</w:t>
      </w:r>
    </w:p>
    <w:p>
      <w:pPr>
        <w:spacing w:before="98"/>
        <w:ind w:left="185" w:right="0" w:firstLine="0"/>
        <w:jc w:val="left"/>
        <w:rPr>
          <w:sz w:val="14"/>
        </w:rPr>
      </w:pPr>
      <w:r>
        <w:rPr>
          <w:color w:val="231F20"/>
          <w:sz w:val="14"/>
        </w:rPr>
        <w:t>Percentages</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5"/>
        </w:rPr>
      </w:pPr>
    </w:p>
    <w:p>
      <w:pPr>
        <w:tabs>
          <w:tab w:pos="1809" w:val="left" w:leader="none"/>
        </w:tabs>
        <w:spacing w:line="160" w:lineRule="exact" w:before="1"/>
        <w:ind w:left="185" w:right="0" w:firstLine="0"/>
        <w:jc w:val="left"/>
        <w:rPr>
          <w:sz w:val="14"/>
        </w:rPr>
      </w:pPr>
      <w:r>
        <w:rPr>
          <w:color w:val="231F20"/>
          <w:sz w:val="14"/>
          <w:u w:val="single" w:color="231F20"/>
        </w:rPr>
        <w:t>1997</w:t>
        <w:tab/>
        <w:t>1998</w:t>
      </w:r>
    </w:p>
    <w:p>
      <w:pPr>
        <w:spacing w:line="160" w:lineRule="exact" w:before="0"/>
        <w:ind w:left="185" w:right="0" w:firstLine="0"/>
        <w:jc w:val="left"/>
        <w:rPr>
          <w:sz w:val="12"/>
        </w:rPr>
      </w:pPr>
      <w:r>
        <w:rPr/>
        <w:pict>
          <v:shape style="position:absolute;margin-left:37.75pt;margin-top:14.272562pt;width:213.8pt;height:56.8pt;mso-position-horizontal-relative:page;mso-position-vertical-relative:paragraph;z-index:158868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292"/>
                    <w:gridCol w:w="350"/>
                    <w:gridCol w:w="355"/>
                    <w:gridCol w:w="355"/>
                    <w:gridCol w:w="365"/>
                    <w:gridCol w:w="328"/>
                  </w:tblGrid>
                  <w:tr>
                    <w:trPr>
                      <w:trHeight w:val="287" w:hRule="atLeast"/>
                    </w:trPr>
                    <w:tc>
                      <w:tcPr>
                        <w:tcW w:w="2230" w:type="dxa"/>
                      </w:tcPr>
                      <w:p>
                        <w:pPr>
                          <w:pStyle w:val="TableParagraph"/>
                          <w:spacing w:line="140" w:lineRule="exact" w:before="12"/>
                          <w:ind w:left="120" w:right="9" w:hanging="70"/>
                          <w:rPr>
                            <w:b/>
                            <w:sz w:val="14"/>
                          </w:rPr>
                        </w:pPr>
                        <w:r>
                          <w:rPr>
                            <w:b/>
                            <w:color w:val="231F20"/>
                            <w:sz w:val="14"/>
                          </w:rPr>
                          <w:t>Three-month employment-weighted median</w:t>
                        </w:r>
                      </w:p>
                    </w:tc>
                    <w:tc>
                      <w:tcPr>
                        <w:tcW w:w="2045" w:type="dxa"/>
                        <w:gridSpan w:val="6"/>
                      </w:tcPr>
                      <w:p>
                        <w:pPr>
                          <w:pStyle w:val="TableParagraph"/>
                          <w:rPr>
                            <w:sz w:val="20"/>
                          </w:rPr>
                        </w:pPr>
                      </w:p>
                    </w:tc>
                  </w:tr>
                  <w:tr>
                    <w:trPr>
                      <w:trHeight w:val="136" w:hRule="atLeast"/>
                    </w:trPr>
                    <w:tc>
                      <w:tcPr>
                        <w:tcW w:w="2230" w:type="dxa"/>
                      </w:tcPr>
                      <w:p>
                        <w:pPr>
                          <w:pStyle w:val="TableParagraph"/>
                          <w:spacing w:line="116" w:lineRule="exact"/>
                          <w:ind w:left="50"/>
                          <w:rPr>
                            <w:sz w:val="14"/>
                          </w:rPr>
                        </w:pPr>
                        <w:r>
                          <w:rPr>
                            <w:color w:val="231F20"/>
                            <w:sz w:val="14"/>
                          </w:rPr>
                          <w:t>Whole-economy (IRS)</w:t>
                        </w:r>
                      </w:p>
                    </w:tc>
                    <w:tc>
                      <w:tcPr>
                        <w:tcW w:w="292" w:type="dxa"/>
                      </w:tcPr>
                      <w:p>
                        <w:pPr>
                          <w:pStyle w:val="TableParagraph"/>
                          <w:spacing w:line="116" w:lineRule="exact"/>
                          <w:ind w:left="11" w:right="65"/>
                          <w:jc w:val="center"/>
                          <w:rPr>
                            <w:sz w:val="14"/>
                          </w:rPr>
                        </w:pPr>
                        <w:r>
                          <w:rPr>
                            <w:color w:val="231F20"/>
                            <w:sz w:val="14"/>
                          </w:rPr>
                          <w:t>3.0</w:t>
                        </w:r>
                      </w:p>
                    </w:tc>
                    <w:tc>
                      <w:tcPr>
                        <w:tcW w:w="350" w:type="dxa"/>
                      </w:tcPr>
                      <w:p>
                        <w:pPr>
                          <w:pStyle w:val="TableParagraph"/>
                          <w:spacing w:line="116" w:lineRule="exact"/>
                          <w:ind w:left="68" w:right="67"/>
                          <w:jc w:val="center"/>
                          <w:rPr>
                            <w:sz w:val="14"/>
                          </w:rPr>
                        </w:pPr>
                        <w:r>
                          <w:rPr>
                            <w:color w:val="231F20"/>
                            <w:sz w:val="14"/>
                          </w:rPr>
                          <w:t>3.5</w:t>
                        </w:r>
                      </w:p>
                    </w:tc>
                    <w:tc>
                      <w:tcPr>
                        <w:tcW w:w="355" w:type="dxa"/>
                      </w:tcPr>
                      <w:p>
                        <w:pPr>
                          <w:pStyle w:val="TableParagraph"/>
                          <w:spacing w:line="116" w:lineRule="exact"/>
                          <w:ind w:left="66" w:right="67"/>
                          <w:jc w:val="center"/>
                          <w:rPr>
                            <w:sz w:val="14"/>
                          </w:rPr>
                        </w:pPr>
                        <w:r>
                          <w:rPr>
                            <w:color w:val="231F20"/>
                            <w:sz w:val="14"/>
                          </w:rPr>
                          <w:t>3.5</w:t>
                        </w:r>
                      </w:p>
                    </w:tc>
                    <w:tc>
                      <w:tcPr>
                        <w:tcW w:w="355" w:type="dxa"/>
                      </w:tcPr>
                      <w:p>
                        <w:pPr>
                          <w:pStyle w:val="TableParagraph"/>
                          <w:spacing w:line="116" w:lineRule="exact"/>
                          <w:ind w:left="69" w:right="63"/>
                          <w:jc w:val="center"/>
                          <w:rPr>
                            <w:sz w:val="14"/>
                          </w:rPr>
                        </w:pPr>
                        <w:r>
                          <w:rPr>
                            <w:color w:val="231F20"/>
                            <w:sz w:val="14"/>
                          </w:rPr>
                          <w:t>3.5</w:t>
                        </w:r>
                      </w:p>
                    </w:tc>
                    <w:tc>
                      <w:tcPr>
                        <w:tcW w:w="365" w:type="dxa"/>
                      </w:tcPr>
                      <w:p>
                        <w:pPr>
                          <w:pStyle w:val="TableParagraph"/>
                          <w:spacing w:line="116" w:lineRule="exact"/>
                          <w:ind w:left="69" w:right="80"/>
                          <w:jc w:val="center"/>
                          <w:rPr>
                            <w:sz w:val="14"/>
                          </w:rPr>
                        </w:pPr>
                        <w:r>
                          <w:rPr>
                            <w:color w:val="231F20"/>
                            <w:sz w:val="14"/>
                          </w:rPr>
                          <w:t>4.5</w:t>
                        </w:r>
                      </w:p>
                    </w:tc>
                    <w:tc>
                      <w:tcPr>
                        <w:tcW w:w="328" w:type="dxa"/>
                      </w:tcPr>
                      <w:p>
                        <w:pPr>
                          <w:pStyle w:val="TableParagraph"/>
                          <w:spacing w:line="116" w:lineRule="exact"/>
                          <w:ind w:left="75" w:right="30"/>
                          <w:jc w:val="center"/>
                          <w:rPr>
                            <w:sz w:val="14"/>
                          </w:rPr>
                        </w:pPr>
                        <w:r>
                          <w:rPr>
                            <w:color w:val="231F20"/>
                            <w:sz w:val="14"/>
                          </w:rPr>
                          <w:t>n.a</w:t>
                        </w:r>
                      </w:p>
                    </w:tc>
                  </w:tr>
                  <w:tr>
                    <w:trPr>
                      <w:trHeight w:val="210" w:hRule="atLeast"/>
                    </w:trPr>
                    <w:tc>
                      <w:tcPr>
                        <w:tcW w:w="2230" w:type="dxa"/>
                      </w:tcPr>
                      <w:p>
                        <w:pPr>
                          <w:pStyle w:val="TableParagraph"/>
                          <w:spacing w:line="148" w:lineRule="exact"/>
                          <w:ind w:left="50"/>
                          <w:rPr>
                            <w:sz w:val="14"/>
                          </w:rPr>
                        </w:pPr>
                        <w:r>
                          <w:rPr>
                            <w:color w:val="231F20"/>
                            <w:sz w:val="14"/>
                          </w:rPr>
                          <w:t>Whole-economy (Bank)</w:t>
                        </w:r>
                      </w:p>
                    </w:tc>
                    <w:tc>
                      <w:tcPr>
                        <w:tcW w:w="292" w:type="dxa"/>
                      </w:tcPr>
                      <w:p>
                        <w:pPr>
                          <w:pStyle w:val="TableParagraph"/>
                          <w:spacing w:line="148" w:lineRule="exact"/>
                          <w:ind w:left="11" w:right="65"/>
                          <w:jc w:val="center"/>
                          <w:rPr>
                            <w:sz w:val="14"/>
                          </w:rPr>
                        </w:pPr>
                        <w:r>
                          <w:rPr>
                            <w:color w:val="231F20"/>
                            <w:sz w:val="14"/>
                          </w:rPr>
                          <w:t>2.9</w:t>
                        </w:r>
                      </w:p>
                    </w:tc>
                    <w:tc>
                      <w:tcPr>
                        <w:tcW w:w="350" w:type="dxa"/>
                      </w:tcPr>
                      <w:p>
                        <w:pPr>
                          <w:pStyle w:val="TableParagraph"/>
                          <w:spacing w:line="148" w:lineRule="exact"/>
                          <w:ind w:left="68" w:right="67"/>
                          <w:jc w:val="center"/>
                          <w:rPr>
                            <w:sz w:val="14"/>
                          </w:rPr>
                        </w:pPr>
                        <w:r>
                          <w:rPr>
                            <w:color w:val="231F20"/>
                            <w:sz w:val="14"/>
                          </w:rPr>
                          <w:t>3.5</w:t>
                        </w:r>
                      </w:p>
                    </w:tc>
                    <w:tc>
                      <w:tcPr>
                        <w:tcW w:w="355" w:type="dxa"/>
                      </w:tcPr>
                      <w:p>
                        <w:pPr>
                          <w:pStyle w:val="TableParagraph"/>
                          <w:spacing w:line="148" w:lineRule="exact"/>
                          <w:ind w:left="66" w:right="67"/>
                          <w:jc w:val="center"/>
                          <w:rPr>
                            <w:sz w:val="14"/>
                          </w:rPr>
                        </w:pPr>
                        <w:r>
                          <w:rPr>
                            <w:color w:val="231F20"/>
                            <w:sz w:val="14"/>
                          </w:rPr>
                          <w:t>3.5</w:t>
                        </w:r>
                      </w:p>
                    </w:tc>
                    <w:tc>
                      <w:tcPr>
                        <w:tcW w:w="355" w:type="dxa"/>
                      </w:tcPr>
                      <w:p>
                        <w:pPr>
                          <w:pStyle w:val="TableParagraph"/>
                          <w:spacing w:line="148" w:lineRule="exact"/>
                          <w:ind w:left="69" w:right="63"/>
                          <w:jc w:val="center"/>
                          <w:rPr>
                            <w:sz w:val="14"/>
                          </w:rPr>
                        </w:pPr>
                        <w:r>
                          <w:rPr>
                            <w:color w:val="231F20"/>
                            <w:sz w:val="14"/>
                          </w:rPr>
                          <w:t>3.3</w:t>
                        </w:r>
                      </w:p>
                    </w:tc>
                    <w:tc>
                      <w:tcPr>
                        <w:tcW w:w="365" w:type="dxa"/>
                      </w:tcPr>
                      <w:p>
                        <w:pPr>
                          <w:pStyle w:val="TableParagraph"/>
                          <w:spacing w:line="148" w:lineRule="exact"/>
                          <w:ind w:left="69" w:right="80"/>
                          <w:jc w:val="center"/>
                          <w:rPr>
                            <w:sz w:val="14"/>
                          </w:rPr>
                        </w:pPr>
                        <w:r>
                          <w:rPr>
                            <w:color w:val="231F20"/>
                            <w:sz w:val="14"/>
                          </w:rPr>
                          <w:t>3.3</w:t>
                        </w:r>
                      </w:p>
                    </w:tc>
                    <w:tc>
                      <w:tcPr>
                        <w:tcW w:w="328" w:type="dxa"/>
                      </w:tcPr>
                      <w:p>
                        <w:pPr>
                          <w:pStyle w:val="TableParagraph"/>
                          <w:spacing w:line="148" w:lineRule="exact"/>
                          <w:ind w:left="82" w:right="29"/>
                          <w:jc w:val="center"/>
                          <w:rPr>
                            <w:sz w:val="14"/>
                          </w:rPr>
                        </w:pPr>
                        <w:r>
                          <w:rPr>
                            <w:color w:val="231F20"/>
                            <w:sz w:val="14"/>
                          </w:rPr>
                          <w:t>4.5</w:t>
                        </w:r>
                      </w:p>
                    </w:tc>
                  </w:tr>
                  <w:tr>
                    <w:trPr>
                      <w:trHeight w:val="497" w:hRule="atLeast"/>
                    </w:trPr>
                    <w:tc>
                      <w:tcPr>
                        <w:tcW w:w="2230" w:type="dxa"/>
                      </w:tcPr>
                      <w:p>
                        <w:pPr>
                          <w:pStyle w:val="TableParagraph"/>
                          <w:spacing w:line="208" w:lineRule="auto" w:before="73"/>
                          <w:ind w:left="120" w:right="9" w:hanging="70"/>
                          <w:rPr>
                            <w:b/>
                            <w:sz w:val="14"/>
                          </w:rPr>
                        </w:pPr>
                        <w:r>
                          <w:rPr>
                            <w:b/>
                            <w:color w:val="231F20"/>
                            <w:sz w:val="14"/>
                          </w:rPr>
                          <w:t>Three-month employment-weighted mean</w:t>
                        </w:r>
                      </w:p>
                      <w:p>
                        <w:pPr>
                          <w:pStyle w:val="TableParagraph"/>
                          <w:spacing w:line="124" w:lineRule="exact"/>
                          <w:ind w:left="50"/>
                          <w:rPr>
                            <w:sz w:val="14"/>
                          </w:rPr>
                        </w:pPr>
                        <w:r>
                          <w:rPr>
                            <w:color w:val="231F20"/>
                            <w:sz w:val="14"/>
                          </w:rPr>
                          <w:t>Whole-economy (Bank)</w:t>
                        </w:r>
                      </w:p>
                    </w:tc>
                    <w:tc>
                      <w:tcPr>
                        <w:tcW w:w="292" w:type="dxa"/>
                      </w:tcPr>
                      <w:p>
                        <w:pPr>
                          <w:pStyle w:val="TableParagraph"/>
                          <w:rPr>
                            <w:sz w:val="16"/>
                          </w:rPr>
                        </w:pPr>
                      </w:p>
                      <w:p>
                        <w:pPr>
                          <w:pStyle w:val="TableParagraph"/>
                          <w:spacing w:before="3"/>
                          <w:rPr>
                            <w:sz w:val="13"/>
                          </w:rPr>
                        </w:pPr>
                      </w:p>
                      <w:p>
                        <w:pPr>
                          <w:pStyle w:val="TableParagraph"/>
                          <w:spacing w:line="141" w:lineRule="exact"/>
                          <w:ind w:left="11" w:right="65"/>
                          <w:jc w:val="center"/>
                          <w:rPr>
                            <w:sz w:val="14"/>
                          </w:rPr>
                        </w:pPr>
                        <w:r>
                          <w:rPr>
                            <w:color w:val="231F20"/>
                            <w:sz w:val="14"/>
                          </w:rPr>
                          <w:t>3.1</w:t>
                        </w:r>
                      </w:p>
                    </w:tc>
                    <w:tc>
                      <w:tcPr>
                        <w:tcW w:w="350" w:type="dxa"/>
                      </w:tcPr>
                      <w:p>
                        <w:pPr>
                          <w:pStyle w:val="TableParagraph"/>
                          <w:rPr>
                            <w:sz w:val="16"/>
                          </w:rPr>
                        </w:pPr>
                      </w:p>
                      <w:p>
                        <w:pPr>
                          <w:pStyle w:val="TableParagraph"/>
                          <w:spacing w:before="3"/>
                          <w:rPr>
                            <w:sz w:val="13"/>
                          </w:rPr>
                        </w:pPr>
                      </w:p>
                      <w:p>
                        <w:pPr>
                          <w:pStyle w:val="TableParagraph"/>
                          <w:spacing w:line="141" w:lineRule="exact"/>
                          <w:ind w:left="68" w:right="67"/>
                          <w:jc w:val="center"/>
                          <w:rPr>
                            <w:sz w:val="14"/>
                          </w:rPr>
                        </w:pPr>
                        <w:r>
                          <w:rPr>
                            <w:color w:val="231F20"/>
                            <w:sz w:val="14"/>
                          </w:rPr>
                          <w:t>3.9</w:t>
                        </w:r>
                      </w:p>
                    </w:tc>
                    <w:tc>
                      <w:tcPr>
                        <w:tcW w:w="355" w:type="dxa"/>
                      </w:tcPr>
                      <w:p>
                        <w:pPr>
                          <w:pStyle w:val="TableParagraph"/>
                          <w:rPr>
                            <w:sz w:val="16"/>
                          </w:rPr>
                        </w:pPr>
                      </w:p>
                      <w:p>
                        <w:pPr>
                          <w:pStyle w:val="TableParagraph"/>
                          <w:spacing w:before="3"/>
                          <w:rPr>
                            <w:sz w:val="13"/>
                          </w:rPr>
                        </w:pPr>
                      </w:p>
                      <w:p>
                        <w:pPr>
                          <w:pStyle w:val="TableParagraph"/>
                          <w:spacing w:line="141" w:lineRule="exact"/>
                          <w:ind w:left="66" w:right="67"/>
                          <w:jc w:val="center"/>
                          <w:rPr>
                            <w:sz w:val="14"/>
                          </w:rPr>
                        </w:pPr>
                        <w:r>
                          <w:rPr>
                            <w:color w:val="231F20"/>
                            <w:sz w:val="14"/>
                          </w:rPr>
                          <w:t>4.1</w:t>
                        </w:r>
                      </w:p>
                    </w:tc>
                    <w:tc>
                      <w:tcPr>
                        <w:tcW w:w="355" w:type="dxa"/>
                      </w:tcPr>
                      <w:p>
                        <w:pPr>
                          <w:pStyle w:val="TableParagraph"/>
                          <w:rPr>
                            <w:sz w:val="16"/>
                          </w:rPr>
                        </w:pPr>
                      </w:p>
                      <w:p>
                        <w:pPr>
                          <w:pStyle w:val="TableParagraph"/>
                          <w:spacing w:before="3"/>
                          <w:rPr>
                            <w:sz w:val="13"/>
                          </w:rPr>
                        </w:pPr>
                      </w:p>
                      <w:p>
                        <w:pPr>
                          <w:pStyle w:val="TableParagraph"/>
                          <w:spacing w:line="141" w:lineRule="exact"/>
                          <w:ind w:left="69" w:right="63"/>
                          <w:jc w:val="center"/>
                          <w:rPr>
                            <w:sz w:val="14"/>
                          </w:rPr>
                        </w:pPr>
                        <w:r>
                          <w:rPr>
                            <w:color w:val="231F20"/>
                            <w:sz w:val="14"/>
                          </w:rPr>
                          <w:t>3.5</w:t>
                        </w:r>
                      </w:p>
                    </w:tc>
                    <w:tc>
                      <w:tcPr>
                        <w:tcW w:w="365" w:type="dxa"/>
                      </w:tcPr>
                      <w:p>
                        <w:pPr>
                          <w:pStyle w:val="TableParagraph"/>
                          <w:rPr>
                            <w:sz w:val="16"/>
                          </w:rPr>
                        </w:pPr>
                      </w:p>
                      <w:p>
                        <w:pPr>
                          <w:pStyle w:val="TableParagraph"/>
                          <w:spacing w:before="3"/>
                          <w:rPr>
                            <w:sz w:val="13"/>
                          </w:rPr>
                        </w:pPr>
                      </w:p>
                      <w:p>
                        <w:pPr>
                          <w:pStyle w:val="TableParagraph"/>
                          <w:spacing w:line="141" w:lineRule="exact"/>
                          <w:ind w:left="69" w:right="80"/>
                          <w:jc w:val="center"/>
                          <w:rPr>
                            <w:sz w:val="14"/>
                          </w:rPr>
                        </w:pPr>
                        <w:r>
                          <w:rPr>
                            <w:color w:val="231F20"/>
                            <w:sz w:val="14"/>
                          </w:rPr>
                          <w:t>3.7</w:t>
                        </w:r>
                      </w:p>
                    </w:tc>
                    <w:tc>
                      <w:tcPr>
                        <w:tcW w:w="328" w:type="dxa"/>
                      </w:tcPr>
                      <w:p>
                        <w:pPr>
                          <w:pStyle w:val="TableParagraph"/>
                          <w:rPr>
                            <w:sz w:val="16"/>
                          </w:rPr>
                        </w:pPr>
                      </w:p>
                      <w:p>
                        <w:pPr>
                          <w:pStyle w:val="TableParagraph"/>
                          <w:spacing w:before="3"/>
                          <w:rPr>
                            <w:sz w:val="13"/>
                          </w:rPr>
                        </w:pPr>
                      </w:p>
                      <w:p>
                        <w:pPr>
                          <w:pStyle w:val="TableParagraph"/>
                          <w:spacing w:line="141" w:lineRule="exact"/>
                          <w:ind w:left="82" w:right="29"/>
                          <w:jc w:val="center"/>
                          <w:rPr>
                            <w:sz w:val="14"/>
                          </w:rPr>
                        </w:pPr>
                        <w:r>
                          <w:rPr>
                            <w:color w:val="231F20"/>
                            <w:sz w:val="14"/>
                          </w:rPr>
                          <w:t>4.4</w:t>
                        </w:r>
                      </w:p>
                    </w:tc>
                  </w:tr>
                </w:tbl>
                <w:p>
                  <w:pPr>
                    <w:pStyle w:val="BodyText"/>
                  </w:pPr>
                </w:p>
              </w:txbxContent>
            </v:textbox>
            <w10:wrap type="none"/>
          </v:shape>
        </w:pict>
      </w:r>
      <w:r>
        <w:rPr>
          <w:color w:val="231F20"/>
          <w:sz w:val="14"/>
          <w:u w:val="single" w:color="231F20"/>
        </w:rPr>
        <w:t>Q2</w:t>
      </w:r>
      <w:r>
        <w:rPr>
          <w:color w:val="231F20"/>
          <w:sz w:val="14"/>
        </w:rPr>
        <w:t> </w:t>
      </w:r>
      <w:r>
        <w:rPr>
          <w:color w:val="231F20"/>
          <w:sz w:val="14"/>
          <w:u w:val="single" w:color="231F20"/>
        </w:rPr>
        <w:t>Q3</w:t>
      </w:r>
      <w:r>
        <w:rPr>
          <w:color w:val="231F20"/>
          <w:sz w:val="14"/>
        </w:rPr>
        <w:t> </w:t>
      </w:r>
      <w:r>
        <w:rPr>
          <w:color w:val="231F20"/>
          <w:sz w:val="14"/>
          <w:u w:val="single" w:color="231F20"/>
        </w:rPr>
        <w:t>Oct.</w:t>
      </w:r>
      <w:r>
        <w:rPr>
          <w:color w:val="231F20"/>
          <w:sz w:val="14"/>
        </w:rPr>
        <w:t> </w:t>
      </w:r>
      <w:r>
        <w:rPr>
          <w:color w:val="231F20"/>
          <w:sz w:val="14"/>
          <w:u w:val="single" w:color="231F20"/>
        </w:rPr>
        <w:t>Nov</w:t>
      </w:r>
      <w:r>
        <w:rPr>
          <w:color w:val="231F20"/>
          <w:sz w:val="14"/>
        </w:rPr>
        <w:t>. </w:t>
      </w:r>
      <w:r>
        <w:rPr>
          <w:color w:val="231F20"/>
          <w:sz w:val="14"/>
          <w:u w:val="single" w:color="231F20"/>
        </w:rPr>
        <w:t>Dec</w:t>
      </w:r>
      <w:r>
        <w:rPr>
          <w:color w:val="231F20"/>
          <w:sz w:val="14"/>
        </w:rPr>
        <w:t>. </w:t>
      </w:r>
      <w:r>
        <w:rPr>
          <w:color w:val="231F20"/>
          <w:sz w:val="14"/>
          <w:u w:val="single" w:color="231F20"/>
        </w:rPr>
        <w:t>Jan.</w:t>
      </w:r>
      <w:r>
        <w:rPr>
          <w:color w:val="231F20"/>
          <w:sz w:val="12"/>
          <w:u w:val="single" w:color="231F20"/>
        </w:rPr>
        <w:t>(a</w:t>
      </w:r>
      <w:r>
        <w:rPr>
          <w:color w:val="231F20"/>
          <w:sz w:val="12"/>
        </w:rPr>
        <w:t>)</w:t>
      </w:r>
    </w:p>
    <w:p>
      <w:pPr>
        <w:pStyle w:val="Heading5"/>
        <w:spacing w:line="242" w:lineRule="auto" w:before="90"/>
        <w:ind w:left="185" w:right="219"/>
      </w:pPr>
      <w:r>
        <w:rPr/>
        <w:br w:type="column"/>
      </w:r>
      <w:r>
        <w:rPr>
          <w:color w:val="231F20"/>
          <w:spacing w:val="-5"/>
        </w:rPr>
        <w:t>Wage </w:t>
      </w:r>
      <w:r>
        <w:rPr>
          <w:color w:val="231F20"/>
        </w:rPr>
        <w:t>settlements in the second half of 1997 were </w:t>
      </w:r>
      <w:r>
        <w:rPr>
          <w:color w:val="231F20"/>
          <w:spacing w:val="-3"/>
        </w:rPr>
        <w:t>higher </w:t>
      </w:r>
      <w:r>
        <w:rPr>
          <w:color w:val="231F20"/>
        </w:rPr>
        <w:t>than in the first half, according to the </w:t>
      </w:r>
      <w:r>
        <w:rPr>
          <w:color w:val="231F20"/>
          <w:spacing w:val="-3"/>
        </w:rPr>
        <w:t>Bank’s </w:t>
      </w:r>
      <w:r>
        <w:rPr>
          <w:color w:val="231F20"/>
        </w:rPr>
        <w:t>database, but it is too early to say whether this represented a clear trend. The figure for average settlements was heavily influenced by a single large settlement for the construction sector in August. Between September and December, relatively </w:t>
      </w:r>
      <w:r>
        <w:rPr>
          <w:color w:val="231F20"/>
          <w:spacing w:val="-3"/>
        </w:rPr>
        <w:t>few </w:t>
      </w:r>
      <w:r>
        <w:rPr>
          <w:color w:val="231F20"/>
        </w:rPr>
        <w:t>settlements were recorded, so it would be unwise to place too much weight on those figures.  </w:t>
      </w:r>
      <w:r>
        <w:rPr>
          <w:color w:val="231F20"/>
          <w:spacing w:val="-4"/>
        </w:rPr>
        <w:t>Table </w:t>
      </w:r>
      <w:r>
        <w:rPr>
          <w:color w:val="231F20"/>
        </w:rPr>
        <w:t>3.A shows the most recent data; summary measures published by Industrial Relations Services are shown for comparison, </w:t>
      </w:r>
      <w:r>
        <w:rPr>
          <w:color w:val="231F20"/>
          <w:spacing w:val="-3"/>
        </w:rPr>
        <w:t>even </w:t>
      </w:r>
      <w:r>
        <w:rPr>
          <w:color w:val="231F20"/>
        </w:rPr>
        <w:t>though</w:t>
      </w:r>
      <w:r>
        <w:rPr>
          <w:color w:val="231F20"/>
          <w:spacing w:val="1"/>
        </w:rPr>
        <w:t> </w:t>
      </w:r>
      <w:r>
        <w:rPr>
          <w:color w:val="231F20"/>
        </w:rPr>
        <w:t>the</w:t>
      </w:r>
    </w:p>
    <w:p>
      <w:pPr>
        <w:spacing w:after="0" w:line="242" w:lineRule="auto"/>
        <w:sectPr>
          <w:type w:val="continuous"/>
          <w:pgSz w:w="11880" w:h="16840"/>
          <w:pgMar w:top="1200" w:bottom="280" w:left="620" w:right="620"/>
          <w:cols w:num="3" w:equalWidth="0">
            <w:col w:w="1214" w:space="996"/>
            <w:col w:w="2260" w:space="330"/>
            <w:col w:w="5840"/>
          </w:cols>
        </w:sectPr>
      </w:pPr>
    </w:p>
    <w:p>
      <w:pPr>
        <w:spacing w:line="208" w:lineRule="auto" w:before="31"/>
        <w:ind w:left="255" w:right="1975" w:hanging="70"/>
        <w:jc w:val="left"/>
        <w:rPr>
          <w:b/>
          <w:sz w:val="14"/>
        </w:rPr>
      </w:pPr>
      <w:r>
        <w:rPr>
          <w:b/>
          <w:color w:val="231F20"/>
          <w:sz w:val="14"/>
        </w:rPr>
        <w:t>Twelve-month employment-weighted mean</w:t>
      </w:r>
    </w:p>
    <w:p>
      <w:pPr>
        <w:tabs>
          <w:tab w:pos="2395" w:val="left" w:leader="none"/>
          <w:tab w:pos="4184" w:val="left" w:leader="none"/>
        </w:tabs>
        <w:spacing w:line="144" w:lineRule="exact" w:before="0"/>
        <w:ind w:left="185" w:right="0" w:firstLine="0"/>
        <w:jc w:val="left"/>
        <w:rPr>
          <w:sz w:val="14"/>
        </w:rPr>
      </w:pPr>
      <w:r>
        <w:rPr>
          <w:color w:val="231F20"/>
          <w:sz w:val="14"/>
        </w:rPr>
        <w:t>Whole-economy (Bank)</w:t>
        <w:tab/>
        <w:t>3.2     3.3     3.3    </w:t>
      </w:r>
      <w:r>
        <w:rPr>
          <w:color w:val="231F20"/>
          <w:spacing w:val="9"/>
          <w:sz w:val="14"/>
        </w:rPr>
        <w:t> </w:t>
      </w:r>
      <w:r>
        <w:rPr>
          <w:color w:val="231F20"/>
          <w:sz w:val="14"/>
        </w:rPr>
        <w:t>3.3   </w:t>
      </w:r>
      <w:r>
        <w:rPr>
          <w:color w:val="231F20"/>
          <w:spacing w:val="35"/>
          <w:sz w:val="14"/>
        </w:rPr>
        <w:t> </w:t>
      </w:r>
      <w:r>
        <w:rPr>
          <w:color w:val="231F20"/>
          <w:sz w:val="14"/>
        </w:rPr>
        <w:t>3.3</w:t>
        <w:tab/>
        <w:t>3.4</w:t>
      </w:r>
    </w:p>
    <w:p>
      <w:pPr>
        <w:spacing w:before="98"/>
        <w:ind w:left="185" w:right="0" w:firstLine="0"/>
        <w:jc w:val="left"/>
        <w:rPr>
          <w:sz w:val="12"/>
        </w:rPr>
      </w:pPr>
      <w:r>
        <w:rPr>
          <w:color w:val="231F20"/>
          <w:sz w:val="12"/>
        </w:rPr>
        <w:t>Sources: Bank of England and Industrial Relations Services.</w:t>
      </w:r>
    </w:p>
    <w:p>
      <w:pPr>
        <w:spacing w:before="102"/>
        <w:ind w:left="185" w:right="0" w:firstLine="0"/>
        <w:jc w:val="left"/>
        <w:rPr>
          <w:sz w:val="12"/>
        </w:rPr>
      </w:pPr>
      <w:r>
        <w:rPr>
          <w:color w:val="231F20"/>
          <w:sz w:val="12"/>
        </w:rPr>
        <w:t>(a)  </w:t>
      </w:r>
      <w:r>
        <w:rPr>
          <w:color w:val="231F20"/>
          <w:spacing w:val="16"/>
          <w:sz w:val="12"/>
        </w:rPr>
        <w:t> </w:t>
      </w:r>
      <w:r>
        <w:rPr>
          <w:color w:val="231F20"/>
          <w:sz w:val="12"/>
        </w:rPr>
        <w:t>Provisional.</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pStyle w:val="Heading9"/>
        <w:spacing w:before="1"/>
        <w:ind w:left="180"/>
      </w:pPr>
      <w:r>
        <w:rPr>
          <w:color w:val="0093C1"/>
        </w:rPr>
        <w:t>Table 3.B</w:t>
      </w:r>
    </w:p>
    <w:p>
      <w:pPr>
        <w:spacing w:before="10"/>
        <w:ind w:left="180" w:right="0" w:firstLine="0"/>
        <w:jc w:val="left"/>
        <w:rPr>
          <w:b/>
          <w:sz w:val="20"/>
        </w:rPr>
      </w:pPr>
      <w:r>
        <w:rPr>
          <w:b/>
          <w:color w:val="0093C1"/>
          <w:sz w:val="20"/>
        </w:rPr>
        <w:t>Barclays Basix Survey of inflation expectations</w:t>
      </w:r>
    </w:p>
    <w:p>
      <w:pPr>
        <w:spacing w:before="106"/>
        <w:ind w:left="180" w:right="0" w:firstLine="0"/>
        <w:jc w:val="left"/>
        <w:rPr>
          <w:sz w:val="14"/>
        </w:rPr>
      </w:pPr>
      <w:r>
        <w:rPr>
          <w:color w:val="231F20"/>
          <w:sz w:val="14"/>
        </w:rPr>
        <w:t>Percentage increases in prices</w:t>
      </w:r>
    </w:p>
    <w:p>
      <w:pPr>
        <w:spacing w:before="119"/>
        <w:ind w:left="180" w:right="0" w:firstLine="0"/>
        <w:jc w:val="left"/>
        <w:rPr>
          <w:sz w:val="14"/>
        </w:rPr>
      </w:pPr>
      <w:r>
        <w:rPr>
          <w:color w:val="231F20"/>
          <w:sz w:val="14"/>
        </w:rPr>
        <w:t>Twelve-month RPI inflation one year ahead</w:t>
      </w:r>
    </w:p>
    <w:p>
      <w:pPr>
        <w:pStyle w:val="BodyText"/>
        <w:spacing w:before="9" w:after="1"/>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401"/>
        <w:gridCol w:w="1084"/>
      </w:tblGrid>
      <w:tr>
        <w:trPr>
          <w:trHeight w:val="217" w:hRule="atLeast"/>
        </w:trPr>
        <w:tc>
          <w:tcPr>
            <w:tcW w:w="1626" w:type="dxa"/>
          </w:tcPr>
          <w:p>
            <w:pPr>
              <w:pStyle w:val="TableParagraph"/>
              <w:rPr>
                <w:sz w:val="14"/>
              </w:rPr>
            </w:pPr>
          </w:p>
        </w:tc>
        <w:tc>
          <w:tcPr>
            <w:tcW w:w="1401" w:type="dxa"/>
          </w:tcPr>
          <w:p>
            <w:pPr>
              <w:pStyle w:val="TableParagraph"/>
              <w:spacing w:line="155" w:lineRule="exact"/>
              <w:ind w:left="344"/>
              <w:rPr>
                <w:sz w:val="14"/>
              </w:rPr>
            </w:pPr>
            <w:r>
              <w:rPr>
                <w:color w:val="231F20"/>
                <w:sz w:val="14"/>
                <w:u w:val="single" w:color="231F20"/>
              </w:rPr>
              <w:t>September 1997</w:t>
            </w:r>
          </w:p>
        </w:tc>
        <w:tc>
          <w:tcPr>
            <w:tcW w:w="1084" w:type="dxa"/>
          </w:tcPr>
          <w:p>
            <w:pPr>
              <w:pStyle w:val="TableParagraph"/>
              <w:spacing w:line="155" w:lineRule="exact"/>
              <w:ind w:left="122" w:right="30"/>
              <w:jc w:val="center"/>
              <w:rPr>
                <w:sz w:val="14"/>
              </w:rPr>
            </w:pPr>
            <w:r>
              <w:rPr>
                <w:color w:val="231F20"/>
                <w:sz w:val="14"/>
                <w:u w:val="single" w:color="231F20"/>
              </w:rPr>
              <w:t>December 1997</w:t>
            </w:r>
          </w:p>
        </w:tc>
      </w:tr>
      <w:tr>
        <w:trPr>
          <w:trHeight w:val="210" w:hRule="atLeast"/>
        </w:trPr>
        <w:tc>
          <w:tcPr>
            <w:tcW w:w="1626" w:type="dxa"/>
          </w:tcPr>
          <w:p>
            <w:pPr>
              <w:pStyle w:val="TableParagraph"/>
              <w:spacing w:line="133" w:lineRule="exact" w:before="56"/>
              <w:ind w:left="50"/>
              <w:rPr>
                <w:sz w:val="14"/>
              </w:rPr>
            </w:pPr>
            <w:r>
              <w:rPr>
                <w:color w:val="231F20"/>
                <w:sz w:val="14"/>
              </w:rPr>
              <w:t>General public</w:t>
            </w:r>
          </w:p>
        </w:tc>
        <w:tc>
          <w:tcPr>
            <w:tcW w:w="1401" w:type="dxa"/>
          </w:tcPr>
          <w:p>
            <w:pPr>
              <w:pStyle w:val="TableParagraph"/>
              <w:spacing w:line="133" w:lineRule="exact" w:before="56"/>
              <w:ind w:left="628" w:right="556"/>
              <w:jc w:val="center"/>
              <w:rPr>
                <w:sz w:val="14"/>
              </w:rPr>
            </w:pPr>
            <w:r>
              <w:rPr>
                <w:color w:val="231F20"/>
                <w:sz w:val="14"/>
              </w:rPr>
              <w:t>4.4</w:t>
            </w:r>
          </w:p>
        </w:tc>
        <w:tc>
          <w:tcPr>
            <w:tcW w:w="1084" w:type="dxa"/>
          </w:tcPr>
          <w:p>
            <w:pPr>
              <w:pStyle w:val="TableParagraph"/>
              <w:spacing w:line="133" w:lineRule="exact" w:before="56"/>
              <w:ind w:left="257" w:right="30"/>
              <w:jc w:val="center"/>
              <w:rPr>
                <w:sz w:val="14"/>
              </w:rPr>
            </w:pPr>
            <w:r>
              <w:rPr>
                <w:color w:val="231F20"/>
                <w:sz w:val="14"/>
              </w:rPr>
              <w:t>4.5</w:t>
            </w:r>
          </w:p>
        </w:tc>
      </w:tr>
      <w:tr>
        <w:trPr>
          <w:trHeight w:val="140" w:hRule="atLeast"/>
        </w:trPr>
        <w:tc>
          <w:tcPr>
            <w:tcW w:w="1626" w:type="dxa"/>
          </w:tcPr>
          <w:p>
            <w:pPr>
              <w:pStyle w:val="TableParagraph"/>
              <w:spacing w:line="120" w:lineRule="exact"/>
              <w:ind w:left="50"/>
              <w:rPr>
                <w:sz w:val="14"/>
              </w:rPr>
            </w:pPr>
            <w:r>
              <w:rPr>
                <w:color w:val="231F20"/>
                <w:sz w:val="14"/>
              </w:rPr>
              <w:t>Business economists</w:t>
            </w:r>
          </w:p>
        </w:tc>
        <w:tc>
          <w:tcPr>
            <w:tcW w:w="1401" w:type="dxa"/>
          </w:tcPr>
          <w:p>
            <w:pPr>
              <w:pStyle w:val="TableParagraph"/>
              <w:spacing w:line="120" w:lineRule="exact"/>
              <w:ind w:left="628" w:right="556"/>
              <w:jc w:val="center"/>
              <w:rPr>
                <w:sz w:val="14"/>
              </w:rPr>
            </w:pPr>
            <w:r>
              <w:rPr>
                <w:color w:val="231F20"/>
                <w:sz w:val="14"/>
              </w:rPr>
              <w:t>3.1</w:t>
            </w:r>
          </w:p>
        </w:tc>
        <w:tc>
          <w:tcPr>
            <w:tcW w:w="1084" w:type="dxa"/>
          </w:tcPr>
          <w:p>
            <w:pPr>
              <w:pStyle w:val="TableParagraph"/>
              <w:spacing w:line="120" w:lineRule="exact"/>
              <w:ind w:left="257" w:right="30"/>
              <w:jc w:val="center"/>
              <w:rPr>
                <w:sz w:val="14"/>
              </w:rPr>
            </w:pPr>
            <w:r>
              <w:rPr>
                <w:color w:val="231F20"/>
                <w:sz w:val="14"/>
              </w:rPr>
              <w:t>3.2</w:t>
            </w:r>
          </w:p>
        </w:tc>
      </w:tr>
      <w:tr>
        <w:trPr>
          <w:trHeight w:val="140" w:hRule="atLeast"/>
        </w:trPr>
        <w:tc>
          <w:tcPr>
            <w:tcW w:w="1626" w:type="dxa"/>
          </w:tcPr>
          <w:p>
            <w:pPr>
              <w:pStyle w:val="TableParagraph"/>
              <w:spacing w:line="120" w:lineRule="exact"/>
              <w:ind w:left="50"/>
              <w:rPr>
                <w:sz w:val="14"/>
              </w:rPr>
            </w:pPr>
            <w:r>
              <w:rPr>
                <w:color w:val="231F20"/>
                <w:sz w:val="14"/>
              </w:rPr>
              <w:t>Finance directors</w:t>
            </w:r>
          </w:p>
        </w:tc>
        <w:tc>
          <w:tcPr>
            <w:tcW w:w="1401" w:type="dxa"/>
          </w:tcPr>
          <w:p>
            <w:pPr>
              <w:pStyle w:val="TableParagraph"/>
              <w:spacing w:line="120" w:lineRule="exact"/>
              <w:ind w:left="628" w:right="556"/>
              <w:jc w:val="center"/>
              <w:rPr>
                <w:sz w:val="14"/>
              </w:rPr>
            </w:pPr>
            <w:r>
              <w:rPr>
                <w:color w:val="231F20"/>
                <w:sz w:val="14"/>
              </w:rPr>
              <w:t>3.4</w:t>
            </w:r>
          </w:p>
        </w:tc>
        <w:tc>
          <w:tcPr>
            <w:tcW w:w="1084" w:type="dxa"/>
          </w:tcPr>
          <w:p>
            <w:pPr>
              <w:pStyle w:val="TableParagraph"/>
              <w:spacing w:line="120" w:lineRule="exact"/>
              <w:ind w:left="257" w:right="30"/>
              <w:jc w:val="center"/>
              <w:rPr>
                <w:sz w:val="14"/>
              </w:rPr>
            </w:pPr>
            <w:r>
              <w:rPr>
                <w:color w:val="231F20"/>
                <w:sz w:val="14"/>
              </w:rPr>
              <w:t>3.4</w:t>
            </w:r>
          </w:p>
        </w:tc>
      </w:tr>
      <w:tr>
        <w:trPr>
          <w:trHeight w:val="140" w:hRule="atLeast"/>
        </w:trPr>
        <w:tc>
          <w:tcPr>
            <w:tcW w:w="1626" w:type="dxa"/>
          </w:tcPr>
          <w:p>
            <w:pPr>
              <w:pStyle w:val="TableParagraph"/>
              <w:spacing w:line="120" w:lineRule="exact"/>
              <w:ind w:left="50"/>
              <w:rPr>
                <w:sz w:val="14"/>
              </w:rPr>
            </w:pPr>
            <w:r>
              <w:rPr>
                <w:color w:val="231F20"/>
                <w:sz w:val="14"/>
              </w:rPr>
              <w:t>Investment analysts</w:t>
            </w:r>
          </w:p>
        </w:tc>
        <w:tc>
          <w:tcPr>
            <w:tcW w:w="1401" w:type="dxa"/>
          </w:tcPr>
          <w:p>
            <w:pPr>
              <w:pStyle w:val="TableParagraph"/>
              <w:spacing w:line="120" w:lineRule="exact"/>
              <w:ind w:left="628" w:right="556"/>
              <w:jc w:val="center"/>
              <w:rPr>
                <w:sz w:val="14"/>
              </w:rPr>
            </w:pPr>
            <w:r>
              <w:rPr>
                <w:color w:val="231F20"/>
                <w:sz w:val="14"/>
              </w:rPr>
              <w:t>3.1</w:t>
            </w:r>
          </w:p>
        </w:tc>
        <w:tc>
          <w:tcPr>
            <w:tcW w:w="1084" w:type="dxa"/>
          </w:tcPr>
          <w:p>
            <w:pPr>
              <w:pStyle w:val="TableParagraph"/>
              <w:spacing w:line="120" w:lineRule="exact"/>
              <w:ind w:left="257" w:right="30"/>
              <w:jc w:val="center"/>
              <w:rPr>
                <w:sz w:val="14"/>
              </w:rPr>
            </w:pPr>
            <w:r>
              <w:rPr>
                <w:color w:val="231F20"/>
                <w:sz w:val="14"/>
              </w:rPr>
              <w:t>3.4</w:t>
            </w:r>
          </w:p>
        </w:tc>
      </w:tr>
      <w:tr>
        <w:trPr>
          <w:trHeight w:val="140" w:hRule="atLeast"/>
        </w:trPr>
        <w:tc>
          <w:tcPr>
            <w:tcW w:w="1626" w:type="dxa"/>
          </w:tcPr>
          <w:p>
            <w:pPr>
              <w:pStyle w:val="TableParagraph"/>
              <w:spacing w:line="120" w:lineRule="exact"/>
              <w:ind w:left="50"/>
              <w:rPr>
                <w:sz w:val="14"/>
              </w:rPr>
            </w:pPr>
            <w:r>
              <w:rPr>
                <w:color w:val="231F20"/>
                <w:sz w:val="14"/>
              </w:rPr>
              <w:t>Academic economists</w:t>
            </w:r>
          </w:p>
        </w:tc>
        <w:tc>
          <w:tcPr>
            <w:tcW w:w="1401" w:type="dxa"/>
          </w:tcPr>
          <w:p>
            <w:pPr>
              <w:pStyle w:val="TableParagraph"/>
              <w:spacing w:line="120" w:lineRule="exact"/>
              <w:ind w:left="628" w:right="556"/>
              <w:jc w:val="center"/>
              <w:rPr>
                <w:sz w:val="14"/>
              </w:rPr>
            </w:pPr>
            <w:r>
              <w:rPr>
                <w:color w:val="231F20"/>
                <w:sz w:val="14"/>
              </w:rPr>
              <w:t>3.2</w:t>
            </w:r>
          </w:p>
        </w:tc>
        <w:tc>
          <w:tcPr>
            <w:tcW w:w="1084" w:type="dxa"/>
          </w:tcPr>
          <w:p>
            <w:pPr>
              <w:pStyle w:val="TableParagraph"/>
              <w:spacing w:line="120" w:lineRule="exact"/>
              <w:ind w:left="257" w:right="30"/>
              <w:jc w:val="center"/>
              <w:rPr>
                <w:sz w:val="14"/>
              </w:rPr>
            </w:pPr>
            <w:r>
              <w:rPr>
                <w:color w:val="231F20"/>
                <w:sz w:val="14"/>
              </w:rPr>
              <w:t>3.1</w:t>
            </w:r>
          </w:p>
        </w:tc>
      </w:tr>
      <w:tr>
        <w:trPr>
          <w:trHeight w:val="147" w:hRule="atLeast"/>
        </w:trPr>
        <w:tc>
          <w:tcPr>
            <w:tcW w:w="1626" w:type="dxa"/>
          </w:tcPr>
          <w:p>
            <w:pPr>
              <w:pStyle w:val="TableParagraph"/>
              <w:spacing w:line="128" w:lineRule="exact"/>
              <w:ind w:left="50"/>
              <w:rPr>
                <w:sz w:val="14"/>
              </w:rPr>
            </w:pPr>
            <w:r>
              <w:rPr>
                <w:color w:val="231F20"/>
                <w:sz w:val="14"/>
              </w:rPr>
              <w:t>Trade unions</w:t>
            </w:r>
          </w:p>
        </w:tc>
        <w:tc>
          <w:tcPr>
            <w:tcW w:w="1401" w:type="dxa"/>
          </w:tcPr>
          <w:p>
            <w:pPr>
              <w:pStyle w:val="TableParagraph"/>
              <w:spacing w:line="128" w:lineRule="exact"/>
              <w:ind w:left="628" w:right="557"/>
              <w:jc w:val="center"/>
              <w:rPr>
                <w:sz w:val="14"/>
              </w:rPr>
            </w:pPr>
            <w:r>
              <w:rPr>
                <w:color w:val="231F20"/>
                <w:sz w:val="14"/>
              </w:rPr>
              <w:t>3.7</w:t>
            </w:r>
          </w:p>
        </w:tc>
        <w:tc>
          <w:tcPr>
            <w:tcW w:w="1084" w:type="dxa"/>
          </w:tcPr>
          <w:p>
            <w:pPr>
              <w:pStyle w:val="TableParagraph"/>
              <w:spacing w:line="128" w:lineRule="exact"/>
              <w:ind w:left="257" w:right="30"/>
              <w:jc w:val="center"/>
              <w:rPr>
                <w:sz w:val="14"/>
              </w:rPr>
            </w:pPr>
            <w:r>
              <w:rPr>
                <w:color w:val="231F20"/>
                <w:sz w:val="14"/>
              </w:rPr>
              <w:t>3.7</w:t>
            </w:r>
          </w:p>
        </w:tc>
      </w:tr>
    </w:tbl>
    <w:p>
      <w:pPr>
        <w:spacing w:before="119"/>
        <w:ind w:left="180" w:right="0" w:firstLine="0"/>
        <w:jc w:val="left"/>
        <w:rPr>
          <w:sz w:val="14"/>
        </w:rPr>
      </w:pPr>
      <w:r>
        <w:rPr>
          <w:color w:val="231F20"/>
          <w:sz w:val="14"/>
        </w:rPr>
        <w:t>Twelve-month RPI inflation two years ahead</w:t>
      </w:r>
    </w:p>
    <w:p>
      <w:pPr>
        <w:pStyle w:val="BodyText"/>
        <w:spacing w:before="9" w:after="1"/>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401"/>
        <w:gridCol w:w="1084"/>
      </w:tblGrid>
      <w:tr>
        <w:trPr>
          <w:trHeight w:val="217" w:hRule="atLeast"/>
        </w:trPr>
        <w:tc>
          <w:tcPr>
            <w:tcW w:w="1626" w:type="dxa"/>
          </w:tcPr>
          <w:p>
            <w:pPr>
              <w:pStyle w:val="TableParagraph"/>
              <w:rPr>
                <w:sz w:val="14"/>
              </w:rPr>
            </w:pPr>
          </w:p>
        </w:tc>
        <w:tc>
          <w:tcPr>
            <w:tcW w:w="1401" w:type="dxa"/>
          </w:tcPr>
          <w:p>
            <w:pPr>
              <w:pStyle w:val="TableParagraph"/>
              <w:spacing w:line="155" w:lineRule="exact"/>
              <w:ind w:left="344"/>
              <w:rPr>
                <w:sz w:val="14"/>
              </w:rPr>
            </w:pPr>
            <w:r>
              <w:rPr>
                <w:color w:val="231F20"/>
                <w:sz w:val="14"/>
                <w:u w:val="single" w:color="231F20"/>
              </w:rPr>
              <w:t>September 1997</w:t>
            </w:r>
          </w:p>
        </w:tc>
        <w:tc>
          <w:tcPr>
            <w:tcW w:w="1084" w:type="dxa"/>
          </w:tcPr>
          <w:p>
            <w:pPr>
              <w:pStyle w:val="TableParagraph"/>
              <w:spacing w:line="155" w:lineRule="exact"/>
              <w:ind w:left="122" w:right="30"/>
              <w:jc w:val="center"/>
              <w:rPr>
                <w:sz w:val="14"/>
              </w:rPr>
            </w:pPr>
            <w:r>
              <w:rPr>
                <w:color w:val="231F20"/>
                <w:sz w:val="14"/>
                <w:u w:val="single" w:color="231F20"/>
              </w:rPr>
              <w:t>December 1997</w:t>
            </w:r>
          </w:p>
        </w:tc>
      </w:tr>
      <w:tr>
        <w:trPr>
          <w:trHeight w:val="210" w:hRule="atLeast"/>
        </w:trPr>
        <w:tc>
          <w:tcPr>
            <w:tcW w:w="1626" w:type="dxa"/>
          </w:tcPr>
          <w:p>
            <w:pPr>
              <w:pStyle w:val="TableParagraph"/>
              <w:spacing w:line="133" w:lineRule="exact" w:before="56"/>
              <w:ind w:left="50"/>
              <w:rPr>
                <w:sz w:val="14"/>
              </w:rPr>
            </w:pPr>
            <w:r>
              <w:rPr>
                <w:color w:val="231F20"/>
                <w:sz w:val="14"/>
              </w:rPr>
              <w:t>General public</w:t>
            </w:r>
          </w:p>
        </w:tc>
        <w:tc>
          <w:tcPr>
            <w:tcW w:w="1401" w:type="dxa"/>
          </w:tcPr>
          <w:p>
            <w:pPr>
              <w:pStyle w:val="TableParagraph"/>
              <w:spacing w:line="133" w:lineRule="exact" w:before="56"/>
              <w:ind w:left="628" w:right="556"/>
              <w:jc w:val="center"/>
              <w:rPr>
                <w:sz w:val="14"/>
              </w:rPr>
            </w:pPr>
            <w:r>
              <w:rPr>
                <w:color w:val="231F20"/>
                <w:sz w:val="14"/>
              </w:rPr>
              <w:t>5.0</w:t>
            </w:r>
          </w:p>
        </w:tc>
        <w:tc>
          <w:tcPr>
            <w:tcW w:w="1084" w:type="dxa"/>
          </w:tcPr>
          <w:p>
            <w:pPr>
              <w:pStyle w:val="TableParagraph"/>
              <w:spacing w:line="133" w:lineRule="exact" w:before="56"/>
              <w:ind w:left="257" w:right="30"/>
              <w:jc w:val="center"/>
              <w:rPr>
                <w:sz w:val="14"/>
              </w:rPr>
            </w:pPr>
            <w:r>
              <w:rPr>
                <w:color w:val="231F20"/>
                <w:sz w:val="14"/>
              </w:rPr>
              <w:t>5.2</w:t>
            </w:r>
          </w:p>
        </w:tc>
      </w:tr>
      <w:tr>
        <w:trPr>
          <w:trHeight w:val="140" w:hRule="atLeast"/>
        </w:trPr>
        <w:tc>
          <w:tcPr>
            <w:tcW w:w="1626" w:type="dxa"/>
          </w:tcPr>
          <w:p>
            <w:pPr>
              <w:pStyle w:val="TableParagraph"/>
              <w:spacing w:line="120" w:lineRule="exact"/>
              <w:ind w:left="50"/>
              <w:rPr>
                <w:sz w:val="14"/>
              </w:rPr>
            </w:pPr>
            <w:r>
              <w:rPr>
                <w:color w:val="231F20"/>
                <w:sz w:val="14"/>
              </w:rPr>
              <w:t>Business economists</w:t>
            </w:r>
          </w:p>
        </w:tc>
        <w:tc>
          <w:tcPr>
            <w:tcW w:w="1401" w:type="dxa"/>
          </w:tcPr>
          <w:p>
            <w:pPr>
              <w:pStyle w:val="TableParagraph"/>
              <w:spacing w:line="120" w:lineRule="exact"/>
              <w:ind w:left="628" w:right="556"/>
              <w:jc w:val="center"/>
              <w:rPr>
                <w:sz w:val="14"/>
              </w:rPr>
            </w:pPr>
            <w:r>
              <w:rPr>
                <w:color w:val="231F20"/>
                <w:sz w:val="14"/>
              </w:rPr>
              <w:t>3.1</w:t>
            </w:r>
          </w:p>
        </w:tc>
        <w:tc>
          <w:tcPr>
            <w:tcW w:w="1084" w:type="dxa"/>
          </w:tcPr>
          <w:p>
            <w:pPr>
              <w:pStyle w:val="TableParagraph"/>
              <w:spacing w:line="120" w:lineRule="exact"/>
              <w:ind w:left="257" w:right="30"/>
              <w:jc w:val="center"/>
              <w:rPr>
                <w:sz w:val="14"/>
              </w:rPr>
            </w:pPr>
            <w:r>
              <w:rPr>
                <w:color w:val="231F20"/>
                <w:sz w:val="14"/>
              </w:rPr>
              <w:t>3.0</w:t>
            </w:r>
          </w:p>
        </w:tc>
      </w:tr>
      <w:tr>
        <w:trPr>
          <w:trHeight w:val="140" w:hRule="atLeast"/>
        </w:trPr>
        <w:tc>
          <w:tcPr>
            <w:tcW w:w="1626" w:type="dxa"/>
          </w:tcPr>
          <w:p>
            <w:pPr>
              <w:pStyle w:val="TableParagraph"/>
              <w:spacing w:line="120" w:lineRule="exact"/>
              <w:ind w:left="50"/>
              <w:rPr>
                <w:sz w:val="14"/>
              </w:rPr>
            </w:pPr>
            <w:r>
              <w:rPr>
                <w:color w:val="231F20"/>
                <w:sz w:val="14"/>
              </w:rPr>
              <w:t>Finance directors</w:t>
            </w:r>
          </w:p>
        </w:tc>
        <w:tc>
          <w:tcPr>
            <w:tcW w:w="1401" w:type="dxa"/>
          </w:tcPr>
          <w:p>
            <w:pPr>
              <w:pStyle w:val="TableParagraph"/>
              <w:spacing w:line="120" w:lineRule="exact"/>
              <w:ind w:left="628" w:right="556"/>
              <w:jc w:val="center"/>
              <w:rPr>
                <w:sz w:val="14"/>
              </w:rPr>
            </w:pPr>
            <w:r>
              <w:rPr>
                <w:color w:val="231F20"/>
                <w:sz w:val="14"/>
              </w:rPr>
              <w:t>3.7</w:t>
            </w:r>
          </w:p>
        </w:tc>
        <w:tc>
          <w:tcPr>
            <w:tcW w:w="1084" w:type="dxa"/>
          </w:tcPr>
          <w:p>
            <w:pPr>
              <w:pStyle w:val="TableParagraph"/>
              <w:spacing w:line="120" w:lineRule="exact"/>
              <w:ind w:left="257" w:right="30"/>
              <w:jc w:val="center"/>
              <w:rPr>
                <w:sz w:val="14"/>
              </w:rPr>
            </w:pPr>
            <w:r>
              <w:rPr>
                <w:color w:val="231F20"/>
                <w:sz w:val="14"/>
              </w:rPr>
              <w:t>3.7</w:t>
            </w:r>
          </w:p>
        </w:tc>
      </w:tr>
      <w:tr>
        <w:trPr>
          <w:trHeight w:val="140" w:hRule="atLeast"/>
        </w:trPr>
        <w:tc>
          <w:tcPr>
            <w:tcW w:w="1626" w:type="dxa"/>
          </w:tcPr>
          <w:p>
            <w:pPr>
              <w:pStyle w:val="TableParagraph"/>
              <w:spacing w:line="120" w:lineRule="exact"/>
              <w:ind w:left="50"/>
              <w:rPr>
                <w:sz w:val="14"/>
              </w:rPr>
            </w:pPr>
            <w:r>
              <w:rPr>
                <w:color w:val="231F20"/>
                <w:sz w:val="14"/>
              </w:rPr>
              <w:t>Investment analysts</w:t>
            </w:r>
          </w:p>
        </w:tc>
        <w:tc>
          <w:tcPr>
            <w:tcW w:w="1401" w:type="dxa"/>
          </w:tcPr>
          <w:p>
            <w:pPr>
              <w:pStyle w:val="TableParagraph"/>
              <w:spacing w:line="120" w:lineRule="exact"/>
              <w:ind w:left="628" w:right="556"/>
              <w:jc w:val="center"/>
              <w:rPr>
                <w:sz w:val="14"/>
              </w:rPr>
            </w:pPr>
            <w:r>
              <w:rPr>
                <w:color w:val="231F20"/>
                <w:sz w:val="14"/>
              </w:rPr>
              <w:t>3.8</w:t>
            </w:r>
          </w:p>
        </w:tc>
        <w:tc>
          <w:tcPr>
            <w:tcW w:w="1084" w:type="dxa"/>
          </w:tcPr>
          <w:p>
            <w:pPr>
              <w:pStyle w:val="TableParagraph"/>
              <w:spacing w:line="120" w:lineRule="exact"/>
              <w:ind w:left="257" w:right="30"/>
              <w:jc w:val="center"/>
              <w:rPr>
                <w:sz w:val="14"/>
              </w:rPr>
            </w:pPr>
            <w:r>
              <w:rPr>
                <w:color w:val="231F20"/>
                <w:sz w:val="14"/>
              </w:rPr>
              <w:t>3.4</w:t>
            </w:r>
          </w:p>
        </w:tc>
      </w:tr>
      <w:tr>
        <w:trPr>
          <w:trHeight w:val="140" w:hRule="atLeast"/>
        </w:trPr>
        <w:tc>
          <w:tcPr>
            <w:tcW w:w="1626" w:type="dxa"/>
          </w:tcPr>
          <w:p>
            <w:pPr>
              <w:pStyle w:val="TableParagraph"/>
              <w:spacing w:line="120" w:lineRule="exact"/>
              <w:ind w:left="50"/>
              <w:rPr>
                <w:sz w:val="14"/>
              </w:rPr>
            </w:pPr>
            <w:r>
              <w:rPr>
                <w:color w:val="231F20"/>
                <w:sz w:val="14"/>
              </w:rPr>
              <w:t>Academic economists</w:t>
            </w:r>
          </w:p>
        </w:tc>
        <w:tc>
          <w:tcPr>
            <w:tcW w:w="1401" w:type="dxa"/>
          </w:tcPr>
          <w:p>
            <w:pPr>
              <w:pStyle w:val="TableParagraph"/>
              <w:spacing w:line="120" w:lineRule="exact"/>
              <w:ind w:left="628" w:right="556"/>
              <w:jc w:val="center"/>
              <w:rPr>
                <w:sz w:val="14"/>
              </w:rPr>
            </w:pPr>
            <w:r>
              <w:rPr>
                <w:color w:val="231F20"/>
                <w:sz w:val="14"/>
              </w:rPr>
              <w:t>3.4</w:t>
            </w:r>
          </w:p>
        </w:tc>
        <w:tc>
          <w:tcPr>
            <w:tcW w:w="1084" w:type="dxa"/>
          </w:tcPr>
          <w:p>
            <w:pPr>
              <w:pStyle w:val="TableParagraph"/>
              <w:spacing w:line="120" w:lineRule="exact"/>
              <w:ind w:left="257" w:right="30"/>
              <w:jc w:val="center"/>
              <w:rPr>
                <w:sz w:val="14"/>
              </w:rPr>
            </w:pPr>
            <w:r>
              <w:rPr>
                <w:color w:val="231F20"/>
                <w:sz w:val="14"/>
              </w:rPr>
              <w:t>3.1</w:t>
            </w:r>
          </w:p>
        </w:tc>
      </w:tr>
      <w:tr>
        <w:trPr>
          <w:trHeight w:val="198" w:hRule="atLeast"/>
        </w:trPr>
        <w:tc>
          <w:tcPr>
            <w:tcW w:w="1626" w:type="dxa"/>
          </w:tcPr>
          <w:p>
            <w:pPr>
              <w:pStyle w:val="TableParagraph"/>
              <w:spacing w:line="148" w:lineRule="exact"/>
              <w:ind w:left="50"/>
              <w:rPr>
                <w:sz w:val="14"/>
              </w:rPr>
            </w:pPr>
            <w:r>
              <w:rPr>
                <w:color w:val="231F20"/>
                <w:sz w:val="14"/>
              </w:rPr>
              <w:t>Trade unions</w:t>
            </w:r>
          </w:p>
        </w:tc>
        <w:tc>
          <w:tcPr>
            <w:tcW w:w="1401" w:type="dxa"/>
          </w:tcPr>
          <w:p>
            <w:pPr>
              <w:pStyle w:val="TableParagraph"/>
              <w:spacing w:line="148" w:lineRule="exact"/>
              <w:ind w:left="628" w:right="557"/>
              <w:jc w:val="center"/>
              <w:rPr>
                <w:sz w:val="14"/>
              </w:rPr>
            </w:pPr>
            <w:r>
              <w:rPr>
                <w:color w:val="231F20"/>
                <w:sz w:val="14"/>
              </w:rPr>
              <w:t>3.9</w:t>
            </w:r>
          </w:p>
        </w:tc>
        <w:tc>
          <w:tcPr>
            <w:tcW w:w="1084" w:type="dxa"/>
          </w:tcPr>
          <w:p>
            <w:pPr>
              <w:pStyle w:val="TableParagraph"/>
              <w:spacing w:line="148" w:lineRule="exact"/>
              <w:ind w:left="257" w:right="30"/>
              <w:jc w:val="center"/>
              <w:rPr>
                <w:sz w:val="14"/>
              </w:rPr>
            </w:pPr>
            <w:r>
              <w:rPr>
                <w:color w:val="231F20"/>
                <w:sz w:val="14"/>
              </w:rPr>
              <w:t>4.7</w:t>
            </w:r>
          </w:p>
        </w:tc>
      </w:tr>
      <w:tr>
        <w:trPr>
          <w:trHeight w:val="184" w:hRule="atLeast"/>
        </w:trPr>
        <w:tc>
          <w:tcPr>
            <w:tcW w:w="1626" w:type="dxa"/>
          </w:tcPr>
          <w:p>
            <w:pPr>
              <w:pStyle w:val="TableParagraph"/>
              <w:spacing w:line="118" w:lineRule="exact" w:before="46"/>
              <w:ind w:left="50"/>
              <w:rPr>
                <w:sz w:val="12"/>
              </w:rPr>
            </w:pPr>
            <w:r>
              <w:rPr>
                <w:color w:val="231F20"/>
                <w:sz w:val="12"/>
              </w:rPr>
              <w:t>Source: Barclays Bank.</w:t>
            </w:r>
          </w:p>
        </w:tc>
        <w:tc>
          <w:tcPr>
            <w:tcW w:w="1401" w:type="dxa"/>
          </w:tcPr>
          <w:p>
            <w:pPr>
              <w:pStyle w:val="TableParagraph"/>
              <w:rPr>
                <w:sz w:val="12"/>
              </w:rPr>
            </w:pPr>
          </w:p>
        </w:tc>
        <w:tc>
          <w:tcPr>
            <w:tcW w:w="1084" w:type="dxa"/>
          </w:tcPr>
          <w:p>
            <w:pPr>
              <w:pStyle w:val="TableParagraph"/>
              <w:rPr>
                <w:sz w:val="12"/>
              </w:rPr>
            </w:pPr>
          </w:p>
        </w:tc>
      </w:tr>
    </w:tbl>
    <w:p>
      <w:pPr>
        <w:pStyle w:val="Heading5"/>
        <w:spacing w:line="242" w:lineRule="auto" w:before="14"/>
        <w:ind w:left="180" w:right="175"/>
      </w:pPr>
      <w:r>
        <w:rPr/>
        <w:br w:type="column"/>
      </w:r>
      <w:r>
        <w:rPr>
          <w:color w:val="231F20"/>
        </w:rPr>
        <w:t>underlying settlements information is subsumed within the Bank’s measure. The January settlements figure is likely to be a better reflection of general trends, because that is the month in which a quarter of the settlements on the Bank database have usually been agreed, covering around 10% of the workforce. So far, the Bank has received data on 66 settlements covering a third of the workers that we would expect to settle in that month.</w:t>
      </w:r>
    </w:p>
    <w:p>
      <w:pPr>
        <w:spacing w:line="242" w:lineRule="auto" w:before="10"/>
        <w:ind w:left="180" w:right="175" w:firstLine="0"/>
        <w:jc w:val="left"/>
        <w:rPr>
          <w:sz w:val="24"/>
        </w:rPr>
      </w:pPr>
      <w:r>
        <w:rPr>
          <w:color w:val="231F20"/>
          <w:sz w:val="24"/>
        </w:rPr>
        <w:t>The provisional estimates shown in Table 3.A indicate a rise in settlements between December and January.</w:t>
      </w:r>
    </w:p>
    <w:p>
      <w:pPr>
        <w:pStyle w:val="BodyText"/>
        <w:rPr>
          <w:sz w:val="28"/>
        </w:rPr>
      </w:pPr>
    </w:p>
    <w:p>
      <w:pPr>
        <w:spacing w:line="242" w:lineRule="auto" w:before="0"/>
        <w:ind w:left="180" w:right="243" w:firstLine="0"/>
        <w:jc w:val="left"/>
        <w:rPr>
          <w:sz w:val="24"/>
        </w:rPr>
      </w:pPr>
      <w:r>
        <w:rPr>
          <w:color w:val="231F20"/>
          <w:sz w:val="24"/>
        </w:rPr>
        <w:t>There are further indications that settlements will be higher in 1998. The </w:t>
      </w:r>
      <w:r>
        <w:rPr>
          <w:color w:val="231F20"/>
          <w:spacing w:val="-3"/>
          <w:sz w:val="24"/>
        </w:rPr>
        <w:t>Bank’s </w:t>
      </w:r>
      <w:r>
        <w:rPr>
          <w:color w:val="231F20"/>
          <w:sz w:val="24"/>
        </w:rPr>
        <w:t>regional Agencies conducted an informal survey of their contacts during December 1997, asking about pay prospects in 1998; the results were reported to the MPC in January. The Agents’ contact base is predominantly private sector, and manufacturing industry is more heavily represented than in the economy as a whole. Around a half of the businesses surveyed expected higher basic pay</w:t>
      </w:r>
      <w:r>
        <w:rPr>
          <w:color w:val="231F20"/>
          <w:spacing w:val="-32"/>
          <w:sz w:val="24"/>
        </w:rPr>
        <w:t> </w:t>
      </w:r>
      <w:r>
        <w:rPr>
          <w:color w:val="231F20"/>
          <w:sz w:val="24"/>
        </w:rPr>
        <w:t>increases for their workers in 1998 compared with 1997; only some 10% expected a lower settlement. The</w:t>
      </w:r>
      <w:r>
        <w:rPr>
          <w:color w:val="231F20"/>
          <w:spacing w:val="-5"/>
          <w:sz w:val="24"/>
        </w:rPr>
        <w:t> </w:t>
      </w:r>
      <w:r>
        <w:rPr>
          <w:color w:val="231F20"/>
          <w:sz w:val="24"/>
        </w:rPr>
        <w:t>main</w:t>
      </w:r>
    </w:p>
    <w:p>
      <w:pPr>
        <w:spacing w:line="242" w:lineRule="auto" w:before="14"/>
        <w:ind w:left="180" w:right="102" w:firstLine="0"/>
        <w:jc w:val="left"/>
        <w:rPr>
          <w:sz w:val="24"/>
        </w:rPr>
      </w:pPr>
      <w:r>
        <w:rPr>
          <w:color w:val="231F20"/>
          <w:sz w:val="24"/>
        </w:rPr>
        <w:t>reason cited for increasing settlements was fear of losing staff. The Government announced in January this year that workers covered by public sector pay review bodies would receive an average 3.9% pay increase in 1998, around </w:t>
      </w:r>
      <w:r>
        <w:rPr>
          <w:color w:val="231F20"/>
          <w:position w:val="8"/>
          <w:sz w:val="12"/>
        </w:rPr>
        <w:t>1</w:t>
      </w:r>
      <w:r>
        <w:rPr>
          <w:color w:val="231F20"/>
          <w:sz w:val="24"/>
        </w:rPr>
        <w:t>/</w:t>
      </w:r>
      <w:r>
        <w:rPr>
          <w:color w:val="231F20"/>
          <w:sz w:val="12"/>
        </w:rPr>
        <w:t>2 </w:t>
      </w:r>
      <w:r>
        <w:rPr>
          <w:color w:val="231F20"/>
          <w:sz w:val="24"/>
        </w:rPr>
        <w:t>percentage point higher than in 1997.</w:t>
      </w:r>
    </w:p>
    <w:p>
      <w:pPr>
        <w:spacing w:after="0" w:line="242" w:lineRule="auto"/>
        <w:jc w:val="left"/>
        <w:rPr>
          <w:sz w:val="24"/>
        </w:rPr>
        <w:sectPr>
          <w:type w:val="continuous"/>
          <w:pgSz w:w="11880" w:h="16840"/>
          <w:pgMar w:top="1200" w:bottom="280" w:left="620" w:right="620"/>
          <w:cols w:num="2" w:equalWidth="0">
            <w:col w:w="4401" w:space="405"/>
            <w:col w:w="5834"/>
          </w:cols>
        </w:sectPr>
      </w:pPr>
    </w:p>
    <w:p>
      <w:pPr>
        <w:pStyle w:val="BodyText"/>
        <w:spacing w:before="11"/>
        <w:rPr>
          <w:sz w:val="20"/>
        </w:rPr>
      </w:pPr>
    </w:p>
    <w:p>
      <w:pPr>
        <w:pStyle w:val="Heading3"/>
        <w:numPr>
          <w:ilvl w:val="1"/>
          <w:numId w:val="18"/>
        </w:numPr>
        <w:tabs>
          <w:tab w:pos="8628" w:val="left" w:leader="none"/>
          <w:tab w:pos="8629" w:val="left" w:leader="none"/>
        </w:tabs>
        <w:spacing w:line="240" w:lineRule="auto" w:before="88" w:after="0"/>
        <w:ind w:left="8628" w:right="0" w:hanging="3644"/>
        <w:jc w:val="left"/>
        <w:rPr>
          <w:color w:val="009483"/>
        </w:rPr>
      </w:pPr>
      <w:r>
        <w:rPr>
          <w:color w:val="009483"/>
          <w:u w:val="thick" w:color="0093C1"/>
        </w:rPr>
        <w:t>Real</w:t>
      </w:r>
      <w:r>
        <w:rPr>
          <w:color w:val="009483"/>
          <w:spacing w:val="-1"/>
          <w:u w:val="thick" w:color="0093C1"/>
        </w:rPr>
        <w:t> </w:t>
      </w:r>
      <w:r>
        <w:rPr>
          <w:color w:val="009483"/>
          <w:u w:val="thick" w:color="0093C1"/>
        </w:rPr>
        <w:t>earnings</w:t>
      </w:r>
      <w:r>
        <w:rPr>
          <w:color w:val="009483"/>
          <w:spacing w:val="-16"/>
          <w:u w:val="thick" w:color="0093C1"/>
        </w:rPr>
        <w:t> </w:t>
      </w:r>
    </w:p>
    <w:p>
      <w:pPr>
        <w:spacing w:line="242" w:lineRule="auto" w:before="264"/>
        <w:ind w:left="4985" w:right="236" w:firstLine="0"/>
        <w:jc w:val="left"/>
        <w:rPr>
          <w:sz w:val="24"/>
        </w:rPr>
      </w:pPr>
      <w:r>
        <w:rPr>
          <w:color w:val="231F20"/>
          <w:sz w:val="24"/>
        </w:rPr>
        <w:t>Wage bargainers negotiate over future real wages and are therefore interested in what will happen to prices. Bank estimates, derived from the Gallup/GFK survey of consumers, indicate that one year ahead RPI inflation expectations have remained stable at around 3</w:t>
      </w:r>
      <w:r>
        <w:rPr>
          <w:color w:val="231F20"/>
          <w:position w:val="8"/>
          <w:sz w:val="12"/>
        </w:rPr>
        <w:t>1</w:t>
      </w:r>
      <w:r>
        <w:rPr>
          <w:color w:val="231F20"/>
          <w:sz w:val="24"/>
        </w:rPr>
        <w:t>/</w:t>
      </w:r>
      <w:r>
        <w:rPr>
          <w:color w:val="231F20"/>
          <w:sz w:val="12"/>
        </w:rPr>
        <w:t>2</w:t>
      </w:r>
      <w:r>
        <w:rPr>
          <w:color w:val="231F20"/>
          <w:sz w:val="24"/>
        </w:rPr>
        <w:t>% since the beginning of 1997. The Barclays Basix Survey (see Table 3.B) indicates that one year ahead inflation</w:t>
      </w:r>
    </w:p>
    <w:p>
      <w:pPr>
        <w:spacing w:after="0" w:line="242" w:lineRule="auto"/>
        <w:jc w:val="left"/>
        <w:rPr>
          <w:sz w:val="24"/>
        </w:rPr>
        <w:sectPr>
          <w:type w:val="continuous"/>
          <w:pgSz w:w="11880" w:h="16840"/>
          <w:pgMar w:top="1200" w:bottom="280" w:left="620" w:right="620"/>
        </w:sectPr>
      </w:pPr>
    </w:p>
    <w:p>
      <w:pPr>
        <w:pStyle w:val="BodyText"/>
        <w:rPr>
          <w:sz w:val="20"/>
        </w:rPr>
      </w:pPr>
    </w:p>
    <w:p>
      <w:pPr>
        <w:spacing w:after="0"/>
        <w:rPr>
          <w:sz w:val="20"/>
        </w:rPr>
        <w:sectPr>
          <w:footerReference w:type="default" r:id="rId48"/>
          <w:footerReference w:type="even" r:id="rId49"/>
          <w:pgSz w:w="11880" w:h="16840"/>
          <w:pgMar w:footer="597" w:header="566" w:top="760" w:bottom="780" w:left="620" w:right="620"/>
          <w:pgNumType w:start="25"/>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9"/>
        <w:spacing w:before="189"/>
        <w:ind w:left="190"/>
      </w:pPr>
      <w:bookmarkStart w:name="Explaining real earnings behaviour" w:id="54"/>
      <w:bookmarkEnd w:id="54"/>
      <w:r>
        <w:rPr>
          <w:b w:val="0"/>
        </w:rPr>
      </w:r>
      <w:bookmarkStart w:name="Labour market tightness" w:id="55"/>
      <w:bookmarkEnd w:id="55"/>
      <w:r>
        <w:rPr>
          <w:b w:val="0"/>
        </w:rPr>
      </w:r>
      <w:bookmarkStart w:name="_bookmark20" w:id="56"/>
      <w:bookmarkEnd w:id="56"/>
      <w:r>
        <w:rPr>
          <w:b w:val="0"/>
        </w:rPr>
      </w:r>
      <w:r>
        <w:rPr>
          <w:color w:val="0093C1"/>
        </w:rPr>
        <w:t>Chart 3.3</w:t>
      </w:r>
    </w:p>
    <w:p>
      <w:pPr>
        <w:spacing w:before="10"/>
        <w:ind w:left="190" w:right="0" w:firstLine="0"/>
        <w:jc w:val="left"/>
        <w:rPr>
          <w:sz w:val="12"/>
        </w:rPr>
      </w:pPr>
      <w:r>
        <w:rPr>
          <w:b/>
          <w:color w:val="0093C1"/>
          <w:sz w:val="20"/>
        </w:rPr>
        <w:t>Growth in real wages</w:t>
      </w:r>
      <w:r>
        <w:rPr>
          <w:color w:val="231F20"/>
          <w:position w:val="4"/>
          <w:sz w:val="12"/>
        </w:rPr>
        <w:t>(a)</w:t>
      </w:r>
    </w:p>
    <w:p>
      <w:pPr>
        <w:spacing w:before="95"/>
        <w:ind w:left="1729" w:right="0" w:firstLine="0"/>
        <w:jc w:val="left"/>
        <w:rPr>
          <w:sz w:val="12"/>
        </w:rPr>
      </w:pPr>
      <w:r>
        <w:rPr/>
        <w:pict>
          <v:group style="position:absolute;margin-left:40pt;margin-top:17.351563pt;width:165pt;height:145.75pt;mso-position-horizontal-relative:page;mso-position-vertical-relative:paragraph;z-index:15888896" coordorigin="800,347" coordsize="3300,2915">
            <v:shape style="position:absolute;left:800;top:617;width:80;height:2260" coordorigin="800,617" coordsize="80,2260" path="m880,2877l800,2877m880,2137l800,2137m880,1737l800,1737m880,1377l800,1377m880,997l800,997m880,617l800,617e" filled="false" stroked="true" strokeweight=".5pt" strokecolor="#000000">
              <v:path arrowok="t"/>
              <v:stroke dashstyle="solid"/>
            </v:shape>
            <v:shape style="position:absolute;left:940;top:357;width:3000;height:2760" coordorigin="940,357" coordsize="3000,2760" path="m940,1777l1140,2777,1360,2677,1580,2557,1780,3117,2000,2817,2220,2837,2440,2337,2640,2397,2860,717,3080,717,3300,1077,3500,397,3720,357,3940,737e" filled="false" stroked="true" strokeweight="1pt" strokecolor="#952e40">
              <v:path arrowok="t"/>
              <v:stroke dashstyle="solid"/>
            </v:shape>
            <v:shape style="position:absolute;left:940;top:497;width:3000;height:1940" coordorigin="940,497" coordsize="3000,1940" path="m940,1897l1140,997,1360,897,1580,497,1780,1237,2000,1757,2220,1237,2440,2117,2640,2057,2860,1977,3080,2437,3300,2277,3500,1437,3720,1277,3940,1037e" filled="false" stroked="true" strokeweight="1pt" strokecolor="#0099d8">
              <v:path arrowok="t"/>
              <v:stroke dashstyle="solid"/>
            </v:shape>
            <v:shape style="position:absolute;left:800;top:617;width:3300;height:2640" coordorigin="800,617" coordsize="3300,2640" path="m4100,2877l4020,2877m4100,2497l4020,2497m4100,2137l4020,2137m4100,1737l4020,1737m4100,1377l4020,1377m4100,997l4020,997m4100,617l4020,617m880,3257l800,3257m920,3257l3940,3257m920,3257l920,3217m1140,3257l1140,3217m1360,3257l1360,3217m1580,3257l1580,3217m1780,3257l1780,3217m2000,3257l2000,3217m2220,3257l2220,3217m2440,3257l2440,3217m2640,3257l2640,3217m2860,3257l2860,3217m3080,3257l3080,3217m3300,3257l3300,3217m3500,3257l3500,3217m3720,3257l3720,3217m3940,3257l3940,3217m920,3257l920,3157m1780,3257l1780,3157m2640,3257l2640,3157m3500,3257l3500,3157e" filled="false" stroked="true" strokeweight=".5pt" strokecolor="#000000">
              <v:path arrowok="t"/>
              <v:stroke dashstyle="solid"/>
            </v:shape>
            <v:shape style="position:absolute;left:1650;top:493;width:920;height:133" type="#_x0000_t202" filled="false" stroked="false">
              <v:textbox inset="0,0,0,0">
                <w:txbxContent>
                  <w:p>
                    <w:pPr>
                      <w:spacing w:line="133" w:lineRule="exact" w:before="0"/>
                      <w:ind w:left="0" w:right="0" w:firstLine="0"/>
                      <w:jc w:val="left"/>
                      <w:rPr>
                        <w:sz w:val="12"/>
                      </w:rPr>
                    </w:pPr>
                    <w:r>
                      <w:rPr>
                        <w:sz w:val="12"/>
                      </w:rPr>
                      <w:t>Real product wage</w:t>
                    </w:r>
                  </w:p>
                </w:txbxContent>
              </v:textbox>
              <w10:wrap type="none"/>
            </v:shape>
            <v:shape style="position:absolute;left:800;top:2204;width:3160;height:178" type="#_x0000_t202" filled="false" stroked="false">
              <v:textbox inset="0,0,0,0">
                <w:txbxContent>
                  <w:p>
                    <w:pPr>
                      <w:tabs>
                        <w:tab w:pos="3139" w:val="left" w:leader="none"/>
                      </w:tabs>
                      <w:spacing w:line="177" w:lineRule="exact" w:before="0"/>
                      <w:ind w:left="0" w:right="0" w:firstLine="0"/>
                      <w:jc w:val="left"/>
                      <w:rPr>
                        <w:sz w:val="16"/>
                      </w:rPr>
                    </w:pPr>
                    <w:r>
                      <w:rPr>
                        <w:sz w:val="16"/>
                        <w:u w:val="single"/>
                      </w:rPr>
                      <w:t> </w:t>
                      <w:tab/>
                    </w:r>
                  </w:p>
                </w:txbxContent>
              </v:textbox>
              <w10:wrap type="none"/>
            </v:shape>
            <v:shape style="position:absolute;left:2270;top:2793;width:1174;height:133" type="#_x0000_t202" filled="false" stroked="false">
              <v:textbox inset="0,0,0,0">
                <w:txbxContent>
                  <w:p>
                    <w:pPr>
                      <w:spacing w:line="133" w:lineRule="exact" w:before="0"/>
                      <w:ind w:left="0" w:right="0" w:firstLine="0"/>
                      <w:jc w:val="left"/>
                      <w:rPr>
                        <w:sz w:val="12"/>
                      </w:rPr>
                    </w:pPr>
                    <w:r>
                      <w:rPr>
                        <w:sz w:val="12"/>
                      </w:rPr>
                      <w:t>Real consumption wage</w:t>
                    </w:r>
                  </w:p>
                </w:txbxContent>
              </v:textbox>
              <w10:wrap type="none"/>
            </v:shape>
            <w10:wrap type="none"/>
          </v:group>
        </w:pict>
      </w:r>
      <w:r>
        <w:rPr/>
        <w:pict>
          <v:line style="position:absolute;mso-position-horizontal-relative:page;mso-position-vertical-relative:paragraph;z-index:15889408" from="44pt,11.851563pt" to="40pt,11.851563pt" stroked="true" strokeweight=".5pt" strokecolor="#000000">
            <v:stroke dashstyle="solid"/>
            <w10:wrap type="none"/>
          </v:line>
        </w:pict>
      </w:r>
      <w:r>
        <w:rPr/>
        <w:pict>
          <v:line style="position:absolute;mso-position-horizontal-relative:page;mso-position-vertical-relative:paragraph;z-index:-20199424" from="205pt,11.851563pt" to="201pt,11.851563pt" stroked="true" strokeweight=".5pt" strokecolor="#000000">
            <v:stroke dashstyle="solid"/>
            <w10:wrap type="none"/>
          </v:line>
        </w:pict>
      </w:r>
      <w:r>
        <w:rPr>
          <w:sz w:val="12"/>
        </w:rPr>
        <w:t>Percentage changes on a year earlier </w:t>
      </w:r>
      <w:r>
        <w:rPr>
          <w:spacing w:val="11"/>
          <w:sz w:val="12"/>
        </w:rPr>
        <w:t> </w:t>
      </w:r>
      <w:r>
        <w:rPr>
          <w:position w:val="-5"/>
          <w:sz w:val="12"/>
        </w:rPr>
        <w:t>3.0</w:t>
      </w:r>
    </w:p>
    <w:p>
      <w:pPr>
        <w:pStyle w:val="BodyText"/>
        <w:rPr>
          <w:sz w:val="21"/>
        </w:rPr>
      </w:pPr>
    </w:p>
    <w:p>
      <w:pPr>
        <w:spacing w:before="0"/>
        <w:ind w:left="0" w:right="38" w:firstLine="0"/>
        <w:jc w:val="right"/>
        <w:rPr>
          <w:sz w:val="12"/>
        </w:rPr>
      </w:pPr>
      <w:r>
        <w:rPr>
          <w:sz w:val="12"/>
        </w:rPr>
        <w:t>2.5</w:t>
      </w:r>
    </w:p>
    <w:p>
      <w:pPr>
        <w:pStyle w:val="BodyText"/>
        <w:rPr>
          <w:sz w:val="12"/>
        </w:rPr>
      </w:pPr>
    </w:p>
    <w:p>
      <w:pPr>
        <w:spacing w:before="104"/>
        <w:ind w:left="0" w:right="38" w:firstLine="0"/>
        <w:jc w:val="right"/>
        <w:rPr>
          <w:sz w:val="12"/>
        </w:rPr>
      </w:pPr>
      <w:r>
        <w:rPr>
          <w:sz w:val="12"/>
        </w:rPr>
        <w:t>2.0</w:t>
      </w:r>
    </w:p>
    <w:p>
      <w:pPr>
        <w:pStyle w:val="BodyText"/>
        <w:rPr>
          <w:sz w:val="12"/>
        </w:rPr>
      </w:pPr>
    </w:p>
    <w:p>
      <w:pPr>
        <w:spacing w:before="104"/>
        <w:ind w:left="0" w:right="38" w:firstLine="0"/>
        <w:jc w:val="right"/>
        <w:rPr>
          <w:sz w:val="12"/>
        </w:rPr>
      </w:pPr>
      <w:r>
        <w:rPr>
          <w:sz w:val="12"/>
        </w:rPr>
        <w:t>1.5</w:t>
      </w:r>
    </w:p>
    <w:p>
      <w:pPr>
        <w:pStyle w:val="BodyText"/>
        <w:rPr>
          <w:sz w:val="12"/>
        </w:rPr>
      </w:pPr>
    </w:p>
    <w:p>
      <w:pPr>
        <w:spacing w:before="84"/>
        <w:ind w:left="0" w:right="38" w:firstLine="0"/>
        <w:jc w:val="right"/>
        <w:rPr>
          <w:sz w:val="12"/>
        </w:rPr>
      </w:pPr>
      <w:r>
        <w:rPr>
          <w:sz w:val="12"/>
        </w:rPr>
        <w:t>1.0</w:t>
      </w:r>
    </w:p>
    <w:p>
      <w:pPr>
        <w:pStyle w:val="BodyText"/>
        <w:rPr>
          <w:sz w:val="12"/>
        </w:rPr>
      </w:pPr>
    </w:p>
    <w:p>
      <w:pPr>
        <w:spacing w:before="104"/>
        <w:ind w:left="0" w:right="38" w:firstLine="0"/>
        <w:jc w:val="right"/>
        <w:rPr>
          <w:sz w:val="12"/>
        </w:rPr>
      </w:pPr>
      <w:r>
        <w:rPr>
          <w:sz w:val="12"/>
        </w:rPr>
        <w:t>0.5</w:t>
      </w:r>
    </w:p>
    <w:p>
      <w:pPr>
        <w:spacing w:before="25"/>
        <w:ind w:left="3470" w:right="0" w:firstLine="0"/>
        <w:jc w:val="left"/>
        <w:rPr>
          <w:sz w:val="16"/>
        </w:rPr>
      </w:pPr>
      <w:r>
        <w:rPr>
          <w:sz w:val="16"/>
        </w:rPr>
        <w:t>+</w:t>
      </w:r>
    </w:p>
    <w:p>
      <w:pPr>
        <w:spacing w:line="130" w:lineRule="exact" w:before="33"/>
        <w:ind w:left="3550" w:right="0" w:firstLine="0"/>
        <w:jc w:val="left"/>
        <w:rPr>
          <w:sz w:val="12"/>
        </w:rPr>
      </w:pPr>
      <w:r>
        <w:rPr>
          <w:sz w:val="12"/>
        </w:rPr>
        <w:t>0.0</w:t>
      </w:r>
    </w:p>
    <w:p>
      <w:pPr>
        <w:spacing w:line="176" w:lineRule="exact" w:before="0"/>
        <w:ind w:left="3470" w:right="0" w:firstLine="0"/>
        <w:jc w:val="left"/>
        <w:rPr>
          <w:sz w:val="16"/>
        </w:rPr>
      </w:pPr>
      <w:r>
        <w:rPr>
          <w:sz w:val="16"/>
        </w:rPr>
        <w:t>_</w:t>
      </w:r>
    </w:p>
    <w:p>
      <w:pPr>
        <w:spacing w:before="74"/>
        <w:ind w:left="0" w:right="38" w:firstLine="0"/>
        <w:jc w:val="right"/>
        <w:rPr>
          <w:sz w:val="12"/>
        </w:rPr>
      </w:pPr>
      <w:r>
        <w:rPr>
          <w:sz w:val="12"/>
        </w:rPr>
        <w:t>0.5</w:t>
      </w:r>
    </w:p>
    <w:p>
      <w:pPr>
        <w:pStyle w:val="BodyText"/>
        <w:rPr>
          <w:sz w:val="12"/>
        </w:rPr>
      </w:pPr>
    </w:p>
    <w:p>
      <w:pPr>
        <w:spacing w:line="129" w:lineRule="exact" w:before="104"/>
        <w:ind w:left="3550" w:right="0" w:firstLine="0"/>
        <w:jc w:val="left"/>
        <w:rPr>
          <w:sz w:val="12"/>
        </w:rPr>
      </w:pPr>
      <w:r>
        <w:rPr/>
        <w:pict>
          <v:line style="position:absolute;mso-position-horizontal-relative:page;mso-position-vertical-relative:paragraph;z-index:15889920" from="205pt,9.301562pt" to="201pt,9.301562pt" stroked="true" strokeweight=".5pt" strokecolor="#000000">
            <v:stroke dashstyle="solid"/>
            <w10:wrap type="none"/>
          </v:line>
        </w:pict>
      </w:r>
      <w:r>
        <w:rPr>
          <w:sz w:val="12"/>
        </w:rPr>
        <w:t>1.0</w:t>
      </w:r>
    </w:p>
    <w:p>
      <w:pPr>
        <w:tabs>
          <w:tab w:pos="1496" w:val="left" w:leader="none"/>
          <w:tab w:pos="2356" w:val="left" w:leader="none"/>
          <w:tab w:pos="3056" w:val="left" w:leader="none"/>
        </w:tabs>
        <w:spacing w:line="122" w:lineRule="exact" w:before="0"/>
        <w:ind w:left="636" w:right="0" w:firstLine="0"/>
        <w:jc w:val="left"/>
        <w:rPr>
          <w:sz w:val="12"/>
        </w:rPr>
      </w:pPr>
      <w:r>
        <w:rPr>
          <w:sz w:val="12"/>
        </w:rPr>
        <w:t>1994</w:t>
        <w:tab/>
        <w:t>95</w:t>
        <w:tab/>
        <w:t>96</w:t>
        <w:tab/>
        <w:t>97</w:t>
      </w:r>
    </w:p>
    <w:p>
      <w:pPr>
        <w:spacing w:line="208" w:lineRule="auto" w:before="7"/>
        <w:ind w:left="434" w:right="0" w:hanging="240"/>
        <w:jc w:val="left"/>
        <w:rPr>
          <w:sz w:val="12"/>
        </w:rPr>
      </w:pPr>
      <w:r>
        <w:rPr>
          <w:color w:val="231F20"/>
          <w:sz w:val="12"/>
        </w:rPr>
        <w:t>(a) The real product wage includes wages and salaries and employers’ social security contributions per employee; it deflates these by the GDP deflator at factor cost. The real consumption wage deflates wages and salaries per employee by the tax and price index (TPI). The TPI measures changes in both retail prices and direct taxes.</w:t>
      </w:r>
    </w:p>
    <w:p>
      <w:pPr>
        <w:pStyle w:val="Heading5"/>
        <w:spacing w:line="242" w:lineRule="auto" w:before="207"/>
        <w:ind w:left="190" w:right="158"/>
      </w:pPr>
      <w:r>
        <w:rPr/>
        <w:br w:type="column"/>
      </w:r>
      <w:r>
        <w:rPr>
          <w:color w:val="231F20"/>
        </w:rPr>
        <w:t>expectations </w:t>
      </w:r>
      <w:r>
        <w:rPr>
          <w:color w:val="231F20"/>
          <w:spacing w:val="-3"/>
        </w:rPr>
        <w:t>have </w:t>
      </w:r>
      <w:r>
        <w:rPr>
          <w:color w:val="231F20"/>
        </w:rPr>
        <w:t>remained broadly flat between September and December 1997. But, in wage bargaining, employers do not focus on RPI inflation; they are concerned about the real product wage, which is their total labour costs per employee relative to the </w:t>
      </w:r>
      <w:r>
        <w:rPr>
          <w:color w:val="231F20"/>
          <w:spacing w:val="-3"/>
        </w:rPr>
        <w:t>prices </w:t>
      </w:r>
      <w:r>
        <w:rPr>
          <w:color w:val="231F20"/>
        </w:rPr>
        <w:t>of the goods and services they sell. Employees bargain over the real consumption wage which is the wage they receive relative to retail prices and personal</w:t>
      </w:r>
      <w:r>
        <w:rPr>
          <w:color w:val="231F20"/>
          <w:spacing w:val="-10"/>
        </w:rPr>
        <w:t> </w:t>
      </w:r>
      <w:r>
        <w:rPr>
          <w:color w:val="231F20"/>
        </w:rPr>
        <w:t>taxation.</w:t>
      </w:r>
    </w:p>
    <w:p>
      <w:pPr>
        <w:spacing w:line="242" w:lineRule="auto" w:before="10"/>
        <w:ind w:left="190" w:right="195" w:firstLine="0"/>
        <w:jc w:val="left"/>
        <w:rPr>
          <w:sz w:val="24"/>
        </w:rPr>
      </w:pPr>
      <w:r>
        <w:rPr>
          <w:color w:val="231F20"/>
          <w:sz w:val="24"/>
        </w:rPr>
        <w:t>Correct measures of real wages, looked at from both sides of the wage bargain, would incorporate expectations about the relevant price indices. But measures of expectations are imprecise and are not available for all appropriate price indices. In these circumstances, estimates of real wages based on actual price outturns provide an alternative.</w:t>
      </w:r>
    </w:p>
    <w:p>
      <w:pPr>
        <w:pStyle w:val="BodyText"/>
        <w:spacing w:before="1"/>
        <w:rPr>
          <w:sz w:val="25"/>
        </w:rPr>
      </w:pPr>
    </w:p>
    <w:p>
      <w:pPr>
        <w:spacing w:line="242" w:lineRule="auto" w:before="1"/>
        <w:ind w:left="190" w:right="195" w:firstLine="0"/>
        <w:jc w:val="left"/>
        <w:rPr>
          <w:sz w:val="24"/>
        </w:rPr>
      </w:pPr>
      <w:r>
        <w:rPr>
          <w:color w:val="231F20"/>
          <w:sz w:val="24"/>
        </w:rPr>
        <w:t>The four-quarter growth rate of the real product wage has increased over the past year (see Chart 3.3). The </w:t>
      </w:r>
      <w:r>
        <w:rPr>
          <w:color w:val="231F20"/>
          <w:spacing w:val="-5"/>
          <w:sz w:val="24"/>
        </w:rPr>
        <w:t>real </w:t>
      </w:r>
      <w:r>
        <w:rPr>
          <w:color w:val="231F20"/>
          <w:sz w:val="24"/>
        </w:rPr>
        <w:t>consumption wage outpaced the real product wage, continuing a more general trend that dates back to the early 1980s. The relationship between these</w:t>
      </w:r>
      <w:r>
        <w:rPr>
          <w:color w:val="231F20"/>
          <w:spacing w:val="-2"/>
          <w:sz w:val="24"/>
        </w:rPr>
        <w:t> </w:t>
      </w:r>
      <w:r>
        <w:rPr>
          <w:color w:val="231F20"/>
          <w:sz w:val="24"/>
        </w:rPr>
        <w:t>two</w:t>
      </w:r>
    </w:p>
    <w:p>
      <w:pPr>
        <w:spacing w:line="242" w:lineRule="auto" w:before="6"/>
        <w:ind w:left="190" w:right="188" w:firstLine="0"/>
        <w:jc w:val="left"/>
        <w:rPr>
          <w:sz w:val="24"/>
        </w:rPr>
      </w:pPr>
      <w:r>
        <w:rPr>
          <w:color w:val="231F20"/>
          <w:sz w:val="24"/>
        </w:rPr>
        <w:t>real-wage series depends on two main factors: the terms of trade, and taxes on employment income and consumers’ expenditure. The terms of trade are the ratio of export to import prices, and represent how many foreign goods and services can be exchanged for a unit of domestic goods and services. Over the past year, import prices have fallen more rapidly than export prices and boosted both the terms of trade and the real consumption wage relative to the real product wage.</w:t>
      </w:r>
    </w:p>
    <w:p>
      <w:pPr>
        <w:spacing w:line="242" w:lineRule="auto" w:before="11"/>
        <w:ind w:left="190" w:right="0" w:firstLine="0"/>
        <w:jc w:val="left"/>
        <w:rPr>
          <w:sz w:val="24"/>
        </w:rPr>
      </w:pPr>
      <w:r>
        <w:rPr>
          <w:color w:val="231F20"/>
          <w:sz w:val="24"/>
        </w:rPr>
        <w:t>Lower taxes on income have also lifted the real consumption wage relative to the real product wage in recent years. A higher ratio of real consumption to real product wages should mean, other things being equal, lower overall real wage pressure, because at a given level of demand for hours worked there would be a greater effective supply.</w:t>
      </w:r>
    </w:p>
    <w:p>
      <w:pPr>
        <w:spacing w:after="0" w:line="242" w:lineRule="auto"/>
        <w:jc w:val="left"/>
        <w:rPr>
          <w:sz w:val="24"/>
        </w:rPr>
        <w:sectPr>
          <w:type w:val="continuous"/>
          <w:pgSz w:w="11880" w:h="16840"/>
          <w:pgMar w:top="1200" w:bottom="280" w:left="620" w:right="620"/>
          <w:cols w:num="2" w:equalWidth="0">
            <w:col w:w="3741" w:space="1049"/>
            <w:col w:w="5850"/>
          </w:cols>
        </w:sectPr>
      </w:pPr>
    </w:p>
    <w:p>
      <w:pPr>
        <w:pStyle w:val="BodyText"/>
        <w:spacing w:before="5"/>
        <w:rPr>
          <w:sz w:val="19"/>
        </w:rPr>
      </w:pPr>
    </w:p>
    <w:p>
      <w:pPr>
        <w:pStyle w:val="Heading3"/>
        <w:numPr>
          <w:ilvl w:val="1"/>
          <w:numId w:val="18"/>
        </w:numPr>
        <w:tabs>
          <w:tab w:pos="6052" w:val="left" w:leader="none"/>
          <w:tab w:pos="6053" w:val="left" w:leader="none"/>
          <w:tab w:pos="10479" w:val="left" w:leader="none"/>
        </w:tabs>
        <w:spacing w:line="240" w:lineRule="auto" w:before="88" w:after="0"/>
        <w:ind w:left="6052" w:right="0" w:hanging="1073"/>
        <w:jc w:val="left"/>
        <w:rPr>
          <w:color w:val="009483"/>
        </w:rPr>
      </w:pPr>
      <w:r>
        <w:rPr>
          <w:color w:val="009483"/>
          <w:u w:val="thick" w:color="0093C1"/>
        </w:rPr>
        <w:t>Explaining real earnings</w:t>
      </w:r>
      <w:r>
        <w:rPr>
          <w:color w:val="009483"/>
          <w:spacing w:val="-18"/>
          <w:u w:val="thick" w:color="0093C1"/>
        </w:rPr>
        <w:t> </w:t>
      </w:r>
      <w:r>
        <w:rPr>
          <w:color w:val="009483"/>
          <w:u w:val="thick" w:color="0093C1"/>
        </w:rPr>
        <w:t>behaviour</w:t>
        <w:tab/>
      </w:r>
    </w:p>
    <w:p>
      <w:pPr>
        <w:pStyle w:val="Heading6"/>
        <w:spacing w:before="264"/>
        <w:ind w:left="4980"/>
        <w:rPr>
          <w:i/>
        </w:rPr>
      </w:pPr>
      <w:r>
        <w:rPr>
          <w:i/>
          <w:color w:val="009483"/>
        </w:rPr>
        <w:t>Labour market tightness</w:t>
      </w:r>
    </w:p>
    <w:p>
      <w:pPr>
        <w:spacing w:line="242" w:lineRule="auto" w:before="124"/>
        <w:ind w:left="4980" w:right="187" w:firstLine="0"/>
        <w:jc w:val="left"/>
        <w:rPr>
          <w:sz w:val="24"/>
        </w:rPr>
      </w:pPr>
      <w:r>
        <w:rPr>
          <w:color w:val="231F20"/>
          <w:sz w:val="24"/>
        </w:rPr>
        <w:t>Labour market tightness is the key influence on real wage pressure in the short run. The labour market has continued to tighten over the past three months, according to most measures. The unemployment claimant count was 5% of the workforce in December, after falling by an average of almost 21,000 a month in 1997 Q4. A better measure of unemployment comes from the ONS’s Labour Force Survey (LFS), a survey of households. The Survey asks people whether they have actively been seeking work, and the resultant measure</w:t>
      </w:r>
    </w:p>
    <w:p>
      <w:pPr>
        <w:spacing w:after="0" w:line="242" w:lineRule="auto"/>
        <w:jc w:val="left"/>
        <w:rPr>
          <w:sz w:val="24"/>
        </w:rPr>
        <w:sectPr>
          <w:type w:val="continuous"/>
          <w:pgSz w:w="11880" w:h="16840"/>
          <w:pgMar w:top="1200" w:bottom="280" w:left="620" w:right="620"/>
        </w:sectPr>
      </w:pPr>
    </w:p>
    <w:p>
      <w:pPr>
        <w:pStyle w:val="BodyText"/>
        <w:rPr>
          <w:sz w:val="20"/>
        </w:rPr>
      </w:pPr>
    </w:p>
    <w:p>
      <w:pPr>
        <w:spacing w:after="0"/>
        <w:rPr>
          <w:sz w:val="20"/>
        </w:rPr>
        <w:sectPr>
          <w:pgSz w:w="11880" w:h="16840"/>
          <w:pgMar w:header="566" w:footer="597" w:top="760" w:bottom="780" w:left="620" w:right="620"/>
        </w:sectPr>
      </w:pPr>
    </w:p>
    <w:p>
      <w:pPr>
        <w:pStyle w:val="BodyText"/>
        <w:spacing w:before="6"/>
        <w:rPr>
          <w:sz w:val="20"/>
        </w:rPr>
      </w:pPr>
    </w:p>
    <w:p>
      <w:pPr>
        <w:pStyle w:val="Heading9"/>
        <w:spacing w:before="0"/>
        <w:ind w:left="180"/>
      </w:pPr>
      <w:r>
        <w:rPr>
          <w:color w:val="0093C1"/>
        </w:rPr>
        <w:t>Chart 3.4</w:t>
      </w:r>
    </w:p>
    <w:p>
      <w:pPr>
        <w:spacing w:line="249" w:lineRule="auto" w:before="10"/>
        <w:ind w:left="180" w:right="20" w:firstLine="0"/>
        <w:jc w:val="left"/>
        <w:rPr>
          <w:b/>
          <w:sz w:val="20"/>
        </w:rPr>
      </w:pPr>
      <w:r>
        <w:rPr>
          <w:b/>
          <w:color w:val="0093C1"/>
          <w:sz w:val="20"/>
        </w:rPr>
        <w:t>Short-term and long-term LFS unemployment rate</w:t>
      </w:r>
    </w:p>
    <w:p>
      <w:pPr>
        <w:pStyle w:val="BodyText"/>
        <w:spacing w:before="5" w:after="39"/>
        <w:rPr>
          <w:b/>
          <w:sz w:val="20"/>
        </w:rPr>
      </w:pPr>
    </w:p>
    <w:p>
      <w:pPr>
        <w:pStyle w:val="BodyText"/>
        <w:spacing w:line="20" w:lineRule="exact"/>
        <w:ind w:left="16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r>
        <w:rPr/>
        <w:pict>
          <v:shape style="position:absolute;margin-left:39.5pt;margin-top:13.259766pt;width:5pt;height:.1pt;mso-position-horizontal-relative:page;mso-position-vertical-relative:paragraph;z-index:-15565824;mso-wrap-distance-left:0;mso-wrap-distance-right:0" coordorigin="790,265" coordsize="100,0" path="m890,265l790,265e" filled="false" stroked="true" strokeweight=".5pt" strokecolor="#000000">
            <v:path arrowok="t"/>
            <v:stroke dashstyle="solid"/>
            <w10:wrap type="topAndBottom"/>
          </v:shape>
        </w:pict>
      </w: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spacing w:before="151"/>
        <w:ind w:left="180" w:right="0" w:firstLine="0"/>
        <w:jc w:val="left"/>
        <w:rPr>
          <w:sz w:val="12"/>
        </w:rPr>
      </w:pPr>
      <w:r>
        <w:rPr>
          <w:sz w:val="12"/>
        </w:rPr>
        <w:t>Per cent </w:t>
      </w:r>
      <w:r>
        <w:rPr>
          <w:position w:val="-7"/>
          <w:sz w:val="12"/>
        </w:rPr>
        <w:t>7</w:t>
      </w:r>
    </w:p>
    <w:p>
      <w:pPr>
        <w:pStyle w:val="BodyText"/>
        <w:spacing w:before="6"/>
        <w:rPr>
          <w:sz w:val="24"/>
        </w:rPr>
      </w:pPr>
    </w:p>
    <w:p>
      <w:pPr>
        <w:spacing w:before="0"/>
        <w:ind w:left="0" w:right="38" w:firstLine="0"/>
        <w:jc w:val="right"/>
        <w:rPr>
          <w:sz w:val="12"/>
        </w:rPr>
      </w:pPr>
      <w:r>
        <w:rPr/>
        <w:pict>
          <v:group style="position:absolute;margin-left:39.5pt;margin-top:-5.398438pt;width:165pt;height:97pt;mso-position-horizontal-relative:page;mso-position-vertical-relative:paragraph;z-index:15901696" coordorigin="790,-108" coordsize="3300,1940">
            <v:shape style="position:absolute;left:790;top:522;width:3300;height:1280" coordorigin="790,522" coordsize="3300,1280" path="m890,1802l790,1802m890,1382l790,1382m890,942l790,942m890,522l790,522m4090,1802l3990,1802m4090,1382l3990,1382m4090,942l3990,942m4090,522l3990,522e" filled="false" stroked="true" strokeweight=".5pt" strokecolor="#000000">
              <v:path arrowok="t"/>
              <v:stroke dashstyle="solid"/>
            </v:shape>
            <v:shape style="position:absolute;left:945;top:294;width:3005;height:1448" coordorigin="945,295" coordsize="3005,1448" path="m945,295l1170,385,1388,500,1608,625,1828,1120,2050,1557,2270,1742,2510,1700,2730,1217,2730,1222,2790,1062,2830,942,2890,822,2950,802,3010,802,3070,742,3110,762,3170,802,3290,962,3330,1042,3450,1122,3510,1202,3610,1302,3670,1322,3730,1382,3790,1422,3850,1502,3890,1622,3950,1722e" filled="false" stroked="true" strokeweight="1pt" strokecolor="#0099d8">
              <v:path arrowok="t"/>
              <v:stroke dashstyle="solid"/>
            </v:shape>
            <v:shape style="position:absolute;left:790;top:82;width:3300;height:2" coordorigin="790,82" coordsize="3300,0" path="m890,82l790,82m4090,82l3990,82e" filled="false" stroked="true" strokeweight=".5pt" strokecolor="#000000">
              <v:path arrowok="t"/>
              <v:stroke dashstyle="solid"/>
            </v:shape>
            <v:shape style="position:absolute;left:945;top:-98;width:3005;height:880" coordorigin="945,-98" coordsize="3005,880" path="m945,-25l1170,140,1390,45,1610,105,1828,460,2050,702,2270,657,2510,27,2730,-95,2730,-98,2790,-18,2830,2,2890,-58,2950,42,3010,82,3070,182,3110,242,3170,322,3230,342,3290,482,3330,502,3450,502,3510,462,3570,502,3610,482,3670,542,3730,562,3790,682,3850,702,3890,682,3950,782e" filled="false" stroked="true" strokeweight="1pt" strokecolor="#a790c4">
              <v:path arrowok="t"/>
              <v:stroke dashstyle="solid"/>
            </v:shape>
            <v:shape style="position:absolute;left:2340;top:578;width:704;height:133" type="#_x0000_t202" filled="false" stroked="false">
              <v:textbox inset="0,0,0,0">
                <w:txbxContent>
                  <w:p>
                    <w:pPr>
                      <w:spacing w:line="133" w:lineRule="exact" w:before="0"/>
                      <w:ind w:left="0" w:right="0" w:firstLine="0"/>
                      <w:jc w:val="left"/>
                      <w:rPr>
                        <w:sz w:val="12"/>
                      </w:rPr>
                    </w:pPr>
                    <w:r>
                      <w:rPr>
                        <w:sz w:val="12"/>
                      </w:rPr>
                      <w:t>Short-term (a)</w:t>
                    </w:r>
                  </w:p>
                </w:txbxContent>
              </v:textbox>
              <w10:wrap type="none"/>
            </v:shape>
            <v:shape style="position:absolute;left:2553;top:1698;width:534;height:133" type="#_x0000_t202" filled="false" stroked="false">
              <v:textbox inset="0,0,0,0">
                <w:txbxContent>
                  <w:p>
                    <w:pPr>
                      <w:spacing w:line="133" w:lineRule="exact" w:before="0"/>
                      <w:ind w:left="0" w:right="0" w:firstLine="0"/>
                      <w:jc w:val="left"/>
                      <w:rPr>
                        <w:sz w:val="12"/>
                      </w:rPr>
                    </w:pPr>
                    <w:r>
                      <w:rPr>
                        <w:sz w:val="12"/>
                      </w:rPr>
                      <w:t>Long-term</w:t>
                    </w:r>
                  </w:p>
                </w:txbxContent>
              </v:textbox>
              <w10:wrap type="none"/>
            </v:shape>
            <w10:wrap type="none"/>
          </v:group>
        </w:pict>
      </w:r>
      <w:r>
        <w:rPr/>
        <w:pict>
          <v:line style="position:absolute;mso-position-horizontal-relative:page;mso-position-vertical-relative:paragraph;z-index:-20187136" from="204.5pt,-16.898438pt" to="199.5pt,-16.898438pt" stroked="true" strokeweight=".5pt" strokecolor="#000000">
            <v:stroke dashstyle="solid"/>
            <w10:wrap type="none"/>
          </v:line>
        </w:pict>
      </w:r>
      <w:r>
        <w:rPr>
          <w:sz w:val="12"/>
        </w:rPr>
        <w:t>6</w:t>
      </w:r>
    </w:p>
    <w:p>
      <w:pPr>
        <w:pStyle w:val="BodyText"/>
        <w:rPr>
          <w:sz w:val="12"/>
        </w:rPr>
      </w:pPr>
    </w:p>
    <w:p>
      <w:pPr>
        <w:pStyle w:val="BodyText"/>
        <w:spacing w:before="3"/>
        <w:rPr>
          <w:sz w:val="14"/>
        </w:rPr>
      </w:pPr>
    </w:p>
    <w:p>
      <w:pPr>
        <w:spacing w:before="0"/>
        <w:ind w:left="0" w:right="38" w:firstLine="0"/>
        <w:jc w:val="right"/>
        <w:rPr>
          <w:sz w:val="12"/>
        </w:rPr>
      </w:pPr>
      <w:r>
        <w:rPr>
          <w:sz w:val="12"/>
        </w:rPr>
        <w:t>5</w:t>
      </w:r>
    </w:p>
    <w:p>
      <w:pPr>
        <w:pStyle w:val="BodyText"/>
        <w:rPr>
          <w:sz w:val="12"/>
        </w:rPr>
      </w:pPr>
    </w:p>
    <w:p>
      <w:pPr>
        <w:pStyle w:val="BodyText"/>
        <w:spacing w:before="6"/>
        <w:rPr>
          <w:sz w:val="12"/>
        </w:rPr>
      </w:pPr>
    </w:p>
    <w:p>
      <w:pPr>
        <w:spacing w:before="0"/>
        <w:ind w:left="0" w:right="38" w:firstLine="0"/>
        <w:jc w:val="right"/>
        <w:rPr>
          <w:sz w:val="12"/>
        </w:rPr>
      </w:pPr>
      <w:r>
        <w:rPr>
          <w:sz w:val="12"/>
        </w:rPr>
        <w:t>4</w:t>
      </w:r>
    </w:p>
    <w:p>
      <w:pPr>
        <w:pStyle w:val="BodyText"/>
        <w:rPr>
          <w:sz w:val="12"/>
        </w:rPr>
      </w:pPr>
    </w:p>
    <w:p>
      <w:pPr>
        <w:pStyle w:val="BodyText"/>
        <w:spacing w:before="3"/>
        <w:rPr>
          <w:sz w:val="14"/>
        </w:rPr>
      </w:pPr>
    </w:p>
    <w:p>
      <w:pPr>
        <w:spacing w:before="1"/>
        <w:ind w:left="0" w:right="38" w:firstLine="0"/>
        <w:jc w:val="right"/>
        <w:rPr>
          <w:sz w:val="12"/>
        </w:rPr>
      </w:pPr>
      <w:r>
        <w:rPr>
          <w:sz w:val="12"/>
        </w:rPr>
        <w:t>3</w:t>
      </w:r>
    </w:p>
    <w:p>
      <w:pPr>
        <w:pStyle w:val="BodyText"/>
        <w:rPr>
          <w:sz w:val="12"/>
        </w:rPr>
      </w:pPr>
    </w:p>
    <w:p>
      <w:pPr>
        <w:pStyle w:val="BodyText"/>
        <w:spacing w:before="5"/>
        <w:rPr>
          <w:sz w:val="12"/>
        </w:rPr>
      </w:pPr>
    </w:p>
    <w:p>
      <w:pPr>
        <w:spacing w:before="1"/>
        <w:ind w:left="0" w:right="38" w:firstLine="0"/>
        <w:jc w:val="right"/>
        <w:rPr>
          <w:sz w:val="12"/>
        </w:rPr>
      </w:pPr>
      <w:r>
        <w:rPr>
          <w:sz w:val="12"/>
        </w:rPr>
        <w:t>2</w:t>
      </w:r>
    </w:p>
    <w:p>
      <w:pPr>
        <w:pStyle w:val="BodyText"/>
        <w:rPr>
          <w:sz w:val="12"/>
        </w:rPr>
      </w:pPr>
    </w:p>
    <w:p>
      <w:pPr>
        <w:pStyle w:val="BodyText"/>
        <w:spacing w:before="2"/>
        <w:rPr>
          <w:sz w:val="14"/>
        </w:rPr>
      </w:pPr>
    </w:p>
    <w:p>
      <w:pPr>
        <w:spacing w:before="1"/>
        <w:ind w:left="0" w:right="38" w:firstLine="0"/>
        <w:jc w:val="right"/>
        <w:rPr>
          <w:sz w:val="12"/>
        </w:rPr>
      </w:pPr>
      <w:r>
        <w:rPr/>
        <w:pict>
          <v:line style="position:absolute;mso-position-horizontal-relative:page;mso-position-vertical-relative:paragraph;z-index:15902208" from="204.5pt,4.151563pt" to="199.5pt,4.151563pt" stroked="true" strokeweight=".5pt" strokecolor="#000000">
            <v:stroke dashstyle="solid"/>
            <w10:wrap type="none"/>
          </v:line>
        </w:pict>
      </w:r>
      <w:r>
        <w:rPr>
          <w:sz w:val="12"/>
        </w:rPr>
        <w:t>1</w:t>
      </w:r>
    </w:p>
    <w:p>
      <w:pPr>
        <w:pStyle w:val="Heading5"/>
        <w:spacing w:line="242" w:lineRule="auto" w:before="207"/>
        <w:ind w:left="180" w:right="249"/>
      </w:pPr>
      <w:r>
        <w:rPr/>
        <w:br w:type="column"/>
      </w:r>
      <w:r>
        <w:rPr>
          <w:color w:val="231F20"/>
        </w:rPr>
        <w:t>should be less affected by changes in benefit conditions. According to the LFS, unemployment fell in the autumn by 150,000 to 6.6% of the workforce; its largest fall since quarterly surveys were first conducted in 1992.</w:t>
      </w:r>
    </w:p>
    <w:p>
      <w:pPr>
        <w:pStyle w:val="BodyText"/>
        <w:spacing w:before="3"/>
        <w:rPr>
          <w:sz w:val="21"/>
        </w:rPr>
      </w:pPr>
    </w:p>
    <w:p>
      <w:pPr>
        <w:spacing w:line="242" w:lineRule="auto" w:before="1"/>
        <w:ind w:left="180" w:right="219" w:firstLine="0"/>
        <w:jc w:val="left"/>
        <w:rPr>
          <w:sz w:val="24"/>
        </w:rPr>
      </w:pPr>
      <w:r>
        <w:rPr>
          <w:color w:val="231F20"/>
          <w:sz w:val="24"/>
        </w:rPr>
        <w:t>Changes in short-term unemployment (those unemployed for less than twelve months) are probably more important for gauging changes in labour market tightness than changes in long-term unemployment. It is likely that long-term unemployment exerts less downward pressure on wages, though it cannot be ignored. Short-term unemployment rose slightly in the summer, but resumed a downward path in the autumn, according to the LFS (see Chart 3.4): the fall in the total</w:t>
      </w:r>
    </w:p>
    <w:p>
      <w:pPr>
        <w:spacing w:after="0" w:line="242" w:lineRule="auto"/>
        <w:jc w:val="left"/>
        <w:rPr>
          <w:sz w:val="24"/>
        </w:rPr>
        <w:sectPr>
          <w:type w:val="continuous"/>
          <w:pgSz w:w="11880" w:h="16840"/>
          <w:pgMar w:top="1200" w:bottom="280" w:left="620" w:right="620"/>
          <w:cols w:num="3" w:equalWidth="0">
            <w:col w:w="2859" w:space="46"/>
            <w:col w:w="715" w:space="1165"/>
            <w:col w:w="5855"/>
          </w:cols>
        </w:sectPr>
      </w:pPr>
    </w:p>
    <w:p>
      <w:pPr>
        <w:spacing w:line="122" w:lineRule="exact" w:before="75"/>
        <w:ind w:left="3520" w:right="0" w:firstLine="0"/>
        <w:jc w:val="left"/>
        <w:rPr>
          <w:sz w:val="12"/>
        </w:rPr>
      </w:pPr>
      <w:r>
        <w:rPr/>
        <w:pict>
          <v:shape style="position:absolute;margin-left:39.5pt;margin-top:4.184563pt;width:165pt;height:4pt;mso-position-horizontal-relative:page;mso-position-vertical-relative:paragraph;z-index:15900160" coordorigin="790,84" coordsize="3300,80" path="m3830,164l3830,84m3390,164l3390,84m890,157l790,157m4090,157l3990,157m950,164l3950,164m950,164l950,124m990,164l990,124m1050,164l1050,124m1110,164l1110,124m1170,164l1170,124m1210,164l1210,124m1270,164l1270,124m1330,164l1330,124m1390,164l1390,124m1450,164l1450,124m1500,164l1500,124m1550,164l1550,124m1610,164l1610,124m1670,164l1670,124m1720,164l1720,124m1770,164l1770,124m1830,164l1830,124m1888,164l1888,124m1946,164l1946,124m2003,164l2003,124m2050,164l2050,124m2110,164l2110,124m2163,164l2163,124m2217,164l2217,124m2270,164l2270,124m2330,164l2330,124m2390,164l2390,124m2450,164l2450,124m2510,164l2510,124m2565,164l2565,124m2620,164l2620,124m2675,164l2675,124m2730,164l2730,124m2787,164l2787,124m2844,164l2844,124m2901,164l2901,124m2950,164l2950,124m3003,164l3003,124m3057,164l3057,124m3110,164l3110,124m3170,164l3170,124m3230,164l3230,124m3283,164l3283,124m3337,164l3337,124m3450,164l3450,124m3510,164l3510,124m3570,164l3570,124m3610,164l3610,124m3670,164l3670,124m3723,164l3723,124m3777,164l3777,124m3890,164l3890,124m3950,164l3950,124m950,164l950,84m1170,164l1170,84m1390,164l1390,84m1610,164l1610,84m1830,164l1830,84m2050,164l2050,84m2270,164l2270,84m2510,164l2510,84m2730,164l2730,84m2950,164l2950,84m3170,164l3170,84m3610,164l3610,84e" filled="false" stroked="true" strokeweight=".5pt" strokecolor="#000000">
            <v:path arrowok="t"/>
            <v:stroke dashstyle="solid"/>
            <w10:wrap type="none"/>
          </v:shape>
        </w:pict>
      </w:r>
      <w:r>
        <w:rPr>
          <w:sz w:val="12"/>
        </w:rPr>
        <w:t>0</w:t>
      </w:r>
    </w:p>
    <w:p>
      <w:pPr>
        <w:spacing w:line="122" w:lineRule="exact" w:before="0"/>
        <w:ind w:left="300" w:right="0" w:firstLine="0"/>
        <w:jc w:val="left"/>
        <w:rPr>
          <w:sz w:val="12"/>
        </w:rPr>
      </w:pPr>
      <w:r>
        <w:rPr>
          <w:sz w:val="12"/>
        </w:rPr>
        <w:t>1984 85 86 87 88 89 90 91 92 93 94 95 96 97</w:t>
      </w:r>
    </w:p>
    <w:p>
      <w:pPr>
        <w:spacing w:before="49"/>
        <w:ind w:left="180" w:right="0" w:firstLine="0"/>
        <w:jc w:val="left"/>
        <w:rPr>
          <w:sz w:val="12"/>
        </w:rPr>
      </w:pPr>
      <w:r>
        <w:rPr>
          <w:color w:val="231F20"/>
          <w:sz w:val="12"/>
        </w:rPr>
        <w:t>Source: LFS.</w:t>
      </w:r>
    </w:p>
    <w:p>
      <w:pPr>
        <w:pStyle w:val="BodyText"/>
        <w:spacing w:before="2"/>
        <w:rPr>
          <w:sz w:val="10"/>
        </w:rPr>
      </w:pPr>
    </w:p>
    <w:p>
      <w:pPr>
        <w:spacing w:line="208" w:lineRule="auto" w:before="0"/>
        <w:ind w:left="420" w:right="0" w:hanging="240"/>
        <w:jc w:val="left"/>
        <w:rPr>
          <w:sz w:val="12"/>
        </w:rPr>
      </w:pPr>
      <w:r>
        <w:rPr>
          <w:color w:val="231F20"/>
          <w:sz w:val="12"/>
        </w:rPr>
        <w:t>(a) Short-term is less than a year, calculated by the Bank as the difference between seasonally adjusted total unemployment and non-seasonally adjusted long-term unemployment, assuming no seasonal pattern</w:t>
      </w:r>
    </w:p>
    <w:p>
      <w:pPr>
        <w:spacing w:line="123" w:lineRule="exact" w:before="0"/>
        <w:ind w:left="420" w:right="0" w:firstLine="0"/>
        <w:jc w:val="left"/>
        <w:rPr>
          <w:sz w:val="12"/>
        </w:rPr>
      </w:pPr>
      <w:r>
        <w:rPr>
          <w:color w:val="231F20"/>
          <w:sz w:val="12"/>
        </w:rPr>
        <w:t>in the latter.</w:t>
      </w:r>
    </w:p>
    <w:p>
      <w:pPr>
        <w:pStyle w:val="BodyText"/>
        <w:rPr>
          <w:sz w:val="12"/>
        </w:rPr>
      </w:pPr>
    </w:p>
    <w:p>
      <w:pPr>
        <w:pStyle w:val="BodyText"/>
        <w:rPr>
          <w:sz w:val="12"/>
        </w:rPr>
      </w:pPr>
    </w:p>
    <w:p>
      <w:pPr>
        <w:pStyle w:val="BodyText"/>
        <w:rPr>
          <w:sz w:val="12"/>
        </w:rPr>
      </w:pPr>
    </w:p>
    <w:p>
      <w:pPr>
        <w:pStyle w:val="BodyText"/>
        <w:rPr>
          <w:sz w:val="12"/>
        </w:rPr>
      </w:pPr>
    </w:p>
    <w:p>
      <w:pPr>
        <w:pStyle w:val="Heading9"/>
        <w:spacing w:before="101"/>
        <w:ind w:left="180"/>
      </w:pPr>
      <w:r>
        <w:rPr>
          <w:color w:val="0093C1"/>
        </w:rPr>
        <w:t>Chart 3.5</w:t>
      </w:r>
    </w:p>
    <w:p>
      <w:pPr>
        <w:spacing w:before="10"/>
        <w:ind w:left="180" w:right="0" w:firstLine="0"/>
        <w:jc w:val="left"/>
        <w:rPr>
          <w:sz w:val="12"/>
        </w:rPr>
      </w:pPr>
      <w:r>
        <w:rPr>
          <w:b/>
          <w:color w:val="0093C1"/>
          <w:sz w:val="20"/>
        </w:rPr>
        <w:t>Non-employment</w:t>
      </w:r>
      <w:r>
        <w:rPr>
          <w:color w:val="231F20"/>
          <w:position w:val="4"/>
          <w:sz w:val="12"/>
        </w:rPr>
        <w:t>(a)</w:t>
      </w:r>
    </w:p>
    <w:p>
      <w:pPr>
        <w:spacing w:before="59"/>
        <w:ind w:left="1715" w:right="0" w:firstLine="0"/>
        <w:jc w:val="left"/>
        <w:rPr>
          <w:sz w:val="12"/>
        </w:rPr>
      </w:pPr>
      <w:r>
        <w:rPr/>
        <w:pict>
          <v:line style="position:absolute;mso-position-horizontal-relative:page;mso-position-vertical-relative:paragraph;z-index:15895552" from="50.667pt,11.71757pt" to="46.667pt,11.71757pt" stroked="true" strokeweight=".5pt" strokecolor="#000000">
            <v:stroke dashstyle="solid"/>
            <w10:wrap type="none"/>
          </v:line>
        </w:pict>
      </w:r>
      <w:r>
        <w:rPr/>
        <w:pict>
          <v:line style="position:absolute;mso-position-horizontal-relative:page;mso-position-vertical-relative:paragraph;z-index:-20190208" from="214.332993pt,11.38457pt" to="209.332993pt,11.38457pt" stroked="true" strokeweight=".5pt" strokecolor="#000000">
            <v:stroke dashstyle="solid"/>
            <w10:wrap type="none"/>
          </v:line>
        </w:pict>
      </w:r>
      <w:r>
        <w:rPr>
          <w:sz w:val="12"/>
        </w:rPr>
        <w:t>Percentage of population of working age</w:t>
      </w:r>
      <w:r>
        <w:rPr>
          <w:spacing w:val="14"/>
          <w:sz w:val="12"/>
        </w:rPr>
        <w:t> </w:t>
      </w:r>
      <w:r>
        <w:rPr>
          <w:position w:val="-8"/>
          <w:sz w:val="12"/>
        </w:rPr>
        <w:t>34</w:t>
      </w:r>
    </w:p>
    <w:p>
      <w:pPr>
        <w:pStyle w:val="BodyText"/>
        <w:spacing w:before="2"/>
        <w:rPr>
          <w:sz w:val="24"/>
        </w:rPr>
      </w:pPr>
    </w:p>
    <w:p>
      <w:pPr>
        <w:spacing w:before="0"/>
        <w:ind w:left="3716" w:right="0" w:firstLine="0"/>
        <w:jc w:val="left"/>
        <w:rPr>
          <w:sz w:val="12"/>
        </w:rPr>
      </w:pPr>
      <w:r>
        <w:rPr/>
        <w:pict>
          <v:line style="position:absolute;mso-position-horizontal-relative:page;mso-position-vertical-relative:paragraph;z-index:15895040" from="50.667pt,5.434563pt" to="46.667pt,5.434563pt" stroked="true" strokeweight=".5pt" strokecolor="#000000">
            <v:stroke dashstyle="solid"/>
            <w10:wrap type="none"/>
          </v:line>
        </w:pict>
      </w:r>
      <w:r>
        <w:rPr/>
        <w:pict>
          <v:line style="position:absolute;mso-position-horizontal-relative:page;mso-position-vertical-relative:paragraph;z-index:15899136" from="214.332993pt,5.101563pt" to="209.332993pt,5.101563pt" stroked="true" strokeweight=".5pt" strokecolor="#000000">
            <v:stroke dashstyle="solid"/>
            <w10:wrap type="none"/>
          </v:line>
        </w:pict>
      </w:r>
      <w:r>
        <w:rPr>
          <w:sz w:val="12"/>
        </w:rPr>
        <w:t>32</w:t>
      </w:r>
    </w:p>
    <w:p>
      <w:pPr>
        <w:pStyle w:val="BodyText"/>
        <w:rPr>
          <w:sz w:val="12"/>
        </w:rPr>
      </w:pPr>
    </w:p>
    <w:p>
      <w:pPr>
        <w:pStyle w:val="BodyText"/>
        <w:spacing w:before="3"/>
        <w:rPr>
          <w:sz w:val="14"/>
        </w:rPr>
      </w:pPr>
    </w:p>
    <w:p>
      <w:pPr>
        <w:spacing w:before="0"/>
        <w:ind w:left="3716" w:right="0" w:firstLine="0"/>
        <w:jc w:val="left"/>
        <w:rPr>
          <w:sz w:val="12"/>
        </w:rPr>
      </w:pPr>
      <w:r>
        <w:rPr/>
        <w:pict>
          <v:line style="position:absolute;mso-position-horizontal-relative:page;mso-position-vertical-relative:paragraph;z-index:15894528" from="50.667pt,4.434563pt" to="46.667pt,4.434563pt" stroked="true" strokeweight=".5pt" strokecolor="#000000">
            <v:stroke dashstyle="solid"/>
            <w10:wrap type="none"/>
          </v:line>
        </w:pict>
      </w:r>
      <w:r>
        <w:rPr/>
        <w:pict>
          <v:shape style="position:absolute;margin-left:55pt;margin-top:-5.898438pt;width:150pt;height:66pt;mso-position-horizontal-relative:page;mso-position-vertical-relative:paragraph;z-index:15896064" coordorigin="1100,-118" coordsize="3000,1320" path="m1100,-118l1140,-78,1200,-38,1260,22,1320,62,1360,62,1420,82,1540,82,1580,122,1760,242,1820,362,1860,482,1980,722,2100,922,2140,1022,2200,1122,2380,1182,2420,1202,2480,1122,2600,922,2700,722,2760,622,2880,382,2920,322,2980,282,3040,222,3160,222,3200,242,3260,262,3320,302,3380,322,3420,362,3480,402,3540,402,3600,482,3660,502,3700,542,3760,522,3820,562,3940,682,3980,702,4100,822e" filled="false" stroked="true" strokeweight="1pt" strokecolor="#40ad49">
            <v:path arrowok="t"/>
            <v:stroke dashstyle="solid"/>
            <w10:wrap type="none"/>
          </v:shape>
        </w:pict>
      </w:r>
      <w:r>
        <w:rPr/>
        <w:pict>
          <v:line style="position:absolute;mso-position-horizontal-relative:page;mso-position-vertical-relative:paragraph;z-index:15898624" from="214.332993pt,4.101563pt" to="209.332993pt,4.101563pt" stroked="true" strokeweight=".5pt" strokecolor="#000000">
            <v:stroke dashstyle="solid"/>
            <w10:wrap type="none"/>
          </v:line>
        </w:pict>
      </w:r>
      <w:r>
        <w:rPr>
          <w:sz w:val="12"/>
        </w:rPr>
        <w:t>30</w:t>
      </w:r>
    </w:p>
    <w:p>
      <w:pPr>
        <w:pStyle w:val="BodyText"/>
        <w:rPr>
          <w:sz w:val="12"/>
        </w:rPr>
      </w:pPr>
    </w:p>
    <w:p>
      <w:pPr>
        <w:pStyle w:val="BodyText"/>
        <w:spacing w:before="6"/>
        <w:rPr>
          <w:sz w:val="12"/>
        </w:rPr>
      </w:pPr>
    </w:p>
    <w:p>
      <w:pPr>
        <w:spacing w:before="0"/>
        <w:ind w:left="3716" w:right="0" w:firstLine="0"/>
        <w:jc w:val="left"/>
        <w:rPr>
          <w:sz w:val="12"/>
        </w:rPr>
      </w:pPr>
      <w:r>
        <w:rPr/>
        <w:pict>
          <v:line style="position:absolute;mso-position-horizontal-relative:page;mso-position-vertical-relative:paragraph;z-index:15894016" from="50.667pt,5.434563pt" to="46.667pt,5.434563pt" stroked="true" strokeweight=".5pt" strokecolor="#000000">
            <v:stroke dashstyle="solid"/>
            <w10:wrap type="none"/>
          </v:line>
        </w:pict>
      </w:r>
      <w:r>
        <w:rPr/>
        <w:pict>
          <v:line style="position:absolute;mso-position-horizontal-relative:page;mso-position-vertical-relative:paragraph;z-index:15898112" from="214.332993pt,5.101563pt" to="209.332993pt,5.101563pt" stroked="true" strokeweight=".5pt" strokecolor="#000000">
            <v:stroke dashstyle="solid"/>
            <w10:wrap type="none"/>
          </v:line>
        </w:pict>
      </w:r>
      <w:r>
        <w:rPr>
          <w:sz w:val="12"/>
        </w:rPr>
        <w:t>28</w:t>
      </w:r>
    </w:p>
    <w:p>
      <w:pPr>
        <w:pStyle w:val="BodyText"/>
        <w:rPr>
          <w:sz w:val="12"/>
        </w:rPr>
      </w:pPr>
    </w:p>
    <w:p>
      <w:pPr>
        <w:pStyle w:val="BodyText"/>
        <w:spacing w:before="3"/>
        <w:rPr>
          <w:sz w:val="14"/>
        </w:rPr>
      </w:pPr>
    </w:p>
    <w:p>
      <w:pPr>
        <w:spacing w:before="0"/>
        <w:ind w:left="3716" w:right="0" w:firstLine="0"/>
        <w:jc w:val="left"/>
        <w:rPr>
          <w:sz w:val="12"/>
        </w:rPr>
      </w:pPr>
      <w:r>
        <w:rPr/>
        <w:pict>
          <v:line style="position:absolute;mso-position-horizontal-relative:page;mso-position-vertical-relative:paragraph;z-index:15893504" from="50.667pt,4.434563pt" to="46.667pt,4.434563pt" stroked="true" strokeweight=".5pt" strokecolor="#000000">
            <v:stroke dashstyle="solid"/>
            <w10:wrap type="none"/>
          </v:line>
        </w:pict>
      </w:r>
      <w:r>
        <w:rPr/>
        <w:pict>
          <v:line style="position:absolute;mso-position-horizontal-relative:page;mso-position-vertical-relative:paragraph;z-index:15897600" from="214.332993pt,4.101563pt" to="209.332993pt,4.101563pt" stroked="true" strokeweight=".5pt" strokecolor="#000000">
            <v:stroke dashstyle="solid"/>
            <w10:wrap type="none"/>
          </v:line>
        </w:pict>
      </w:r>
      <w:r>
        <w:rPr>
          <w:sz w:val="12"/>
        </w:rPr>
        <w:t>26</w:t>
      </w:r>
    </w:p>
    <w:p>
      <w:pPr>
        <w:pStyle w:val="BodyText"/>
        <w:rPr>
          <w:sz w:val="12"/>
        </w:rPr>
      </w:pPr>
    </w:p>
    <w:p>
      <w:pPr>
        <w:pStyle w:val="BodyText"/>
        <w:spacing w:before="6"/>
        <w:rPr>
          <w:sz w:val="12"/>
        </w:rPr>
      </w:pPr>
    </w:p>
    <w:p>
      <w:pPr>
        <w:spacing w:before="0"/>
        <w:ind w:left="3716" w:right="0" w:firstLine="0"/>
        <w:jc w:val="left"/>
        <w:rPr>
          <w:sz w:val="12"/>
        </w:rPr>
      </w:pPr>
      <w:r>
        <w:rPr/>
        <w:pict>
          <v:line style="position:absolute;mso-position-horizontal-relative:page;mso-position-vertical-relative:paragraph;z-index:15892992" from="50.667pt,5.434563pt" to="46.667pt,5.434563pt" stroked="true" strokeweight=".5pt" strokecolor="#000000">
            <v:stroke dashstyle="solid"/>
            <w10:wrap type="none"/>
          </v:line>
        </w:pict>
      </w:r>
      <w:r>
        <w:rPr/>
        <w:pict>
          <v:line style="position:absolute;mso-position-horizontal-relative:page;mso-position-vertical-relative:paragraph;z-index:15897088" from="214.332993pt,5.101563pt" to="209.332993pt,5.101563pt" stroked="true" strokeweight=".5pt" strokecolor="#000000">
            <v:stroke dashstyle="solid"/>
            <w10:wrap type="none"/>
          </v:line>
        </w:pict>
      </w:r>
      <w:r>
        <w:rPr>
          <w:sz w:val="12"/>
        </w:rPr>
        <w:t>24</w:t>
      </w:r>
    </w:p>
    <w:p>
      <w:pPr>
        <w:pStyle w:val="BodyText"/>
        <w:rPr>
          <w:sz w:val="12"/>
        </w:rPr>
      </w:pPr>
    </w:p>
    <w:p>
      <w:pPr>
        <w:pStyle w:val="BodyText"/>
        <w:spacing w:before="3"/>
        <w:rPr>
          <w:sz w:val="14"/>
        </w:rPr>
      </w:pPr>
    </w:p>
    <w:p>
      <w:pPr>
        <w:spacing w:before="0"/>
        <w:ind w:left="3716" w:right="0" w:firstLine="0"/>
        <w:jc w:val="left"/>
        <w:rPr>
          <w:sz w:val="12"/>
        </w:rPr>
      </w:pPr>
      <w:r>
        <w:rPr/>
        <w:pict>
          <v:line style="position:absolute;mso-position-horizontal-relative:page;mso-position-vertical-relative:paragraph;z-index:15892480" from="50.667pt,4.434563pt" to="46.667pt,4.434563pt" stroked="true" strokeweight=".5pt" strokecolor="#000000">
            <v:stroke dashstyle="solid"/>
            <w10:wrap type="none"/>
          </v:line>
        </w:pict>
      </w:r>
      <w:r>
        <w:rPr/>
        <w:pict>
          <v:line style="position:absolute;mso-position-horizontal-relative:page;mso-position-vertical-relative:paragraph;z-index:15896576" from="214.332993pt,4.101563pt" to="209.332993pt,4.101563pt" stroked="true" strokeweight=".5pt" strokecolor="#000000">
            <v:stroke dashstyle="solid"/>
            <w10:wrap type="none"/>
          </v:line>
        </w:pict>
      </w:r>
      <w:r>
        <w:rPr>
          <w:sz w:val="12"/>
        </w:rPr>
        <w:t>22</w:t>
      </w:r>
    </w:p>
    <w:p>
      <w:pPr>
        <w:pStyle w:val="BodyText"/>
        <w:rPr>
          <w:sz w:val="12"/>
        </w:rPr>
      </w:pPr>
    </w:p>
    <w:p>
      <w:pPr>
        <w:pStyle w:val="BodyText"/>
        <w:spacing w:before="6"/>
        <w:rPr>
          <w:sz w:val="12"/>
        </w:rPr>
      </w:pPr>
    </w:p>
    <w:p>
      <w:pPr>
        <w:spacing w:before="1"/>
        <w:ind w:left="3716" w:right="0" w:firstLine="0"/>
        <w:jc w:val="left"/>
        <w:rPr>
          <w:sz w:val="12"/>
        </w:rPr>
      </w:pPr>
      <w:r>
        <w:rPr/>
        <w:pict>
          <v:group style="position:absolute;margin-left:46.667pt;margin-top:4.901563pt;width:169.1pt;height:7.5pt;mso-position-horizontal-relative:page;mso-position-vertical-relative:paragraph;z-index:15891968" coordorigin="933,98" coordsize="3382,150">
            <v:shape style="position:absolute;left:933;top:109;width:3354;height:134" coordorigin="933,110" coordsize="3354,134" path="m1013,110l933,110m940,243l4183,243m1080,243l1080,203m1140,243l1140,203m1196,243l1196,203m1252,241l1252,201m1300,243l1300,203m1360,243l1360,203m1420,243l1420,203m1480,243l1480,203m1540,243l1540,203m1587,243l1587,203m1644,243l1644,203m1700,243l1700,203m1760,243l1760,203m1805,243l1805,203m1862,243l1862,203m1920,243l1920,203m1980,243l1980,203m2040,243l2040,203m2090,243l2090,203m2140,243l2140,203m2200,243l2200,203m2260,243l2260,203m2310,243l2310,203m2360,243l2360,203m2420,243l2420,203m2480,243l2480,203m2540,243l2540,203m2600,243l2600,203m2640,243l2640,203m2700,243l2700,203m2760,243l2760,203m2820,243l2820,203m2880,243l2880,203m2930,243l2930,203m2985,243l2985,203m3040,243l3040,203m3100,243l3100,203m3150,243l3150,203m3205,243l3205,203m3260,243l3260,203m3320,243l3320,203m3367,243l3367,203m3424,243l3424,203m3480,243l3480,203m3540,243l3540,203m3600,243l3600,203m3650,243l3650,203m3700,243l3700,203m3760,243l3760,203m3820,243l3820,203m3870,243l3870,203m3920,243l3920,203m3980,243l3980,203m4040,243l4040,203m4100,243l4100,203m1080,243l1080,143m1300,243l1300,143m1540,243l1540,143m1760,243l1760,143m1980,243l1980,143m2200,243l2200,143m2420,243l2420,143m2640,243l2640,143m2880,243l2880,143m3100,243l3100,143m3320,243l3320,143m3540,243l3540,143m3760,243l3760,143m3980,243l3980,143m4287,243l4187,243e" filled="false" stroked="true" strokeweight=".5pt" strokecolor="#000000">
              <v:path arrowok="t"/>
              <v:stroke dashstyle="solid"/>
            </v:shape>
            <v:shape style="position:absolute;left:990;top:116;width:40;height:127" coordorigin="990,116" coordsize="40,127" path="m1010,116l1010,143,990,159,1030,173,990,193,1030,210,1007,220,1006,243e" filled="false" stroked="true" strokeweight=".5pt" strokecolor="#000000">
              <v:path arrowok="t"/>
              <v:stroke dashstyle="solid"/>
            </v:shape>
            <v:line style="position:absolute" from="4287,103" to="4187,103" stroked="true" strokeweight=".5pt" strokecolor="#000000">
              <v:stroke dashstyle="solid"/>
            </v:line>
            <v:shape style="position:absolute;left:4270;top:109;width:40;height:127" coordorigin="4270,110" coordsize="40,127" path="m4290,110l4290,136,4270,153,4310,166,4270,186,4310,203,4287,213,4286,236e" filled="false" stroked="true" strokeweight=".5pt" strokecolor="#000000">
              <v:path arrowok="t"/>
              <v:stroke dashstyle="solid"/>
            </v:shape>
            <w10:wrap type="none"/>
          </v:group>
        </w:pict>
      </w:r>
      <w:r>
        <w:rPr>
          <w:sz w:val="12"/>
        </w:rPr>
        <w:t>20</w:t>
      </w:r>
    </w:p>
    <w:p>
      <w:pPr>
        <w:spacing w:line="126" w:lineRule="exact" w:before="22"/>
        <w:ind w:left="3776" w:right="0" w:firstLine="0"/>
        <w:jc w:val="left"/>
        <w:rPr>
          <w:sz w:val="12"/>
        </w:rPr>
      </w:pPr>
      <w:r>
        <w:rPr>
          <w:sz w:val="12"/>
        </w:rPr>
        <w:t>0</w:t>
      </w:r>
    </w:p>
    <w:p>
      <w:pPr>
        <w:spacing w:line="126" w:lineRule="exact" w:before="0"/>
        <w:ind w:left="449" w:right="0" w:firstLine="0"/>
        <w:jc w:val="left"/>
        <w:rPr>
          <w:sz w:val="12"/>
        </w:rPr>
      </w:pPr>
      <w:r>
        <w:rPr>
          <w:sz w:val="12"/>
        </w:rPr>
        <w:t>1984 85 86 87 88 89 90 91 92 93 94 95 96 97</w:t>
      </w:r>
    </w:p>
    <w:p>
      <w:pPr>
        <w:spacing w:before="32"/>
        <w:ind w:left="180" w:right="0" w:firstLine="0"/>
        <w:jc w:val="left"/>
        <w:rPr>
          <w:sz w:val="12"/>
        </w:rPr>
      </w:pPr>
      <w:r>
        <w:rPr>
          <w:color w:val="231F20"/>
          <w:sz w:val="12"/>
        </w:rPr>
        <w:t>Source: LFS.</w:t>
      </w:r>
    </w:p>
    <w:p>
      <w:pPr>
        <w:pStyle w:val="BodyText"/>
        <w:spacing w:before="1"/>
        <w:rPr>
          <w:sz w:val="10"/>
        </w:rPr>
      </w:pPr>
    </w:p>
    <w:p>
      <w:pPr>
        <w:spacing w:line="208" w:lineRule="auto" w:before="1"/>
        <w:ind w:left="420" w:right="0" w:hanging="240"/>
        <w:jc w:val="left"/>
        <w:rPr>
          <w:sz w:val="12"/>
        </w:rPr>
      </w:pPr>
      <w:r>
        <w:rPr>
          <w:color w:val="231F20"/>
          <w:sz w:val="12"/>
        </w:rPr>
        <w:t>(a) The non-employment rate is the percentage of the population of working age who are not in work.</w:t>
      </w:r>
    </w:p>
    <w:p>
      <w:pPr>
        <w:pStyle w:val="Heading5"/>
        <w:spacing w:line="242" w:lineRule="auto" w:before="11"/>
        <w:ind w:left="180" w:right="202"/>
      </w:pPr>
      <w:r>
        <w:rPr/>
        <w:br w:type="column"/>
      </w:r>
      <w:r>
        <w:rPr>
          <w:color w:val="231F20"/>
        </w:rPr>
        <w:t>of 150,000 was evenly distributed between short-term and long-term unemployment. Another measure of labour market slack is provided by the proportion of the population of working age who are not employed. This measure, called the non-employment rate, is wider than unemployment, because it includes all those who are potentially available for work, perhaps now or with a short lag, and those who are never likely to work. It also fell in the autumn, to 26.6%, from 26.9% in the summer (see Chart 3.5). The measure of labour market tightness used in the central inflation projection is the</w:t>
      </w:r>
    </w:p>
    <w:p>
      <w:pPr>
        <w:spacing w:line="242" w:lineRule="auto" w:before="14"/>
        <w:ind w:left="180" w:right="202" w:firstLine="0"/>
        <w:jc w:val="left"/>
        <w:rPr>
          <w:sz w:val="24"/>
        </w:rPr>
      </w:pPr>
      <w:r>
        <w:rPr>
          <w:color w:val="231F20"/>
          <w:sz w:val="24"/>
        </w:rPr>
        <w:t>non-employment rate relative to any likely shifts in its equilibrium level. But the risks to the central projection incorporate the view that the LFS measure of unemployment, particularly short-term unemployment, may indicate an even tighter labour market.</w:t>
      </w:r>
    </w:p>
    <w:p>
      <w:pPr>
        <w:pStyle w:val="BodyText"/>
        <w:spacing w:before="5"/>
        <w:rPr>
          <w:sz w:val="21"/>
        </w:rPr>
      </w:pPr>
    </w:p>
    <w:p>
      <w:pPr>
        <w:spacing w:line="242" w:lineRule="auto" w:before="0"/>
        <w:ind w:left="180" w:right="174" w:firstLine="0"/>
        <w:jc w:val="left"/>
        <w:rPr>
          <w:sz w:val="24"/>
        </w:rPr>
      </w:pPr>
      <w:r>
        <w:rPr>
          <w:color w:val="231F20"/>
          <w:sz w:val="24"/>
        </w:rPr>
        <w:t>Employment has continued to grow strongly. According to the LFS, employment rose by 117,000 in autumn 1997 or 0.4% on the previous quarter, a slightly faster pace than in the summer. This comprised a rise of 152,000 in employees in employment, which was offset by a fall in self-employment and workers on government schemes.</w:t>
      </w:r>
    </w:p>
    <w:p>
      <w:pPr>
        <w:spacing w:line="242" w:lineRule="auto" w:before="8"/>
        <w:ind w:left="180" w:right="178" w:firstLine="0"/>
        <w:jc w:val="left"/>
        <w:rPr>
          <w:sz w:val="24"/>
        </w:rPr>
      </w:pPr>
      <w:r>
        <w:rPr>
          <w:color w:val="231F20"/>
          <w:sz w:val="24"/>
        </w:rPr>
        <w:t>Although an industrial breakdown is not yet available for the autumn, at least part of the fall in self-employment was probably in construction, where there has recently been a switch out of self-employment into employee status. This reflected revised Inland Revenue treatment of sub-contractors, which reduced the attractiveness of self-employment. There was also a significant increase in employment of 73,000 (0.3%) during 1997 Q3 according to the </w:t>
      </w:r>
      <w:r>
        <w:rPr>
          <w:color w:val="231F20"/>
          <w:spacing w:val="-3"/>
          <w:sz w:val="24"/>
        </w:rPr>
        <w:t>Workforce </w:t>
      </w:r>
      <w:r>
        <w:rPr>
          <w:color w:val="231F20"/>
          <w:sz w:val="24"/>
        </w:rPr>
        <w:t>in Employment measure (estimated by the ONS from a quarterly survey of businesses). Within this series, there was a large rise in service sector employment, where the number of employees increased by 69,000. Though the number of manufacturing employees fell by 20,000 in Q3, it rose </w:t>
      </w:r>
      <w:r>
        <w:rPr>
          <w:color w:val="231F20"/>
          <w:spacing w:val="-9"/>
          <w:sz w:val="24"/>
        </w:rPr>
        <w:t>by </w:t>
      </w:r>
      <w:r>
        <w:rPr>
          <w:color w:val="231F20"/>
          <w:sz w:val="24"/>
        </w:rPr>
        <w:t>9,000 in the two months to </w:t>
      </w:r>
      <w:r>
        <w:rPr>
          <w:color w:val="231F20"/>
          <w:spacing w:val="-3"/>
          <w:sz w:val="24"/>
        </w:rPr>
        <w:t>November.</w:t>
      </w:r>
    </w:p>
    <w:p>
      <w:pPr>
        <w:spacing w:after="0" w:line="242" w:lineRule="auto"/>
        <w:jc w:val="left"/>
        <w:rPr>
          <w:sz w:val="24"/>
        </w:rPr>
        <w:sectPr>
          <w:type w:val="continuous"/>
          <w:pgSz w:w="11880" w:h="16840"/>
          <w:pgMar w:top="1200" w:bottom="280" w:left="620" w:right="620"/>
          <w:cols w:num="2" w:equalWidth="0">
            <w:col w:w="3953" w:space="833"/>
            <w:col w:w="5854"/>
          </w:cols>
        </w:sectPr>
      </w:pPr>
    </w:p>
    <w:p>
      <w:pPr>
        <w:pStyle w:val="BodyText"/>
        <w:rPr>
          <w:sz w:val="20"/>
        </w:rPr>
      </w:pPr>
    </w:p>
    <w:p>
      <w:pPr>
        <w:spacing w:line="242" w:lineRule="auto" w:before="207"/>
        <w:ind w:left="4990" w:right="201" w:firstLine="0"/>
        <w:jc w:val="left"/>
        <w:rPr>
          <w:sz w:val="24"/>
        </w:rPr>
      </w:pPr>
      <w:r>
        <w:rPr>
          <w:color w:val="231F20"/>
          <w:sz w:val="24"/>
        </w:rPr>
        <w:t>Evidence on recruitment intentions suggests that employment growth will remain at around its current level in early 1998. In their January surveys, both the CBI and the British Chambers of Commerce (BCC) showed manufacturers’ employment intentions strengthening,</w:t>
      </w:r>
      <w:r>
        <w:rPr>
          <w:color w:val="231F20"/>
          <w:position w:val="5"/>
          <w:sz w:val="16"/>
        </w:rPr>
        <w:t>(1) </w:t>
      </w:r>
      <w:r>
        <w:rPr>
          <w:color w:val="231F20"/>
          <w:sz w:val="24"/>
        </w:rPr>
        <w:t>for the first few months of 1998.</w:t>
      </w:r>
    </w:p>
    <w:p>
      <w:pPr>
        <w:spacing w:line="242" w:lineRule="auto" w:before="8"/>
        <w:ind w:left="4990" w:right="324" w:firstLine="0"/>
        <w:jc w:val="left"/>
        <w:rPr>
          <w:sz w:val="24"/>
        </w:rPr>
      </w:pPr>
      <w:r>
        <w:rPr>
          <w:color w:val="231F20"/>
          <w:sz w:val="24"/>
        </w:rPr>
        <w:t>Though the unadjusted BCC Survey indicated a fall in service sector intentions, analysis by the Bank suggests that this was largely seasonal and that the balance of companies expecting to increase employment was little different from the October survey.</w:t>
      </w:r>
    </w:p>
    <w:p>
      <w:pPr>
        <w:pStyle w:val="BodyText"/>
        <w:spacing w:before="9"/>
      </w:pPr>
    </w:p>
    <w:p>
      <w:pPr>
        <w:spacing w:after="0"/>
        <w:sectPr>
          <w:pgSz w:w="11880" w:h="16840"/>
          <w:pgMar w:header="566" w:footer="597" w:top="760" w:bottom="780" w:left="620" w:right="620"/>
        </w:sectPr>
      </w:pPr>
    </w:p>
    <w:p>
      <w:pPr>
        <w:pStyle w:val="BodyText"/>
        <w:rPr>
          <w:sz w:val="22"/>
        </w:rPr>
      </w:pPr>
    </w:p>
    <w:p>
      <w:pPr>
        <w:pStyle w:val="BodyText"/>
        <w:rPr>
          <w:sz w:val="22"/>
        </w:rPr>
      </w:pPr>
    </w:p>
    <w:p>
      <w:pPr>
        <w:pStyle w:val="BodyText"/>
        <w:rPr>
          <w:sz w:val="22"/>
        </w:rPr>
      </w:pPr>
    </w:p>
    <w:p>
      <w:pPr>
        <w:pStyle w:val="Heading9"/>
        <w:spacing w:before="165"/>
        <w:ind w:left="195"/>
      </w:pPr>
      <w:r>
        <w:rPr>
          <w:color w:val="0093C1"/>
        </w:rPr>
        <w:t>Chart 3.6</w:t>
      </w:r>
    </w:p>
    <w:p>
      <w:pPr>
        <w:spacing w:before="10"/>
        <w:ind w:left="195" w:right="0" w:firstLine="0"/>
        <w:jc w:val="left"/>
        <w:rPr>
          <w:b/>
          <w:sz w:val="20"/>
        </w:rPr>
      </w:pPr>
      <w:r>
        <w:rPr>
          <w:b/>
          <w:color w:val="0093C1"/>
          <w:sz w:val="20"/>
        </w:rPr>
        <w:t>Labour shortages</w:t>
      </w:r>
    </w:p>
    <w:p>
      <w:pPr>
        <w:pStyle w:val="BodyText"/>
        <w:spacing w:before="9" w:after="40"/>
        <w:rPr>
          <w:b/>
          <w:sz w:val="16"/>
        </w:rPr>
      </w:pPr>
    </w:p>
    <w:p>
      <w:pPr>
        <w:pStyle w:val="BodyText"/>
        <w:spacing w:line="20" w:lineRule="exact"/>
        <w:ind w:left="390"/>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8"/>
        </w:rPr>
      </w:pPr>
    </w:p>
    <w:p>
      <w:pPr>
        <w:spacing w:before="0"/>
        <w:ind w:left="195" w:right="0" w:firstLine="0"/>
        <w:jc w:val="left"/>
        <w:rPr>
          <w:sz w:val="12"/>
        </w:rPr>
      </w:pPr>
      <w:r>
        <w:rPr>
          <w:sz w:val="12"/>
        </w:rPr>
        <w:t>Percentage</w:t>
      </w:r>
      <w:r>
        <w:rPr>
          <w:spacing w:val="8"/>
          <w:sz w:val="12"/>
        </w:rPr>
        <w:t> </w:t>
      </w:r>
      <w:r>
        <w:rPr>
          <w:position w:val="-7"/>
          <w:sz w:val="12"/>
        </w:rPr>
        <w:t>60</w:t>
      </w:r>
    </w:p>
    <w:p>
      <w:pPr>
        <w:pStyle w:val="BodyText"/>
        <w:rPr>
          <w:sz w:val="20"/>
        </w:rPr>
      </w:pPr>
    </w:p>
    <w:p>
      <w:pPr>
        <w:spacing w:before="127"/>
        <w:ind w:left="0" w:right="38" w:firstLine="0"/>
        <w:jc w:val="right"/>
        <w:rPr>
          <w:sz w:val="12"/>
        </w:rPr>
      </w:pPr>
      <w:r>
        <w:rPr/>
        <w:pict>
          <v:group style="position:absolute;margin-left:50.75pt;margin-top:6.701562pt;width:163pt;height:133.75pt;mso-position-horizontal-relative:page;mso-position-vertical-relative:paragraph;z-index:15905280" coordorigin="1015,134" coordsize="3260,2675">
            <v:shape style="position:absolute;left:1015;top:204;width:3260;height:2600" coordorigin="1015,204" coordsize="3260,2600" path="m3795,2804l3795,2724m3215,2804l3215,2724m2655,2804l2655,2724m1495,2804l1495,2724m1135,2804l4155,2804m1095,2704l1015,2704m1135,2804l1135,2764m1255,2804l1255,2764m1375,2804l1375,2764m1611,2804l1611,2764m1727,2804l1727,2764m1843,2804l1843,2764m1959,2804l1959,2764m2191,2804l2191,2764m2307,2804l2307,2764m2423,2804l2423,2764m2539,2804l2539,2764m2767,2804l2767,2764m2879,2804l2879,2764m2991,2804l2991,2764m3103,2804l3103,2764m3331,2804l3331,2764m3447,2804l3447,2764m3563,2804l3563,2764m3679,2804l3679,2764m3915,2804l3915,2764m4035,2804l4035,2764m4275,2704l4195,2704m4155,2804l4155,2764m2075,2804l2075,2724m1095,2204l1015,2204m1095,1704l1015,1704m1095,1204l1015,1204m1095,704l1015,704m1095,204l1015,204e" filled="false" stroked="true" strokeweight=".5pt" strokecolor="#000000">
              <v:path arrowok="t"/>
              <v:stroke dashstyle="solid"/>
            </v:shape>
            <v:shape style="position:absolute;left:1135;top:144;width:2760;height:2460" coordorigin="1135,144" coordsize="2760,2460" path="m1135,2204l1175,2064,1195,2104,1235,2064,1255,1604,1295,1204,1315,544,1355,144,1375,1344,1395,704,1435,644,1455,1004,1495,1564,1515,1904,1555,2004,1575,2104,1615,2264,1635,2064,1655,1904,1695,1944m1695,1964l1715,1964,1755,1564,1775,1664,1815,1764,1835,1804,1875,1704,1895,1604,1915,1344,1955,1704,1975,1564,2015,1664,2035,1704,2075,2064,2095,2204,2135,2464,2155,2504,2195,2604,2215,2604,2235,2564m2235,2564l2295,2564,2335,2604,2355,2504,2395,2564,2415,2604,2455,2504,2475,2404,2495,2404,2535,2364,2555,2304,2595,2264,2615,2264,2655,2164,2675,2104,2715,1944,2735,1944,2755,2204,2795,2064m2795,2064l2815,2104,2855,2104,2875,2264,2915,2104,2935,1804,2955,1764,2995,1704,3015,1764,3055,1604,3075,1304,3115,1444,3135,1604,3175,1504,3195,1764,3215,1804,3255,2064,3275,1944,3315,2204,3335,2404m3335,2404l3375,2404,3395,2464,3435,2464,3455,2504,3475,2464,3515,2504,3535,2564,3575,2564,3595,2404,3635,2464,3655,2304,3695,2464,3715,2364,3755,2264,3775,2204,3795,2204,3835,2164,3855,2204,3895,2204e" filled="false" stroked="true" strokeweight="1pt" strokecolor="#ed1b2d">
              <v:path arrowok="t"/>
              <v:stroke dashstyle="solid"/>
            </v:shape>
            <v:line style="position:absolute" from="4275,2204" to="4195,2204" stroked="true" strokeweight=".5pt" strokecolor="#000000">
              <v:stroke dashstyle="solid"/>
            </v:line>
            <v:shape style="position:absolute;left:3885;top:1834;width:280;height:440" type="#_x0000_t75" stroked="false">
              <v:imagedata r:id="rId50" o:title=""/>
            </v:shape>
            <v:shape style="position:absolute;left:1135;top:1344;width:2760;height:1360" coordorigin="1135,1344" coordsize="2760,1360" path="m1135,2664l1175,2564,1195,2504,1235,2564,1255,2264,1295,1904,1315,1564,1355,1344,1375,2204,1395,1764,1435,1804,1455,1944,1495,2504,1515,2564,1555,2604,1575,2604,1615,2664,1635,2564,1695,2564m1695,2564l1715,2464,1755,2464,1775,2404,1815,2464,1835,2504,1895,2504,1915,2464,1955,2504,1975,2404,2015,2464,2035,2564,2075,2604,2095,2664,2135,2704,2155,2664,2195,2704,2215,2704,2235,2664m2235,2664l2275,2664,2295,2704,2335,2664,2355,2664,2395,2704,2415,2604,2455,2664,2495,2664,2535,2604,2555,2664,2675,2664,2715,2604,2735,2664,2875,2664,2915,2604,2935,2564,2955,2464,2995,2504,3015,2564,3055,2404,3075,2504,3115,2464,3135,2564,3175,2504,3195,2564,3215,2604,3255,2604,3275,2564,3315,2604,3335,2664m3335,2664l3435,2664,3455,2704,3475,2664,3515,2664,3535,2704,3575,2704,3595,2604,3635,2664,3715,2664,3755,2604,3835,2604,3855,2664,3895,2604e" filled="false" stroked="true" strokeweight="1pt" strokecolor="#40ad49">
              <v:path arrowok="t"/>
              <v:stroke dashstyle="solid"/>
            </v:shape>
            <v:shape style="position:absolute;left:3885;top:2434;width:280;height:240" type="#_x0000_t75" stroked="false">
              <v:imagedata r:id="rId51" o:title=""/>
            </v:shape>
            <v:line style="position:absolute" from="3520,1934" to="3240,2459" stroked="true" strokeweight=".5pt" strokecolor="#000000">
              <v:stroke dashstyle="solid"/>
            </v:line>
            <v:shape style="position:absolute;left:3208;top:2432;width:63;height:87" coordorigin="3208,2432" coordsize="63,87" path="m3226,2432l3214,2500,3208,2519,3213,2512,3270,2456,3226,2432xe" filled="true" fillcolor="#000000" stroked="false">
              <v:path arrowok="t"/>
              <v:fill type="solid"/>
            </v:shape>
            <v:shape style="position:absolute;left:1485;top:927;width:860;height:133" type="#_x0000_t202" filled="false" stroked="false">
              <v:textbox inset="0,0,0,0">
                <w:txbxContent>
                  <w:p>
                    <w:pPr>
                      <w:spacing w:line="133" w:lineRule="exact" w:before="0"/>
                      <w:ind w:left="0" w:right="0" w:firstLine="0"/>
                      <w:jc w:val="left"/>
                      <w:rPr>
                        <w:sz w:val="12"/>
                      </w:rPr>
                    </w:pPr>
                    <w:r>
                      <w:rPr>
                        <w:sz w:val="12"/>
                      </w:rPr>
                      <w:t>Skilled labour (a)</w:t>
                    </w:r>
                  </w:p>
                </w:txbxContent>
              </v:textbox>
              <w10:wrap type="none"/>
            </v:shape>
            <v:shape style="position:absolute;left:3330;top:1677;width:590;height:233" type="#_x0000_t202" filled="false" stroked="false">
              <v:textbox inset="0,0,0,0">
                <w:txbxContent>
                  <w:p>
                    <w:pPr>
                      <w:spacing w:line="172" w:lineRule="auto" w:before="26"/>
                      <w:ind w:left="100" w:right="0" w:hanging="100"/>
                      <w:jc w:val="left"/>
                      <w:rPr>
                        <w:sz w:val="12"/>
                      </w:rPr>
                    </w:pPr>
                    <w:r>
                      <w:rPr>
                        <w:sz w:val="12"/>
                      </w:rPr>
                      <w:t>Unskilled labour (a)</w:t>
                    </w:r>
                  </w:p>
                </w:txbxContent>
              </v:textbox>
              <w10:wrap type="none"/>
            </v:shape>
            <w10:wrap type="none"/>
          </v:group>
        </w:pict>
      </w:r>
      <w:r>
        <w:rPr/>
        <w:pict>
          <v:line style="position:absolute;mso-position-horizontal-relative:page;mso-position-vertical-relative:paragraph;z-index:15907328" from="213.75pt,10.201563pt" to="209.75pt,10.201563pt" stroked="true" strokeweight=".5pt" strokecolor="#000000">
            <v:stroke dashstyle="solid"/>
            <w10:wrap type="none"/>
          </v:line>
        </w:pict>
      </w:r>
      <w:r>
        <w:rPr/>
        <w:pict>
          <v:line style="position:absolute;mso-position-horizontal-relative:page;mso-position-vertical-relative:paragraph;z-index:-20182016" from="213.75pt,-14.798437pt" to="209.75pt,-14.798437pt" stroked="true" strokeweight=".5pt" strokecolor="#000000">
            <v:stroke dashstyle="solid"/>
            <w10:wrap type="none"/>
          </v:line>
        </w:pict>
      </w:r>
      <w:r>
        <w:rPr>
          <w:sz w:val="12"/>
        </w:rPr>
        <w:t>50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6816" from="213.75pt,8.151563pt" to="209.75pt,8.151563pt" stroked="true" strokeweight=".5pt" strokecolor="#000000">
            <v:stroke dashstyle="solid"/>
            <w10:wrap type="none"/>
          </v:line>
        </w:pict>
      </w:r>
      <w:r>
        <w:rPr>
          <w:sz w:val="12"/>
        </w:rPr>
        <w:t>40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906304" from="213.75pt,8.151563pt" to="209.75pt,8.151563pt" stroked="true" strokeweight=".5pt" strokecolor="#000000">
            <v:stroke dashstyle="solid"/>
            <w10:wrap type="none"/>
          </v:line>
        </w:pict>
      </w:r>
      <w:r>
        <w:rPr>
          <w:sz w:val="12"/>
        </w:rPr>
        <w:t>30</w:t>
      </w:r>
    </w:p>
    <w:p>
      <w:pPr>
        <w:pStyle w:val="BodyText"/>
        <w:rPr>
          <w:sz w:val="12"/>
        </w:rPr>
      </w:pP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905792" from="213.75pt,8.151563pt" to="209.75pt,8.151563pt" stroked="true" strokeweight=".5pt" strokecolor="#000000">
            <v:stroke dashstyle="solid"/>
            <w10:wrap type="none"/>
          </v:line>
        </w:pict>
      </w:r>
      <w:r>
        <w:rPr>
          <w:sz w:val="12"/>
        </w:rPr>
        <w:t>20</w:t>
      </w:r>
    </w:p>
    <w:p>
      <w:pPr>
        <w:pStyle w:val="BodyText"/>
        <w:rPr>
          <w:sz w:val="12"/>
        </w:rPr>
      </w:pPr>
    </w:p>
    <w:p>
      <w:pPr>
        <w:pStyle w:val="BodyText"/>
        <w:rPr>
          <w:sz w:val="12"/>
        </w:rPr>
      </w:pPr>
    </w:p>
    <w:p>
      <w:pPr>
        <w:spacing w:before="86"/>
        <w:ind w:left="0" w:right="38" w:firstLine="0"/>
        <w:jc w:val="right"/>
        <w:rPr>
          <w:sz w:val="12"/>
        </w:rPr>
      </w:pPr>
      <w:r>
        <w:rPr>
          <w:sz w:val="12"/>
        </w:rPr>
        <w:t>10</w:t>
      </w:r>
    </w:p>
    <w:p>
      <w:pPr>
        <w:pStyle w:val="BodyText"/>
        <w:rPr>
          <w:sz w:val="12"/>
        </w:rPr>
      </w:pPr>
    </w:p>
    <w:p>
      <w:pPr>
        <w:pStyle w:val="BodyText"/>
        <w:rPr>
          <w:sz w:val="12"/>
        </w:rPr>
      </w:pPr>
    </w:p>
    <w:p>
      <w:pPr>
        <w:spacing w:before="87"/>
        <w:ind w:left="0" w:right="38" w:firstLine="0"/>
        <w:jc w:val="right"/>
        <w:rPr>
          <w:sz w:val="12"/>
        </w:rPr>
      </w:pPr>
      <w:r>
        <w:rPr>
          <w:sz w:val="12"/>
        </w:rPr>
        <w:t>0</w:t>
      </w:r>
    </w:p>
    <w:p>
      <w:pPr>
        <w:pStyle w:val="Heading5"/>
        <w:spacing w:line="242" w:lineRule="auto" w:before="90"/>
        <w:ind w:left="195" w:right="658"/>
      </w:pPr>
      <w:r>
        <w:rPr/>
        <w:br w:type="column"/>
      </w:r>
      <w:r>
        <w:rPr>
          <w:color w:val="231F20"/>
        </w:rPr>
        <w:t>Total hours worked per week are a better measure of labour usage than employment, since they reflect changes in overtime and the balance between</w:t>
      </w:r>
    </w:p>
    <w:p>
      <w:pPr>
        <w:spacing w:line="242" w:lineRule="auto" w:before="4"/>
        <w:ind w:left="195" w:right="228" w:firstLine="0"/>
        <w:jc w:val="left"/>
        <w:rPr>
          <w:sz w:val="24"/>
        </w:rPr>
      </w:pPr>
      <w:r>
        <w:rPr>
          <w:color w:val="231F20"/>
          <w:sz w:val="24"/>
        </w:rPr>
        <w:t>full-time and part-time workers. According to the LFS, these rose by 0.6% in the autumn, the same rate of increase as in the summer but more than the rise in employment.</w:t>
      </w:r>
    </w:p>
    <w:p>
      <w:pPr>
        <w:pStyle w:val="BodyText"/>
        <w:spacing w:before="6"/>
        <w:rPr>
          <w:sz w:val="26"/>
        </w:rPr>
      </w:pPr>
    </w:p>
    <w:p>
      <w:pPr>
        <w:spacing w:line="242" w:lineRule="auto" w:before="0"/>
        <w:ind w:left="195" w:right="145" w:firstLine="0"/>
        <w:jc w:val="left"/>
        <w:rPr>
          <w:sz w:val="24"/>
        </w:rPr>
      </w:pPr>
      <w:r>
        <w:rPr>
          <w:color w:val="231F20"/>
          <w:sz w:val="24"/>
        </w:rPr>
        <w:t>Indications of increasing labour market tightness are also evident from survey measures of labour shortages.</w:t>
      </w:r>
    </w:p>
    <w:p>
      <w:pPr>
        <w:spacing w:line="280" w:lineRule="exact" w:before="3"/>
        <w:ind w:left="195" w:right="210" w:firstLine="0"/>
        <w:jc w:val="left"/>
        <w:rPr>
          <w:sz w:val="24"/>
        </w:rPr>
      </w:pPr>
      <w:r>
        <w:rPr>
          <w:color w:val="231F20"/>
          <w:sz w:val="24"/>
        </w:rPr>
        <w:t>There was a marked rise in perceived labour shortages during 1997, according to the CBI Industrial Trends Survey. This was true of unskilled labour as well as skilled. Though skilled labour shortages fell back slightly in the latest January Survey, they remained high (see Chart 3.6). Furthermore, the shortages of unskilled labour in the January Survey stayed close to their</w:t>
      </w:r>
    </w:p>
    <w:p>
      <w:pPr>
        <w:spacing w:after="0" w:line="280" w:lineRule="exact"/>
        <w:jc w:val="left"/>
        <w:rPr>
          <w:sz w:val="24"/>
        </w:rPr>
        <w:sectPr>
          <w:type w:val="continuous"/>
          <w:pgSz w:w="11880" w:h="16840"/>
          <w:pgMar w:top="1200" w:bottom="280" w:left="620" w:right="620"/>
          <w:cols w:num="3" w:equalWidth="0">
            <w:col w:w="1741" w:space="1189"/>
            <w:col w:w="921" w:space="944"/>
            <w:col w:w="5845"/>
          </w:cols>
        </w:sectPr>
      </w:pPr>
    </w:p>
    <w:p>
      <w:pPr>
        <w:tabs>
          <w:tab w:pos="1434" w:val="left" w:leader="none"/>
          <w:tab w:pos="2014" w:val="left" w:leader="none"/>
          <w:tab w:pos="2594" w:val="left" w:leader="none"/>
          <w:tab w:pos="3174" w:val="left" w:leader="none"/>
        </w:tabs>
        <w:spacing w:line="2" w:lineRule="exact" w:before="0"/>
        <w:ind w:left="415" w:right="0" w:firstLine="0"/>
        <w:jc w:val="left"/>
        <w:rPr>
          <w:sz w:val="12"/>
        </w:rPr>
      </w:pPr>
      <w:r>
        <w:rPr>
          <w:sz w:val="12"/>
        </w:rPr>
        <w:t>1972     </w:t>
      </w:r>
      <w:r>
        <w:rPr>
          <w:spacing w:val="20"/>
          <w:sz w:val="12"/>
        </w:rPr>
        <w:t> </w:t>
      </w:r>
      <w:r>
        <w:rPr>
          <w:sz w:val="12"/>
        </w:rPr>
        <w:t>75</w:t>
        <w:tab/>
        <w:t>80</w:t>
        <w:tab/>
        <w:t>85</w:t>
        <w:tab/>
        <w:t>90</w:t>
        <w:tab/>
        <w:t>95</w:t>
      </w:r>
    </w:p>
    <w:p>
      <w:pPr>
        <w:spacing w:before="81"/>
        <w:ind w:left="195" w:right="0" w:firstLine="0"/>
        <w:jc w:val="left"/>
        <w:rPr>
          <w:sz w:val="12"/>
        </w:rPr>
      </w:pPr>
      <w:r>
        <w:rPr>
          <w:color w:val="231F20"/>
          <w:sz w:val="12"/>
        </w:rPr>
        <w:t>Source: CBI.</w:t>
      </w:r>
    </w:p>
    <w:p>
      <w:pPr>
        <w:pStyle w:val="BodyText"/>
        <w:spacing w:before="1"/>
        <w:rPr>
          <w:sz w:val="10"/>
        </w:rPr>
      </w:pPr>
    </w:p>
    <w:p>
      <w:pPr>
        <w:pStyle w:val="ListParagraph"/>
        <w:numPr>
          <w:ilvl w:val="0"/>
          <w:numId w:val="20"/>
        </w:numPr>
        <w:tabs>
          <w:tab w:pos="435" w:val="left" w:leader="none"/>
        </w:tabs>
        <w:spacing w:line="208" w:lineRule="auto" w:before="0" w:after="0"/>
        <w:ind w:left="435" w:right="38" w:hanging="240"/>
        <w:jc w:val="left"/>
        <w:rPr>
          <w:sz w:val="12"/>
        </w:rPr>
      </w:pPr>
      <w:r>
        <w:rPr>
          <w:color w:val="231F20"/>
          <w:sz w:val="12"/>
        </w:rPr>
        <w:t>Percentage of firms expecting output to be constrained </w:t>
      </w:r>
      <w:r>
        <w:rPr>
          <w:color w:val="231F20"/>
          <w:spacing w:val="-5"/>
          <w:sz w:val="12"/>
        </w:rPr>
        <w:t>over </w:t>
      </w:r>
      <w:r>
        <w:rPr>
          <w:color w:val="231F20"/>
          <w:sz w:val="12"/>
        </w:rPr>
        <w:t>next four months by these factors.</w:t>
      </w:r>
    </w:p>
    <w:p>
      <w:pPr>
        <w:pStyle w:val="Heading5"/>
        <w:spacing w:line="242" w:lineRule="auto"/>
        <w:ind w:left="195" w:right="145"/>
      </w:pPr>
      <w:r>
        <w:rPr/>
        <w:br w:type="column"/>
      </w:r>
      <w:r>
        <w:rPr>
          <w:color w:val="231F20"/>
        </w:rPr>
        <w:t>previous cyclical peak in 1988. The CBI Survey only covers manufacturing, but the labour market from which its respondents recruit probably has a high overlap with other industries. The British Chambers of Commerce indicated that more firms in both manufacturing and services were experiencing recruitment difficulties in their January survey compared with the October one.</w:t>
      </w:r>
    </w:p>
    <w:p>
      <w:pPr>
        <w:spacing w:line="242" w:lineRule="auto" w:before="8"/>
        <w:ind w:left="195" w:right="228" w:firstLine="0"/>
        <w:jc w:val="left"/>
        <w:rPr>
          <w:sz w:val="24"/>
        </w:rPr>
      </w:pPr>
      <w:r>
        <w:rPr>
          <w:color w:val="231F20"/>
          <w:sz w:val="24"/>
        </w:rPr>
        <w:t>But the trend appears to be flat over the past year, albeit at a high level.</w:t>
      </w:r>
    </w:p>
    <w:p>
      <w:pPr>
        <w:pStyle w:val="BodyText"/>
        <w:spacing w:before="4"/>
        <w:rPr>
          <w:sz w:val="26"/>
        </w:rPr>
      </w:pPr>
    </w:p>
    <w:p>
      <w:pPr>
        <w:spacing w:line="242" w:lineRule="auto" w:before="0"/>
        <w:ind w:left="195" w:right="438" w:firstLine="0"/>
        <w:jc w:val="left"/>
        <w:rPr>
          <w:sz w:val="24"/>
        </w:rPr>
      </w:pPr>
      <w:r>
        <w:rPr>
          <w:color w:val="231F20"/>
          <w:sz w:val="24"/>
        </w:rPr>
        <w:t>Evidence from unfilled vacancies data, </w:t>
      </w:r>
      <w:r>
        <w:rPr>
          <w:color w:val="231F20"/>
          <w:spacing w:val="-4"/>
          <w:sz w:val="24"/>
        </w:rPr>
        <w:t>however, </w:t>
      </w:r>
      <w:r>
        <w:rPr>
          <w:color w:val="231F20"/>
          <w:sz w:val="24"/>
        </w:rPr>
        <w:t>does not indicate more labour market tightening. The </w:t>
      </w:r>
      <w:r>
        <w:rPr>
          <w:color w:val="231F20"/>
          <w:spacing w:val="-4"/>
          <w:sz w:val="24"/>
        </w:rPr>
        <w:t>stock </w:t>
      </w:r>
      <w:r>
        <w:rPr>
          <w:color w:val="231F20"/>
          <w:sz w:val="24"/>
        </w:rPr>
        <w:t>of vacancies was virtually the same in the final three months of the year, after several months of significant increases.  Though the reported numbers showed a fall of 22,000 in November and 10,000 in December, 30,000 of the cumulative fall was caused by</w:t>
      </w:r>
      <w:r>
        <w:rPr>
          <w:color w:val="231F20"/>
          <w:spacing w:val="-7"/>
          <w:sz w:val="24"/>
        </w:rPr>
        <w:t> </w:t>
      </w:r>
      <w:r>
        <w:rPr>
          <w:color w:val="231F20"/>
          <w:sz w:val="24"/>
        </w:rPr>
        <w:t>the</w:t>
      </w:r>
    </w:p>
    <w:p>
      <w:pPr>
        <w:spacing w:line="242" w:lineRule="auto" w:before="9"/>
        <w:ind w:left="195" w:right="228" w:firstLine="0"/>
        <w:jc w:val="left"/>
        <w:rPr>
          <w:sz w:val="24"/>
        </w:rPr>
      </w:pPr>
      <w:r>
        <w:rPr>
          <w:color w:val="231F20"/>
          <w:sz w:val="24"/>
        </w:rPr>
        <w:t>Employment Service removing an overstatement in the stock; a residual error in the stock of some 10,000 remains.</w:t>
      </w:r>
    </w:p>
    <w:p>
      <w:pPr>
        <w:spacing w:after="0" w:line="242" w:lineRule="auto"/>
        <w:jc w:val="left"/>
        <w:rPr>
          <w:sz w:val="24"/>
        </w:rPr>
        <w:sectPr>
          <w:type w:val="continuous"/>
          <w:pgSz w:w="11880" w:h="16840"/>
          <w:pgMar w:top="1200" w:bottom="280" w:left="620" w:right="620"/>
          <w:cols w:num="2" w:equalWidth="0">
            <w:col w:w="3341" w:space="1454"/>
            <w:col w:w="5845"/>
          </w:cols>
        </w:sectPr>
      </w:pPr>
    </w:p>
    <w:p>
      <w:pPr>
        <w:pStyle w:val="BodyText"/>
        <w:rPr>
          <w:sz w:val="20"/>
        </w:rPr>
      </w:pPr>
    </w:p>
    <w:p>
      <w:pPr>
        <w:pStyle w:val="BodyText"/>
        <w:spacing w:before="8"/>
        <w:rPr>
          <w:sz w:val="20"/>
        </w:rPr>
      </w:pPr>
    </w:p>
    <w:p>
      <w:pPr>
        <w:pStyle w:val="BodyText"/>
        <w:spacing w:line="20" w:lineRule="exact"/>
        <w:ind w:left="495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1"/>
          <w:numId w:val="20"/>
        </w:numPr>
        <w:tabs>
          <w:tab w:pos="5221" w:val="left" w:leader="none"/>
        </w:tabs>
        <w:spacing w:line="168" w:lineRule="exact" w:before="0" w:after="0"/>
        <w:ind w:left="5220" w:right="0" w:hanging="241"/>
        <w:jc w:val="left"/>
        <w:rPr>
          <w:sz w:val="16"/>
        </w:rPr>
      </w:pPr>
      <w:r>
        <w:rPr>
          <w:color w:val="231F20"/>
          <w:sz w:val="16"/>
        </w:rPr>
        <w:t>Both these series have been seasonally adjusted by the Bank.</w:t>
      </w:r>
    </w:p>
    <w:p>
      <w:pPr>
        <w:spacing w:after="0" w:line="168" w:lineRule="exact"/>
        <w:jc w:val="left"/>
        <w:rPr>
          <w:sz w:val="16"/>
        </w:rPr>
        <w:sectPr>
          <w:type w:val="continuous"/>
          <w:pgSz w:w="11880" w:h="16840"/>
          <w:pgMar w:top="1200" w:bottom="280" w:left="620" w:right="620"/>
        </w:sectPr>
      </w:pPr>
    </w:p>
    <w:p>
      <w:pPr>
        <w:pStyle w:val="BodyText"/>
        <w:rPr>
          <w:sz w:val="20"/>
        </w:rPr>
      </w:pPr>
    </w:p>
    <w:p>
      <w:pPr>
        <w:spacing w:after="0"/>
        <w:rPr>
          <w:sz w:val="20"/>
        </w:rPr>
        <w:sectPr>
          <w:headerReference w:type="even" r:id="rId52"/>
          <w:headerReference w:type="default" r:id="rId53"/>
          <w:footerReference w:type="even" r:id="rId54"/>
          <w:footerReference w:type="default" r:id="rId55"/>
          <w:pgSz w:w="11880" w:h="16840"/>
          <w:pgMar w:header="566" w:footer="597" w:top="760" w:bottom="780" w:left="620" w:right="620"/>
          <w:pgNumType w:start="28"/>
        </w:sectPr>
      </w:pPr>
    </w:p>
    <w:p>
      <w:pPr>
        <w:pStyle w:val="BodyText"/>
        <w:spacing w:before="6"/>
        <w:rPr>
          <w:sz w:val="20"/>
        </w:rPr>
      </w:pPr>
    </w:p>
    <w:p>
      <w:pPr>
        <w:pStyle w:val="Heading9"/>
        <w:spacing w:before="0"/>
        <w:ind w:left="180"/>
      </w:pPr>
      <w:bookmarkStart w:name="Other factors affecting real earnings" w:id="57"/>
      <w:bookmarkEnd w:id="57"/>
      <w:r>
        <w:rPr>
          <w:b w:val="0"/>
        </w:rPr>
      </w:r>
      <w:bookmarkStart w:name="_bookmark21" w:id="58"/>
      <w:bookmarkEnd w:id="58"/>
      <w:r>
        <w:rPr>
          <w:b w:val="0"/>
        </w:rPr>
      </w:r>
      <w:r>
        <w:rPr>
          <w:color w:val="0093C1"/>
        </w:rPr>
        <w:t>Chart 3.7</w:t>
      </w:r>
    </w:p>
    <w:p>
      <w:pPr>
        <w:spacing w:before="10"/>
        <w:ind w:left="180" w:right="0" w:firstLine="0"/>
        <w:jc w:val="left"/>
        <w:rPr>
          <w:b/>
          <w:sz w:val="20"/>
        </w:rPr>
      </w:pPr>
      <w:r>
        <w:rPr>
          <w:b/>
          <w:color w:val="0093C1"/>
          <w:sz w:val="20"/>
        </w:rPr>
        <w:t>Real unit labour cost growth and unemployment</w:t>
      </w:r>
    </w:p>
    <w:p>
      <w:pPr>
        <w:spacing w:line="208" w:lineRule="auto" w:before="170"/>
        <w:ind w:left="2046" w:right="586" w:firstLine="0"/>
        <w:jc w:val="left"/>
        <w:rPr>
          <w:sz w:val="12"/>
        </w:rPr>
      </w:pPr>
      <w:r>
        <w:rPr/>
        <w:pict>
          <v:line style="position:absolute;mso-position-horizontal-relative:page;mso-position-vertical-relative:paragraph;z-index:15912448" from="46.5pt,21.87336pt" to="51.5pt,21.87336pt" stroked="true" strokeweight=".5pt" strokecolor="#000000">
            <v:stroke dashstyle="solid"/>
            <w10:wrap type="none"/>
          </v:line>
        </w:pict>
      </w:r>
      <w:r>
        <w:rPr>
          <w:sz w:val="12"/>
        </w:rPr>
        <w:t>Percentage change in real unit labour costs on a year earlier </w:t>
      </w:r>
      <w:r>
        <w:rPr>
          <w:sz w:val="12"/>
          <w:u w:val="single"/>
        </w:rPr>
        <w:t>(a</w:t>
      </w:r>
      <w:r>
        <w:rPr>
          <w:sz w:val="12"/>
        </w:rPr>
        <w:t>) </w:t>
      </w:r>
      <w:r>
        <w:rPr>
          <w:position w:val="-8"/>
          <w:sz w:val="12"/>
        </w:rPr>
        <w:t>3</w:t>
      </w:r>
    </w:p>
    <w:p>
      <w:pPr>
        <w:pStyle w:val="BodyText"/>
        <w:spacing w:before="1" w:after="40"/>
        <w:rPr>
          <w:sz w:val="10"/>
        </w:rPr>
      </w:pPr>
    </w:p>
    <w:p>
      <w:pPr>
        <w:pStyle w:val="BodyText"/>
        <w:spacing w:line="50" w:lineRule="exact"/>
        <w:ind w:left="431"/>
        <w:rPr>
          <w:sz w:val="5"/>
        </w:rPr>
      </w:pPr>
      <w:r>
        <w:rPr>
          <w:position w:val="0"/>
          <w:sz w:val="5"/>
        </w:rPr>
        <w:pict>
          <v:group style="width:2.5pt;height:2.5pt;mso-position-horizontal-relative:char;mso-position-vertical-relative:line" coordorigin="0,0" coordsize="50,50">
            <v:rect style="position:absolute;left:5;top:5;width:40;height:40" filled="false" stroked="true" strokeweight=".5pt" strokecolor="#000000">
              <v:stroke dashstyle="solid"/>
            </v:rect>
          </v:group>
        </w:pict>
      </w:r>
      <w:r>
        <w:rPr>
          <w:position w:val="0"/>
          <w:sz w:val="5"/>
        </w:rPr>
      </w:r>
    </w:p>
    <w:p>
      <w:pPr>
        <w:pStyle w:val="Heading6"/>
        <w:spacing w:before="207"/>
        <w:ind w:left="180"/>
        <w:rPr>
          <w:i/>
        </w:rPr>
      </w:pPr>
      <w:r>
        <w:rPr>
          <w:i w:val="0"/>
        </w:rPr>
        <w:br w:type="column"/>
      </w:r>
      <w:r>
        <w:rPr>
          <w:i/>
          <w:color w:val="009483"/>
        </w:rPr>
        <w:t>Other factors affecting real earnings</w:t>
      </w:r>
    </w:p>
    <w:p>
      <w:pPr>
        <w:spacing w:line="242" w:lineRule="auto" w:before="124"/>
        <w:ind w:left="180" w:right="103" w:firstLine="0"/>
        <w:jc w:val="left"/>
        <w:rPr>
          <w:sz w:val="24"/>
        </w:rPr>
      </w:pPr>
      <w:r>
        <w:rPr>
          <w:color w:val="231F20"/>
          <w:sz w:val="24"/>
        </w:rPr>
        <w:t>The growth of real unit labour costs (the real product wage relative to productivity) tends to rise as unemployment falls. In each year of this recovery, the</w:t>
      </w:r>
    </w:p>
    <w:p>
      <w:pPr>
        <w:spacing w:after="0" w:line="242" w:lineRule="auto"/>
        <w:jc w:val="left"/>
        <w:rPr>
          <w:sz w:val="24"/>
        </w:rPr>
        <w:sectPr>
          <w:type w:val="continuous"/>
          <w:pgSz w:w="11880" w:h="16840"/>
          <w:pgMar w:top="1200" w:bottom="280" w:left="620" w:right="620"/>
          <w:cols w:num="2" w:equalWidth="0">
            <w:col w:w="4365" w:space="420"/>
            <w:col w:w="5855"/>
          </w:cols>
        </w:sectPr>
      </w:pPr>
    </w:p>
    <w:p>
      <w:pPr>
        <w:spacing w:before="65"/>
        <w:ind w:left="1020" w:right="0" w:firstLine="0"/>
        <w:jc w:val="left"/>
        <w:rPr>
          <w:sz w:val="12"/>
        </w:rPr>
      </w:pPr>
      <w:r>
        <w:rPr/>
        <w:pict>
          <v:group style="position:absolute;margin-left:46.5pt;margin-top:8.351189pt;width:168.2pt;height:96.75pt;mso-position-horizontal-relative:page;mso-position-vertical-relative:paragraph;z-index:15911936" coordorigin="930,167" coordsize="3364,1935">
            <v:rect style="position:absolute;left:2316;top:903;width:40;height:40" filled="false" stroked="true" strokeweight=".5pt" strokecolor="#000000">
              <v:stroke dashstyle="solid"/>
            </v:rect>
            <v:rect style="position:absolute;left:1176;top:990;width:40;height:40" filled="true" fillcolor="#522e91" stroked="false">
              <v:fill type="solid"/>
            </v:rect>
            <v:rect style="position:absolute;left:1176;top:990;width:40;height:40" filled="false" stroked="true" strokeweight=".5pt" strokecolor="#000000">
              <v:stroke dashstyle="solid"/>
            </v:rect>
            <v:shape style="position:absolute;left:930;top:980;width:3140;height:2" coordorigin="930,980" coordsize="3140,0" path="m930,980l1030,980m1050,980l4070,980e" filled="false" stroked="true" strokeweight=".5pt" strokecolor="#000000">
              <v:path arrowok="t"/>
              <v:stroke dashstyle="solid"/>
            </v:shape>
            <v:rect style="position:absolute;left:2436;top:1117;width:40;height:40" filled="true" fillcolor="#522e91" stroked="false">
              <v:fill type="solid"/>
            </v:rect>
            <v:shape style="position:absolute;left:2370;top:1060;width:107;height:97" coordorigin="2370,1060" coordsize="107,97" path="m2437,1117l2437,1157,2477,1157,2477,1117,2437,1117m2370,1060l2370,1100,2410,1100,2410,1060,2370,1060e" filled="false" stroked="true" strokeweight=".5pt" strokecolor="#000000">
              <v:path arrowok="t"/>
              <v:stroke dashstyle="solid"/>
            </v:shape>
            <v:line style="position:absolute" from="4110,980" to="4210,980" stroked="true" strokeweight=".5pt" strokecolor="#000000">
              <v:stroke dashstyle="solid"/>
            </v:line>
            <v:shape style="position:absolute;left:2970;top:443;width:720;height:1654" coordorigin="2970,444" coordsize="720,1654" path="m3650,444l3650,484,3690,484,3690,444,3650,444m3497,1230l3497,1270,3537,1270,3537,1230,3497,1230m2970,2057l2970,2097,3010,2097,3010,2057,2970,2057e" filled="false" stroked="true" strokeweight=".5pt" strokecolor="#000000">
              <v:path arrowok="t"/>
              <v:stroke dashstyle="solid"/>
            </v:shape>
            <v:rect style="position:absolute;left:2896;top:1797;width:40;height:40" filled="true" fillcolor="#522e91" stroked="false">
              <v:fill type="solid"/>
            </v:rect>
            <v:rect style="position:absolute;left:2896;top:1797;width:40;height:40" filled="false" stroked="true" strokeweight=".5pt" strokecolor="#000000">
              <v:stroke dashstyle="solid"/>
            </v:rect>
            <v:rect style="position:absolute;left:3070;top:1463;width:40;height:40" filled="true" fillcolor="#522e91" stroked="false">
              <v:fill type="solid"/>
            </v:rect>
            <v:shape style="position:absolute;left:3070;top:1463;width:147;height:114" coordorigin="3070,1464" coordsize="147,114" path="m3070,1464l3070,1504,3110,1504,3110,1464,3070,1464m3177,1537l3177,1577,3217,1577,3217,1537,3177,1537e" filled="false" stroked="true" strokeweight=".5pt" strokecolor="#000000">
              <v:path arrowok="t"/>
              <v:stroke dashstyle="solid"/>
            </v:shape>
            <v:rect style="position:absolute;left:2110;top:1183;width:40;height:40" filled="true" fillcolor="#522e91" stroked="false">
              <v:fill type="solid"/>
            </v:rect>
            <v:rect style="position:absolute;left:2110;top:1183;width:40;height:40" filled="false" stroked="true" strokeweight=".5pt" strokecolor="#000000">
              <v:stroke dashstyle="solid"/>
            </v:rect>
            <v:shape style="position:absolute;left:930;top:560;width:100;height:1280" coordorigin="930,560" coordsize="100,1280" path="m930,560l1030,560m930,1420l1030,1420m930,1840l1030,1840e" filled="false" stroked="true" strokeweight=".5pt" strokecolor="#000000">
              <v:path arrowok="t"/>
              <v:stroke dashstyle="solid"/>
            </v:shape>
            <v:shape style="position:absolute;left:1550;top:300;width:2040;height:1760" coordorigin="1550,300" coordsize="2040,1760" path="m3370,2020l3370,2060,3410,2060,3410,2020,3370,2020m3550,1440l3550,1480,3590,1480,3590,1440,3550,1440m1550,580l1550,620,1590,620,1590,580,1550,580m2330,300l2330,340,2370,340,2370,300,2330,300e" filled="false" stroked="true" strokeweight=".5pt" strokecolor="#000000">
              <v:path arrowok="t"/>
              <v:stroke dashstyle="solid"/>
            </v:shape>
            <v:shape style="position:absolute;left:2006;top:230;width:2204;height:1610" coordorigin="2007,230" coordsize="2204,1610" path="m4110,560l4210,560m4110,1420l4210,1420m4110,1840l4210,1840m2007,230l2007,657e" filled="false" stroked="true" strokeweight=".5pt" strokecolor="#000000">
              <v:path arrowok="t"/>
              <v:stroke dashstyle="solid"/>
            </v:shape>
            <v:shape style="position:absolute;left:1981;top:640;width:51;height:85" coordorigin="1981,640" coordsize="51,85" path="m2032,640l1981,640,1988,656,1992,668,2007,725,2008,716,2010,705,2013,694,2017,681,2021,669,2032,640xe" filled="true" fillcolor="#000000" stroked="false">
              <v:path arrowok="t"/>
              <v:fill type="solid"/>
            </v:shape>
            <v:line style="position:absolute" from="1060,177" to="4060,2037" stroked="true" strokeweight="1pt" strokecolor="#ed1b2d">
              <v:stroke dashstyle="solid"/>
            </v:line>
            <v:shape style="position:absolute;left:4183;top:741;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080;top:1023;width:437;height:133" type="#_x0000_t202" filled="false" stroked="false">
              <v:textbox inset="0,0,0,0">
                <w:txbxContent>
                  <w:p>
                    <w:pPr>
                      <w:spacing w:line="133" w:lineRule="exact" w:before="0"/>
                      <w:ind w:left="0" w:right="0" w:firstLine="0"/>
                      <w:jc w:val="left"/>
                      <w:rPr>
                        <w:sz w:val="12"/>
                      </w:rPr>
                    </w:pPr>
                    <w:r>
                      <w:rPr>
                        <w:sz w:val="12"/>
                      </w:rPr>
                      <w:t>1997 Q3</w:t>
                    </w:r>
                  </w:p>
                </w:txbxContent>
              </v:textbox>
              <w10:wrap type="none"/>
            </v:shape>
            <v:shape style="position:absolute;left:2000;top:1163;width:600;height:193" type="#_x0000_t202" filled="false" stroked="false">
              <v:textbox inset="0,0,0,0">
                <w:txbxContent>
                  <w:p>
                    <w:pPr>
                      <w:spacing w:line="228" w:lineRule="auto" w:before="0"/>
                      <w:ind w:left="0" w:right="0" w:firstLine="0"/>
                      <w:jc w:val="left"/>
                      <w:rPr>
                        <w:sz w:val="12"/>
                      </w:rPr>
                    </w:pPr>
                    <w:r>
                      <w:rPr>
                        <w:position w:val="-5"/>
                        <w:sz w:val="12"/>
                      </w:rPr>
                      <w:t>1996 </w:t>
                    </w:r>
                    <w:r>
                      <w:rPr>
                        <w:sz w:val="12"/>
                      </w:rPr>
                      <w:t>1995</w:t>
                    </w:r>
                  </w:p>
                </w:txbxContent>
              </v:textbox>
              <w10:wrap type="none"/>
            </v:shape>
            <v:shape style="position:absolute;left:4193;top:1101;width:100;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2780;top:1403;width:280;height:573" type="#_x0000_t202" filled="false" stroked="false">
              <v:textbox inset="0,0,0,0">
                <w:txbxContent>
                  <w:p>
                    <w:pPr>
                      <w:spacing w:line="133" w:lineRule="exact" w:before="0"/>
                      <w:ind w:left="0" w:right="0" w:firstLine="0"/>
                      <w:jc w:val="left"/>
                      <w:rPr>
                        <w:sz w:val="12"/>
                      </w:rPr>
                    </w:pPr>
                    <w:r>
                      <w:rPr>
                        <w:sz w:val="12"/>
                      </w:rPr>
                      <w:t>1992</w:t>
                    </w:r>
                  </w:p>
                  <w:p>
                    <w:pPr>
                      <w:spacing w:line="240" w:lineRule="auto" w:before="0"/>
                      <w:rPr>
                        <w:sz w:val="12"/>
                      </w:rPr>
                    </w:pPr>
                  </w:p>
                  <w:p>
                    <w:pPr>
                      <w:spacing w:line="240" w:lineRule="auto" w:before="3"/>
                      <w:rPr>
                        <w:sz w:val="14"/>
                      </w:rPr>
                    </w:pPr>
                  </w:p>
                  <w:p>
                    <w:pPr>
                      <w:spacing w:before="0"/>
                      <w:ind w:left="20" w:right="0" w:firstLine="0"/>
                      <w:jc w:val="left"/>
                      <w:rPr>
                        <w:sz w:val="12"/>
                      </w:rPr>
                    </w:pPr>
                    <w:r>
                      <w:rPr>
                        <w:sz w:val="12"/>
                      </w:rPr>
                      <w:t>1994</w:t>
                    </w:r>
                  </w:p>
                </w:txbxContent>
              </v:textbox>
              <w10:wrap type="none"/>
            </v:shape>
            <w10:wrap type="none"/>
          </v:group>
        </w:pict>
      </w:r>
      <w:r>
        <w:rPr>
          <w:sz w:val="12"/>
        </w:rPr>
        <w:t>Line of best fit (b)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r>
        <w:rPr/>
        <w:pict>
          <v:shape style="position:absolute;margin-left:46.5pt;margin-top:11.879629pt;width:5pt;height:.1pt;mso-position-horizontal-relative:page;mso-position-vertical-relative:paragraph;z-index:-15548416;mso-wrap-distance-left:0;mso-wrap-distance-right:0" coordorigin="930,238" coordsize="100,0" path="m930,238l1030,238e" filled="false" stroked="true" strokeweight=".5pt" strokecolor="#000000">
            <v:path arrowok="t"/>
            <v:stroke dashstyle="solid"/>
            <w10:wrap type="topAndBottom"/>
          </v:shape>
        </w:pict>
      </w:r>
    </w:p>
    <w:p>
      <w:pPr>
        <w:spacing w:before="45"/>
        <w:ind w:left="0" w:right="38" w:firstLine="0"/>
        <w:jc w:val="right"/>
        <w:rPr>
          <w:sz w:val="12"/>
        </w:rPr>
      </w:pPr>
      <w:r>
        <w:rPr/>
        <w:br w:type="column"/>
      </w:r>
      <w:r>
        <w:rPr>
          <w:sz w:val="12"/>
        </w:rPr>
        <w:t>2</w:t>
      </w:r>
    </w:p>
    <w:p>
      <w:pPr>
        <w:pStyle w:val="BodyText"/>
        <w:rPr>
          <w:sz w:val="12"/>
        </w:rPr>
      </w:pPr>
    </w:p>
    <w:p>
      <w:pPr>
        <w:pStyle w:val="BodyText"/>
        <w:spacing w:before="3"/>
        <w:rPr>
          <w:sz w:val="14"/>
        </w:rPr>
      </w:pPr>
    </w:p>
    <w:p>
      <w:pPr>
        <w:spacing w:before="0"/>
        <w:ind w:left="0" w:right="38" w:firstLine="0"/>
        <w:jc w:val="right"/>
        <w:rPr>
          <w:sz w:val="12"/>
        </w:rPr>
      </w:pPr>
      <w:r>
        <w:rPr>
          <w:sz w:val="12"/>
        </w:rPr>
        <w:t>1</w:t>
      </w:r>
    </w:p>
    <w:p>
      <w:pPr>
        <w:pStyle w:val="BodyText"/>
        <w:rPr>
          <w:sz w:val="12"/>
        </w:rPr>
      </w:pPr>
    </w:p>
    <w:p>
      <w:pPr>
        <w:pStyle w:val="BodyText"/>
        <w:spacing w:before="3"/>
        <w:rPr>
          <w:sz w:val="14"/>
        </w:rPr>
      </w:pPr>
    </w:p>
    <w:p>
      <w:pPr>
        <w:spacing w:before="0"/>
        <w:ind w:left="0" w:right="38" w:firstLine="0"/>
        <w:jc w:val="right"/>
        <w:rPr>
          <w:sz w:val="12"/>
        </w:rPr>
      </w:pPr>
      <w:r>
        <w:rPr>
          <w:sz w:val="12"/>
        </w:rPr>
        <w:t>0</w:t>
      </w:r>
    </w:p>
    <w:p>
      <w:pPr>
        <w:pStyle w:val="BodyText"/>
        <w:rPr>
          <w:sz w:val="12"/>
        </w:rPr>
      </w:pPr>
    </w:p>
    <w:p>
      <w:pPr>
        <w:pStyle w:val="BodyText"/>
        <w:spacing w:before="6"/>
        <w:rPr>
          <w:sz w:val="12"/>
        </w:rPr>
      </w:pPr>
    </w:p>
    <w:p>
      <w:pPr>
        <w:spacing w:before="0"/>
        <w:ind w:left="0" w:right="38" w:firstLine="0"/>
        <w:jc w:val="right"/>
        <w:rPr>
          <w:sz w:val="12"/>
        </w:rPr>
      </w:pPr>
      <w:r>
        <w:rPr>
          <w:sz w:val="12"/>
        </w:rPr>
        <w:t>1</w:t>
      </w:r>
    </w:p>
    <w:p>
      <w:pPr>
        <w:pStyle w:val="BodyText"/>
        <w:rPr>
          <w:sz w:val="12"/>
        </w:rPr>
      </w:pPr>
    </w:p>
    <w:p>
      <w:pPr>
        <w:pStyle w:val="BodyText"/>
        <w:spacing w:before="3"/>
        <w:rPr>
          <w:sz w:val="14"/>
        </w:rPr>
      </w:pPr>
    </w:p>
    <w:p>
      <w:pPr>
        <w:spacing w:before="0"/>
        <w:ind w:left="0" w:right="38" w:firstLine="0"/>
        <w:jc w:val="right"/>
        <w:rPr>
          <w:sz w:val="12"/>
        </w:rPr>
      </w:pPr>
      <w:r>
        <w:rPr>
          <w:sz w:val="12"/>
        </w:rPr>
        <w:t>2</w:t>
      </w:r>
    </w:p>
    <w:p>
      <w:pPr>
        <w:pStyle w:val="BodyText"/>
        <w:rPr>
          <w:sz w:val="12"/>
        </w:rPr>
      </w:pPr>
    </w:p>
    <w:p>
      <w:pPr>
        <w:pStyle w:val="BodyText"/>
        <w:spacing w:before="9"/>
        <w:rPr>
          <w:sz w:val="12"/>
        </w:rPr>
      </w:pPr>
    </w:p>
    <w:p>
      <w:pPr>
        <w:tabs>
          <w:tab w:pos="1716" w:val="left" w:leader="none"/>
        </w:tabs>
        <w:spacing w:before="0"/>
        <w:ind w:left="660" w:right="0" w:firstLine="0"/>
        <w:jc w:val="left"/>
        <w:rPr>
          <w:sz w:val="12"/>
        </w:rPr>
      </w:pPr>
      <w:r>
        <w:rPr/>
        <w:pict>
          <v:line style="position:absolute;mso-position-horizontal-relative:page;mso-position-vertical-relative:paragraph;z-index:-20176384" from="205.5pt,3.601379pt" to="210.5pt,3.601379pt" stroked="true" strokeweight=".5pt" strokecolor="#000000">
            <v:stroke dashstyle="solid"/>
            <w10:wrap type="none"/>
          </v:line>
        </w:pict>
      </w:r>
      <w:r>
        <w:rPr/>
        <w:pict>
          <v:group style="position:absolute;margin-left:165.582993pt;margin-top:.851379pt;width:2.5pt;height:2.5pt;mso-position-horizontal-relative:page;mso-position-vertical-relative:paragraph;z-index:-20175872" coordorigin="3312,17" coordsize="50,50">
            <v:rect style="position:absolute;left:3316;top:22;width:40;height:40" filled="true" fillcolor="#522e91" stroked="false">
              <v:fill type="solid"/>
            </v:rect>
            <v:rect style="position:absolute;left:3316;top:22;width:40;height:40" filled="false" stroked="true" strokeweight=".5pt" strokecolor="#000000">
              <v:stroke dashstyle="solid"/>
            </v:rect>
            <w10:wrap type="none"/>
          </v:group>
        </w:pict>
      </w:r>
      <w:r>
        <w:rPr>
          <w:sz w:val="12"/>
        </w:rPr>
        <w:t>1993</w:t>
        <w:tab/>
      </w:r>
      <w:r>
        <w:rPr>
          <w:position w:val="5"/>
          <w:sz w:val="12"/>
        </w:rPr>
        <w:t>3</w:t>
      </w:r>
    </w:p>
    <w:p>
      <w:pPr>
        <w:pStyle w:val="BodyText"/>
        <w:spacing w:before="7"/>
        <w:rPr>
          <w:sz w:val="21"/>
        </w:rPr>
      </w:pPr>
    </w:p>
    <w:p>
      <w:pPr>
        <w:spacing w:line="118" w:lineRule="exact" w:before="0"/>
        <w:ind w:left="0" w:right="58" w:firstLine="0"/>
        <w:jc w:val="right"/>
        <w:rPr>
          <w:sz w:val="12"/>
        </w:rPr>
      </w:pPr>
      <w:r>
        <w:rPr/>
        <w:pict>
          <v:shape style="position:absolute;margin-left:46.5pt;margin-top:.768555pt;width:164pt;height:2pt;mso-position-horizontal-relative:page;mso-position-vertical-relative:paragraph;z-index:15912960" coordorigin="930,15" coordsize="3280,40" path="m930,55l1030,55m1050,15l1050,55m4110,55l4210,55m4070,15l4070,55m1490,15l1490,55m1910,15l1910,55m2350,15l2350,55m2770,15l2770,55m3210,15l3210,55m3630,15l3630,55m1050,55l4070,55e" filled="false" stroked="true" strokeweight=".5pt" strokecolor="#000000">
            <v:path arrowok="t"/>
            <v:stroke dashstyle="solid"/>
            <w10:wrap type="none"/>
          </v:shape>
        </w:pict>
      </w:r>
      <w:r>
        <w:rPr>
          <w:sz w:val="12"/>
        </w:rPr>
        <w:t>4</w:t>
      </w:r>
    </w:p>
    <w:p>
      <w:pPr>
        <w:pStyle w:val="Heading5"/>
        <w:spacing w:line="242" w:lineRule="auto" w:before="4"/>
        <w:ind w:left="1020" w:right="195"/>
      </w:pPr>
      <w:r>
        <w:rPr/>
        <w:br w:type="column"/>
      </w:r>
      <w:r>
        <w:rPr>
          <w:color w:val="231F20"/>
        </w:rPr>
        <w:t>percentage increase in real unit labour costs has been lower than would </w:t>
      </w:r>
      <w:r>
        <w:rPr>
          <w:color w:val="231F20"/>
          <w:spacing w:val="-3"/>
        </w:rPr>
        <w:t>have </w:t>
      </w:r>
      <w:r>
        <w:rPr>
          <w:color w:val="231F20"/>
        </w:rPr>
        <w:t>been expected based on the average relationship since 1980 (see Chart 3.7). The most likely reason for the shift in this trade-off is that </w:t>
      </w:r>
      <w:r>
        <w:rPr>
          <w:color w:val="231F20"/>
          <w:spacing w:val="-6"/>
        </w:rPr>
        <w:t>the </w:t>
      </w:r>
      <w:r>
        <w:rPr>
          <w:color w:val="231F20"/>
        </w:rPr>
        <w:t>equilibrium, or natural rate, of unemployment is lower now than it was in the 1980s—an assumption which underlies the inflation projection. There are many possible reasons why the natural rate may </w:t>
      </w:r>
      <w:r>
        <w:rPr>
          <w:color w:val="231F20"/>
          <w:spacing w:val="-3"/>
        </w:rPr>
        <w:t>have </w:t>
      </w:r>
      <w:r>
        <w:rPr>
          <w:color w:val="231F20"/>
        </w:rPr>
        <w:t>fallen, which </w:t>
      </w:r>
      <w:r>
        <w:rPr>
          <w:color w:val="231F20"/>
          <w:spacing w:val="-3"/>
        </w:rPr>
        <w:t>have </w:t>
      </w:r>
      <w:r>
        <w:rPr>
          <w:color w:val="231F20"/>
        </w:rPr>
        <w:t>been reviewed extensively in previous </w:t>
      </w:r>
      <w:r>
        <w:rPr>
          <w:i/>
          <w:color w:val="231F20"/>
        </w:rPr>
        <w:t>Reports </w:t>
      </w:r>
      <w:r>
        <w:rPr>
          <w:color w:val="231F20"/>
        </w:rPr>
        <w:t>and other journals. These include</w:t>
      </w:r>
      <w:r>
        <w:rPr>
          <w:color w:val="231F20"/>
          <w:spacing w:val="-1"/>
        </w:rPr>
        <w:t> </w:t>
      </w:r>
      <w:r>
        <w:rPr>
          <w:color w:val="231F20"/>
        </w:rPr>
        <w:t>institutional</w:t>
      </w:r>
    </w:p>
    <w:p>
      <w:pPr>
        <w:spacing w:after="0" w:line="242" w:lineRule="auto"/>
        <w:sectPr>
          <w:type w:val="continuous"/>
          <w:pgSz w:w="11880" w:h="16840"/>
          <w:pgMar w:top="1200" w:bottom="280" w:left="620" w:right="620"/>
          <w:cols w:num="3" w:equalWidth="0">
            <w:col w:w="1900" w:space="40"/>
            <w:col w:w="1817" w:space="188"/>
            <w:col w:w="6695"/>
          </w:cols>
        </w:sectPr>
      </w:pPr>
    </w:p>
    <w:p>
      <w:pPr>
        <w:tabs>
          <w:tab w:pos="839" w:val="left" w:leader="none"/>
          <w:tab w:pos="1259" w:val="left" w:leader="none"/>
          <w:tab w:pos="1679" w:val="left" w:leader="none"/>
          <w:tab w:pos="2119" w:val="left" w:leader="none"/>
          <w:tab w:pos="2539" w:val="left" w:leader="none"/>
          <w:tab w:pos="2959" w:val="left" w:leader="none"/>
          <w:tab w:pos="3399" w:val="left" w:leader="none"/>
        </w:tabs>
        <w:spacing w:line="23" w:lineRule="exact" w:before="0"/>
        <w:ind w:left="400" w:right="0" w:firstLine="0"/>
        <w:jc w:val="left"/>
        <w:rPr>
          <w:sz w:val="12"/>
        </w:rPr>
      </w:pPr>
      <w:r>
        <w:rPr>
          <w:sz w:val="12"/>
        </w:rPr>
        <w:t>5</w:t>
        <w:tab/>
        <w:t>6</w:t>
        <w:tab/>
        <w:t>7</w:t>
        <w:tab/>
        <w:t>8</w:t>
        <w:tab/>
        <w:t>9</w:t>
        <w:tab/>
        <w:t>10</w:t>
        <w:tab/>
        <w:t>11</w:t>
        <w:tab/>
        <w:t>12</w:t>
      </w:r>
    </w:p>
    <w:p>
      <w:pPr>
        <w:spacing w:after="0" w:line="23" w:lineRule="exact"/>
        <w:jc w:val="left"/>
        <w:rPr>
          <w:sz w:val="12"/>
        </w:rPr>
        <w:sectPr>
          <w:type w:val="continuous"/>
          <w:pgSz w:w="11880" w:h="16840"/>
          <w:pgMar w:top="1200" w:bottom="280" w:left="620" w:right="620"/>
        </w:sectPr>
      </w:pPr>
    </w:p>
    <w:p>
      <w:pPr>
        <w:spacing w:before="104"/>
        <w:ind w:left="1119" w:right="0" w:firstLine="0"/>
        <w:jc w:val="left"/>
        <w:rPr>
          <w:sz w:val="12"/>
        </w:rPr>
      </w:pPr>
      <w:r>
        <w:rPr>
          <w:sz w:val="12"/>
        </w:rPr>
        <w:t>Claimant count unemployment rate</w:t>
      </w:r>
    </w:p>
    <w:p>
      <w:pPr>
        <w:pStyle w:val="BodyText"/>
        <w:spacing w:before="10"/>
        <w:rPr>
          <w:sz w:val="17"/>
        </w:rPr>
      </w:pPr>
    </w:p>
    <w:p>
      <w:pPr>
        <w:spacing w:before="0"/>
        <w:ind w:left="190" w:right="0" w:firstLine="0"/>
        <w:jc w:val="left"/>
        <w:rPr>
          <w:sz w:val="12"/>
        </w:rPr>
      </w:pPr>
      <w:r>
        <w:rPr>
          <w:color w:val="231F20"/>
          <w:sz w:val="12"/>
        </w:rPr>
        <w:t>Sources: ONS and Bank calculations.</w:t>
      </w:r>
    </w:p>
    <w:p>
      <w:pPr>
        <w:pStyle w:val="ListParagraph"/>
        <w:numPr>
          <w:ilvl w:val="0"/>
          <w:numId w:val="21"/>
        </w:numPr>
        <w:tabs>
          <w:tab w:pos="430" w:val="left" w:leader="none"/>
        </w:tabs>
        <w:spacing w:line="129" w:lineRule="exact" w:before="102" w:after="0"/>
        <w:ind w:left="429" w:right="0" w:hanging="240"/>
        <w:jc w:val="left"/>
        <w:rPr>
          <w:sz w:val="12"/>
        </w:rPr>
      </w:pPr>
      <w:r>
        <w:rPr>
          <w:color w:val="231F20"/>
          <w:sz w:val="12"/>
        </w:rPr>
        <w:t>Real product wage divided by productivity.</w:t>
      </w:r>
    </w:p>
    <w:p>
      <w:pPr>
        <w:pStyle w:val="ListParagraph"/>
        <w:numPr>
          <w:ilvl w:val="0"/>
          <w:numId w:val="21"/>
        </w:numPr>
        <w:tabs>
          <w:tab w:pos="431" w:val="left" w:leader="none"/>
        </w:tabs>
        <w:spacing w:line="129" w:lineRule="exact" w:before="0" w:after="0"/>
        <w:ind w:left="430" w:right="0" w:hanging="241"/>
        <w:jc w:val="left"/>
        <w:rPr>
          <w:sz w:val="12"/>
        </w:rPr>
      </w:pPr>
      <w:r>
        <w:rPr>
          <w:color w:val="231F20"/>
          <w:sz w:val="12"/>
        </w:rPr>
        <w:t>Based on annual observations 1980 to 1996.</w:t>
      </w:r>
    </w:p>
    <w:p>
      <w:pPr>
        <w:pStyle w:val="Heading5"/>
        <w:spacing w:line="242" w:lineRule="auto"/>
        <w:ind w:left="190" w:right="182"/>
      </w:pPr>
      <w:r>
        <w:rPr/>
        <w:br w:type="column"/>
      </w:r>
      <w:r>
        <w:rPr>
          <w:color w:val="231F20"/>
        </w:rPr>
        <w:t>and regulatory reforms which have promoted flexibility in the labour market and a lower level of unemployment benefit relative to the earnings of those in work (the replacement ratio).</w:t>
      </w:r>
    </w:p>
    <w:p>
      <w:pPr>
        <w:pStyle w:val="BodyText"/>
        <w:spacing w:before="7"/>
        <w:rPr>
          <w:sz w:val="25"/>
        </w:rPr>
      </w:pPr>
    </w:p>
    <w:p>
      <w:pPr>
        <w:spacing w:line="242" w:lineRule="auto" w:before="0"/>
        <w:ind w:left="190" w:right="182" w:firstLine="0"/>
        <w:jc w:val="left"/>
        <w:rPr>
          <w:sz w:val="24"/>
        </w:rPr>
      </w:pPr>
      <w:r>
        <w:rPr>
          <w:color w:val="231F20"/>
          <w:sz w:val="24"/>
        </w:rPr>
        <w:t>The Government’s New Deal for unemployed people (see box on page 29) will probably affect the responsiveness of real earnings to unemployment. The ‘New Deal’ began to be introduced in January this year. It focuses on groups who have become, or who risk becoming, marginalised from the labour market: those aged under 25 who have been unemployed for more than six months and those aged 25 and over who have been unemployed for more than two years. If successful, the policy should help to increase the effective supply of labour and thereby reduce pressure on wages.</w:t>
      </w:r>
    </w:p>
    <w:p>
      <w:pPr>
        <w:pStyle w:val="BodyText"/>
        <w:spacing w:before="3"/>
        <w:rPr>
          <w:sz w:val="27"/>
        </w:rPr>
      </w:pPr>
    </w:p>
    <w:p>
      <w:pPr>
        <w:spacing w:line="242" w:lineRule="auto" w:before="1"/>
        <w:ind w:left="190" w:right="182" w:firstLine="0"/>
        <w:jc w:val="left"/>
        <w:rPr>
          <w:sz w:val="24"/>
        </w:rPr>
      </w:pPr>
      <w:r>
        <w:rPr>
          <w:color w:val="231F20"/>
          <w:sz w:val="24"/>
        </w:rPr>
        <w:t>The impact of the scheme on measured unemployment, compared with a situation of unchanged policy, will be affected by three factors. Unemployment levels for people covered by the New Deal might have fallen anyway. Both categories of unemployment fell between July and October 1997 by around 30,000 for the</w:t>
      </w:r>
    </w:p>
    <w:p>
      <w:pPr>
        <w:spacing w:line="242" w:lineRule="auto" w:before="7"/>
        <w:ind w:left="190" w:right="222" w:firstLine="0"/>
        <w:jc w:val="left"/>
        <w:rPr>
          <w:sz w:val="24"/>
        </w:rPr>
      </w:pPr>
      <w:r>
        <w:rPr>
          <w:color w:val="231F20"/>
          <w:sz w:val="24"/>
        </w:rPr>
        <w:t>under-25 year olds and 45,000 for the over-25 long-term unemployed. But unemployment would most likely </w:t>
      </w:r>
      <w:r>
        <w:rPr>
          <w:color w:val="231F20"/>
          <w:spacing w:val="-4"/>
          <w:sz w:val="24"/>
        </w:rPr>
        <w:t>stop </w:t>
      </w:r>
      <w:r>
        <w:rPr>
          <w:color w:val="231F20"/>
          <w:sz w:val="24"/>
        </w:rPr>
        <w:t>falling during 1998, without the schemes, hence this factor should be less important when the New Deal has been fully introduced. ‘Displacement’ and ‘churning’ are the two other factors that could limit the impact of the scheme. ‘Displacement’ means that the targeted groups will, to some extent, be taking jobs that other potential workers would </w:t>
      </w:r>
      <w:r>
        <w:rPr>
          <w:color w:val="231F20"/>
          <w:spacing w:val="-3"/>
          <w:sz w:val="24"/>
        </w:rPr>
        <w:t>have </w:t>
      </w:r>
      <w:r>
        <w:rPr>
          <w:color w:val="231F20"/>
          <w:sz w:val="24"/>
        </w:rPr>
        <w:t>taken. ‘Churning’ means that the scheme may not improve participants’ employability, so that when they leave the programme they simply become unemployed again. The importance of displacement and churning, </w:t>
      </w:r>
      <w:r>
        <w:rPr>
          <w:color w:val="231F20"/>
          <w:spacing w:val="-4"/>
          <w:sz w:val="24"/>
        </w:rPr>
        <w:t>however, </w:t>
      </w:r>
      <w:r>
        <w:rPr>
          <w:color w:val="231F20"/>
          <w:sz w:val="24"/>
        </w:rPr>
        <w:t>should not be exaggerated. If workers on the New Deal</w:t>
      </w:r>
      <w:r>
        <w:rPr>
          <w:color w:val="231F20"/>
          <w:spacing w:val="-8"/>
          <w:sz w:val="24"/>
        </w:rPr>
        <w:t> </w:t>
      </w:r>
      <w:r>
        <w:rPr>
          <w:color w:val="231F20"/>
          <w:sz w:val="24"/>
        </w:rPr>
        <w:t>displace</w:t>
      </w:r>
    </w:p>
    <w:p>
      <w:pPr>
        <w:spacing w:after="0" w:line="242" w:lineRule="auto"/>
        <w:jc w:val="left"/>
        <w:rPr>
          <w:sz w:val="24"/>
        </w:rPr>
        <w:sectPr>
          <w:type w:val="continuous"/>
          <w:pgSz w:w="11880" w:h="16840"/>
          <w:pgMar w:top="1200" w:bottom="280" w:left="620" w:right="620"/>
          <w:cols w:num="2" w:equalWidth="0">
            <w:col w:w="2857" w:space="1919"/>
            <w:col w:w="5864"/>
          </w:cols>
        </w:sectPr>
      </w:pPr>
    </w:p>
    <w:p>
      <w:pPr>
        <w:pStyle w:val="BodyText"/>
        <w:rPr>
          <w:sz w:val="20"/>
        </w:rPr>
      </w:pPr>
    </w:p>
    <w:p>
      <w:pPr>
        <w:spacing w:before="238"/>
        <w:ind w:left="1311" w:right="1367" w:firstLine="0"/>
        <w:jc w:val="center"/>
        <w:rPr>
          <w:b/>
          <w:sz w:val="28"/>
        </w:rPr>
      </w:pPr>
      <w:r>
        <w:rPr/>
        <w:pict>
          <v:group style="position:absolute;margin-left:39pt;margin-top:-10.319666pt;width:518pt;height:311pt;mso-position-horizontal-relative:page;mso-position-vertical-relative:paragraph;z-index:-20175360" coordorigin="780,-206" coordsize="10360,6220">
            <v:shape style="position:absolute;left:800;top:-187;width:10320;height:6180" coordorigin="800,-186" coordsize="10320,6180" path="m11120,-186l5993,-186,5927,-186,800,-186,800,2892,800,2916,800,5994,5927,5994,5993,5994,11120,5994,11120,-186xe" filled="true" fillcolor="#c3e0dc" stroked="false">
              <v:path arrowok="t"/>
              <v:fill type="solid"/>
            </v:shape>
            <v:shape style="position:absolute;left:879;top:-147;width:10161;height:6101" coordorigin="880,-146" coordsize="10161,6101" path="m5960,-146l880,2904,5960,5954,11040,2904,5960,-146xe" filled="true" fillcolor="#c4e1dd" stroked="false">
              <v:path arrowok="t"/>
              <v:fill type="solid"/>
            </v:shape>
            <v:shape style="position:absolute;left:979;top:-87;width:9962;height:5981" coordorigin="979,-87" coordsize="9962,5981" path="m5960,-87l979,2904,5960,5894,10941,2904,5960,-87xe" filled="true" fillcolor="#c5e1dd" stroked="false">
              <v:path arrowok="t"/>
              <v:fill type="solid"/>
            </v:shape>
            <v:shape style="position:absolute;left:1078;top:-27;width:9763;height:5861" coordorigin="1079,-27" coordsize="9763,5861" path="m5960,-27l1079,2904,5960,5834,10841,2904,5960,-27xe" filled="true" fillcolor="#c6e2de" stroked="false">
              <v:path arrowok="t"/>
              <v:fill type="solid"/>
            </v:shape>
            <v:shape style="position:absolute;left:1178;top:33;width:9563;height:5742" coordorigin="1178,33" coordsize="9563,5742" path="m5960,33l1178,2904,5960,5774,10741,2904,5960,33xe" filled="true" fillcolor="#c7e2df" stroked="false">
              <v:path arrowok="t"/>
              <v:fill type="solid"/>
            </v:shape>
            <v:shape style="position:absolute;left:1278;top:92;width:9364;height:5622" coordorigin="1278,93" coordsize="9364,5622" path="m5960,93l1278,2904,5960,5715,10642,2904,5960,93xe" filled="true" fillcolor="#c8e3df" stroked="false">
              <v:path arrowok="t"/>
              <v:fill type="solid"/>
            </v:shape>
            <v:shape style="position:absolute;left:1377;top:152;width:9165;height:5503" coordorigin="1378,153" coordsize="9165,5503" path="m5960,153l1378,2904,5960,5655,10542,2904,5960,153xe" filled="true" fillcolor="#c9e3e0" stroked="false">
              <v:path arrowok="t"/>
              <v:fill type="solid"/>
            </v:shape>
            <v:shape style="position:absolute;left:1477;top:212;width:8966;height:5383" coordorigin="1477,212" coordsize="8966,5383" path="m5960,212l1477,2904,5960,5595,10443,2904,5960,212xe" filled="true" fillcolor="#cae4e0" stroked="false">
              <v:path arrowok="t"/>
              <v:fill type="solid"/>
            </v:shape>
            <v:shape style="position:absolute;left:1576;top:272;width:8766;height:5263" coordorigin="1577,272" coordsize="8766,5263" path="m5960,272l1577,2904,5960,5535,10343,2904,5960,272xe" filled="true" fillcolor="#cbe4e1" stroked="false">
              <v:path arrowok="t"/>
              <v:fill type="solid"/>
            </v:shape>
            <v:shape style="position:absolute;left:1676;top:332;width:8567;height:5144" coordorigin="1677,332" coordsize="8567,5144" path="m5960,332l1677,2904,5960,5475,10243,2904,5960,332xe" filled="true" fillcolor="#cce5e1" stroked="false">
              <v:path arrowok="t"/>
              <v:fill type="solid"/>
            </v:shape>
            <v:shape style="position:absolute;left:1776;top:391;width:8368;height:5024" coordorigin="1776,392" coordsize="8368,5024" path="m5960,392l1776,2904,5960,5416,10144,2904,5960,392xe" filled="true" fillcolor="#cde5e2" stroked="false">
              <v:path arrowok="t"/>
              <v:fill type="solid"/>
            </v:shape>
            <v:shape style="position:absolute;left:1875;top:451;width:8169;height:4905" coordorigin="1876,452" coordsize="8169,4905" path="m5960,452l1876,2904,5960,5356,10044,2904,5960,452xe" filled="true" fillcolor="#cee6e3" stroked="false">
              <v:path arrowok="t"/>
              <v:fill type="solid"/>
            </v:shape>
            <v:shape style="position:absolute;left:1975;top:511;width:7970;height:4785" coordorigin="1975,512" coordsize="7970,4785" path="m5960,512l1975,2904,5960,5296,9944,2904,5960,512xe" filled="true" fillcolor="#cfe6e3" stroked="false">
              <v:path arrowok="t"/>
              <v:fill type="solid"/>
            </v:shape>
            <v:shape style="position:absolute;left:2074;top:571;width:7770;height:4665" coordorigin="2075,571" coordsize="7770,4665" path="m5960,571l2075,2904,5960,5236,9845,2904,5960,571xe" filled="true" fillcolor="#d0e7e4" stroked="false">
              <v:path arrowok="t"/>
              <v:fill type="solid"/>
            </v:shape>
            <v:shape style="position:absolute;left:2174;top:631;width:7571;height:4546" coordorigin="2175,631" coordsize="7571,4546" path="m5960,631l2175,2904,5960,5176,9745,2904,5960,631xe" filled="true" fillcolor="#d1e7e4" stroked="false">
              <v:path arrowok="t"/>
              <v:fill type="solid"/>
            </v:shape>
            <v:shape style="position:absolute;left:2274;top:690;width:7372;height:4426" coordorigin="2274,691" coordsize="7372,4426" path="m5960,691l2274,2904,5960,5117,9646,2904,5960,691xe" filled="true" fillcolor="#d3e8e5" stroked="false">
              <v:path arrowok="t"/>
              <v:fill type="solid"/>
            </v:shape>
            <v:shape style="position:absolute;left:2373;top:750;width:7173;height:4306" coordorigin="2374,751" coordsize="7173,4306" path="m5960,751l2374,2904,5960,5057,9546,2904,5960,751xe" filled="true" fillcolor="#d4e8e5" stroked="false">
              <v:path arrowok="t"/>
              <v:fill type="solid"/>
            </v:shape>
            <v:shape style="position:absolute;left:2473;top:810;width:6973;height:4187" coordorigin="2473,811" coordsize="6973,4187" path="m5960,811l2473,2904,5960,4997,9446,2904,5960,811xe" filled="true" fillcolor="#d5e9e6" stroked="false">
              <v:path arrowok="t"/>
              <v:fill type="solid"/>
            </v:shape>
            <v:shape style="position:absolute;left:2573;top:870;width:6774;height:4067" coordorigin="2573,870" coordsize="6774,4067" path="m5960,870l2573,2904,5960,4937,9347,2904,5960,870xe" filled="true" fillcolor="#d6eae7" stroked="false">
              <v:path arrowok="t"/>
              <v:fill type="solid"/>
            </v:shape>
            <v:shape style="position:absolute;left:2672;top:930;width:6575;height:3948" coordorigin="2673,930" coordsize="6575,3948" path="m5960,930l2673,2904,5960,4877,9247,2904,5960,930xe" filled="true" fillcolor="#d7eae7" stroked="false">
              <v:path arrowok="t"/>
              <v:fill type="solid"/>
            </v:shape>
            <v:shape style="position:absolute;left:2772;top:989;width:6376;height:3828" coordorigin="2772,990" coordsize="6376,3828" path="m5960,990l2772,2904,5960,4817,9148,2904,5960,990xe" filled="true" fillcolor="#d8ebe8" stroked="false">
              <v:path arrowok="t"/>
              <v:fill type="solid"/>
            </v:shape>
            <v:shape style="position:absolute;left:2871;top:1049;width:6177;height:3708" coordorigin="2872,1050" coordsize="6177,3708" path="m5960,1050l2872,2904,5960,4758,9048,2904,5960,1050xe" filled="true" fillcolor="#d9ebe8" stroked="false">
              <v:path arrowok="t"/>
              <v:fill type="solid"/>
            </v:shape>
            <v:shape style="position:absolute;left:2971;top:1109;width:5977;height:3589" coordorigin="2971,1110" coordsize="5977,3589" path="m5960,1110l2971,2904,5960,4698,8948,2904,5960,1110xe" filled="true" fillcolor="#daece9" stroked="false">
              <v:path arrowok="t"/>
              <v:fill type="solid"/>
            </v:shape>
            <v:shape style="position:absolute;left:3071;top:1169;width:5778;height:3469" coordorigin="3071,1169" coordsize="5778,3469" path="m5960,1169l3071,2904,5960,4638,8849,2904,5960,1169xe" filled="true" fillcolor="#dbece9" stroked="false">
              <v:path arrowok="t"/>
              <v:fill type="solid"/>
            </v:shape>
            <v:shape style="position:absolute;left:3170;top:1229;width:5579;height:3350" coordorigin="3171,1229" coordsize="5579,3350" path="m5960,1229l3171,2904,5960,4578,8749,2904,5960,1229xe" filled="true" fillcolor="#dcedea" stroked="false">
              <v:path arrowok="t"/>
              <v:fill type="solid"/>
            </v:shape>
            <v:shape style="position:absolute;left:3270;top:1288;width:5380;height:3230" coordorigin="3270,1289" coordsize="5380,3230" path="m5960,1289l3270,2904,5960,4518,8649,2904,5960,1289xe" filled="true" fillcolor="#ddedeb" stroked="false">
              <v:path arrowok="t"/>
              <v:fill type="solid"/>
            </v:shape>
            <v:shape style="position:absolute;left:3369;top:1348;width:5180;height:3110" coordorigin="3370,1349" coordsize="5180,3110" path="m5960,1349l3370,2904,5960,4459,8550,2904,5960,1349xe" filled="true" fillcolor="#deeeeb" stroked="false">
              <v:path arrowok="t"/>
              <v:fill type="solid"/>
            </v:shape>
            <v:shape style="position:absolute;left:3469;top:1408;width:4981;height:2991" coordorigin="3470,1409" coordsize="4981,2991" path="m5960,1409l3470,2904,5960,4399,8450,2904,5960,1409xe" filled="true" fillcolor="#e0efec" stroked="false">
              <v:path arrowok="t"/>
              <v:fill type="solid"/>
            </v:shape>
            <v:shape style="position:absolute;left:3569;top:1468;width:4782;height:2871" coordorigin="3569,1468" coordsize="4782,2871" path="m5960,1468l3569,2904,5960,4339,8351,2904,5960,1468xe" filled="true" fillcolor="#e1efec" stroked="false">
              <v:path arrowok="t"/>
              <v:fill type="solid"/>
            </v:shape>
            <v:shape style="position:absolute;left:3668;top:1528;width:4583;height:2752" coordorigin="3669,1528" coordsize="4583,2752" path="m5960,1528l3669,2904,5960,4279,8251,2904,5960,1528xe" filled="true" fillcolor="#e2f0ed" stroked="false">
              <v:path arrowok="t"/>
              <v:fill type="solid"/>
            </v:shape>
            <v:shape style="position:absolute;left:3768;top:1588;width:4383;height:2632" coordorigin="3768,1588" coordsize="4383,2632" path="m5960,1588l3768,2904,5960,4219,8151,2904,5960,1588xe" filled="true" fillcolor="#e3f0ee" stroked="false">
              <v:path arrowok="t"/>
              <v:fill type="solid"/>
            </v:shape>
            <v:shape style="position:absolute;left:3868;top:1647;width:4184;height:2512" coordorigin="3868,1648" coordsize="4184,2512" path="m5960,1648l3868,2904,5960,4160,8052,2904,5960,1648xe" filled="true" fillcolor="#e4f1ee" stroked="false">
              <v:path arrowok="t"/>
              <v:fill type="solid"/>
            </v:shape>
            <v:shape style="position:absolute;left:3967;top:1707;width:3985;height:2393" coordorigin="3968,1708" coordsize="3985,2393" path="m5960,1708l3968,2904,5960,4100,7952,2904,5960,1708xe" filled="true" fillcolor="#e5f1ef" stroked="false">
              <v:path arrowok="t"/>
              <v:fill type="solid"/>
            </v:shape>
            <v:shape style="position:absolute;left:4067;top:1767;width:3786;height:2273" coordorigin="4067,1767" coordsize="3786,2273" path="m5960,1767l4067,2904,5960,4040,7853,2904,5960,1767xe" filled="true" fillcolor="#e6f2ef" stroked="false">
              <v:path arrowok="t"/>
              <v:fill type="solid"/>
            </v:shape>
            <v:shape style="position:absolute;left:4166;top:1827;width:3587;height:2153" coordorigin="4167,1827" coordsize="3587,2153" path="m5960,1827l4167,2904,5960,3980,7753,2904,5960,1827xe" filled="true" fillcolor="#e7f3f0" stroked="false">
              <v:path arrowok="t"/>
              <v:fill type="solid"/>
            </v:shape>
            <v:shape style="position:absolute;left:4266;top:1887;width:3387;height:2034" coordorigin="4266,1887" coordsize="3387,2034" path="m5960,1887l4266,2904,5960,3920,7653,2904,5960,1887xe" filled="true" fillcolor="#e9f3f1" stroked="false">
              <v:path arrowok="t"/>
              <v:fill type="solid"/>
            </v:shape>
            <v:shape style="position:absolute;left:4366;top:1946;width:3188;height:1914" coordorigin="4366,1947" coordsize="3188,1914" path="m5960,1947l4366,2904,5960,3861,7554,2904,5960,1947xe" filled="true" fillcolor="#eaf4f2" stroked="false">
              <v:path arrowok="t"/>
              <v:fill type="solid"/>
            </v:shape>
            <v:shape style="position:absolute;left:4465;top:2006;width:2989;height:1795" coordorigin="4466,2007" coordsize="2989,1795" path="m5960,2007l4466,2904,5960,3801,7454,2904,5960,2007xe" filled="true" fillcolor="#ebf4f2" stroked="false">
              <v:path arrowok="t"/>
              <v:fill type="solid"/>
            </v:shape>
            <v:shape style="position:absolute;left:4565;top:2066;width:2790;height:1675" coordorigin="4565,2066" coordsize="2790,1675" path="m5960,2066l4565,2904,5960,3741,7355,2904,5960,2066xe" filled="true" fillcolor="#ecf5f3" stroked="false">
              <v:path arrowok="t"/>
              <v:fill type="solid"/>
            </v:shape>
            <v:shape style="position:absolute;left:4664;top:2126;width:2590;height:1555" coordorigin="4665,2126" coordsize="2590,1555" path="m5960,2126l4665,2904,5960,3681,7255,2904,5960,2126xe" filled="true" fillcolor="#edf6f4" stroked="false">
              <v:path arrowok="t"/>
              <v:fill type="solid"/>
            </v:shape>
            <v:shape style="position:absolute;left:4764;top:2186;width:2391;height:1436" coordorigin="4765,2186" coordsize="2391,1436" path="m5960,2186l4765,2904,5960,3621,7155,2904,5960,2186xe" filled="true" fillcolor="#eff7f5" stroked="false">
              <v:path arrowok="t"/>
              <v:fill type="solid"/>
            </v:shape>
            <v:shape style="position:absolute;left:4864;top:2245;width:2192;height:1316" coordorigin="4864,2246" coordsize="2192,1316" path="m5960,2246l4864,2904,5960,3562,7056,2904,5960,2246xe" filled="true" fillcolor="#f0f7f5" stroked="false">
              <v:path arrowok="t"/>
              <v:fill type="solid"/>
            </v:shape>
            <v:shape style="position:absolute;left:4963;top:2305;width:1993;height:1197" coordorigin="4964,2306" coordsize="1993,1197" path="m5960,2306l4964,2904,5960,3502,6956,2904,5960,2306xe" filled="true" fillcolor="#f1f8f6" stroked="false">
              <v:path arrowok="t"/>
              <v:fill type="solid"/>
            </v:shape>
            <v:shape style="position:absolute;left:5063;top:2365;width:1794;height:1077" coordorigin="5063,2365" coordsize="1794,1077" path="m5960,2365l5063,2904,5960,3442,6856,2904,5960,2365xe" filled="true" fillcolor="#f2f8f7" stroked="false">
              <v:path arrowok="t"/>
              <v:fill type="solid"/>
            </v:shape>
            <v:shape style="position:absolute;left:5163;top:2425;width:1594;height:957" coordorigin="5163,2425" coordsize="1594,957" path="m5960,2425l5163,2904,5960,3382,6757,2904,5960,2425xe" filled="true" fillcolor="#f3f9f8" stroked="false">
              <v:path arrowok="t"/>
              <v:fill type="solid"/>
            </v:shape>
            <v:shape style="position:absolute;left:5262;top:2485;width:1395;height:838" coordorigin="5263,2485" coordsize="1395,838" path="m5960,2485l5263,2904,5960,3322,6657,2904,5960,2485xe" filled="true" fillcolor="#f5f9f8" stroked="false">
              <v:path arrowok="t"/>
              <v:fill type="solid"/>
            </v:shape>
            <v:shape style="position:absolute;left:5362;top:2544;width:1196;height:718" coordorigin="5362,2545" coordsize="1196,718" path="m5960,2545l5362,2904,5960,3263,6558,2904,5960,2545xe" filled="true" fillcolor="#f6faf9" stroked="false">
              <v:path arrowok="t"/>
              <v:fill type="solid"/>
            </v:shape>
            <v:shape style="position:absolute;left:5461;top:2604;width:997;height:599" coordorigin="5462,2605" coordsize="997,599" path="m5960,2605l5462,2904,5960,3203,6458,2904,5960,2605xe" filled="true" fillcolor="#f8fbfa" stroked="false">
              <v:path arrowok="t"/>
              <v:fill type="solid"/>
            </v:shape>
            <v:shape style="position:absolute;left:5561;top:2664;width:797;height:479" coordorigin="5561,2665" coordsize="797,479" path="m5960,2665l5561,2904,5960,3143,6358,2904,5960,2665xe" filled="true" fillcolor="#f9fcfc" stroked="false">
              <v:path arrowok="t"/>
              <v:fill type="solid"/>
            </v:shape>
            <v:shape style="position:absolute;left:5661;top:2724;width:598;height:359" coordorigin="5661,2724" coordsize="598,359" path="m5960,2724l5661,2904,5960,3083,6259,2904,5960,2724xe" filled="true" fillcolor="#fbfdfd" stroked="false">
              <v:path arrowok="t"/>
              <v:fill type="solid"/>
            </v:shape>
            <v:shape style="position:absolute;left:5760;top:2784;width:399;height:240" type="#_x0000_t75" stroked="false">
              <v:imagedata r:id="rId56" o:title=""/>
            </v:shape>
            <v:rect style="position:absolute;left:790;top:-197;width:10340;height:6200" filled="false" stroked="true" strokeweight="1pt" strokecolor="#009483">
              <v:stroke dashstyle="solid"/>
            </v:rect>
            <w10:wrap type="none"/>
          </v:group>
        </w:pict>
      </w:r>
      <w:bookmarkStart w:name="Summary" w:id="59"/>
      <w:bookmarkEnd w:id="59"/>
      <w:r>
        <w:rPr/>
      </w:r>
      <w:bookmarkStart w:name="_bookmark22" w:id="60"/>
      <w:bookmarkEnd w:id="60"/>
      <w:r>
        <w:rPr/>
      </w:r>
      <w:r>
        <w:rPr>
          <w:b/>
          <w:color w:val="009483"/>
          <w:sz w:val="28"/>
        </w:rPr>
        <w:t>The Government’s New Deal for unemployed people</w:t>
      </w:r>
    </w:p>
    <w:p>
      <w:pPr>
        <w:pStyle w:val="BodyText"/>
        <w:spacing w:before="10"/>
        <w:rPr>
          <w:b/>
          <w:sz w:val="26"/>
        </w:rPr>
      </w:pPr>
    </w:p>
    <w:p>
      <w:pPr>
        <w:spacing w:after="0"/>
        <w:rPr>
          <w:sz w:val="26"/>
        </w:rPr>
        <w:sectPr>
          <w:pgSz w:w="11880" w:h="16840"/>
          <w:pgMar w:header="566" w:footer="597" w:top="760" w:bottom="780" w:left="620" w:right="620"/>
        </w:sectPr>
      </w:pPr>
    </w:p>
    <w:p>
      <w:pPr>
        <w:spacing w:line="244" w:lineRule="auto" w:before="90"/>
        <w:ind w:left="420" w:right="-3" w:firstLine="0"/>
        <w:jc w:val="left"/>
        <w:rPr>
          <w:sz w:val="23"/>
        </w:rPr>
      </w:pPr>
      <w:r>
        <w:rPr>
          <w:color w:val="231F20"/>
          <w:sz w:val="23"/>
        </w:rPr>
        <w:t>The Government’s ‘New Deal’ for unemployed people is targeted at: people under 25 who have been unemployed for over six months; and people over 25 who have been unemployed for more than two years.</w:t>
      </w:r>
    </w:p>
    <w:p>
      <w:pPr>
        <w:pStyle w:val="BodyText"/>
        <w:spacing w:before="7"/>
        <w:rPr>
          <w:sz w:val="23"/>
        </w:rPr>
      </w:pPr>
    </w:p>
    <w:p>
      <w:pPr>
        <w:spacing w:line="244" w:lineRule="auto" w:before="0"/>
        <w:ind w:left="420" w:right="-3" w:firstLine="0"/>
        <w:jc w:val="left"/>
        <w:rPr>
          <w:sz w:val="23"/>
        </w:rPr>
      </w:pPr>
      <w:r>
        <w:rPr>
          <w:color w:val="231F20"/>
          <w:sz w:val="23"/>
        </w:rPr>
        <w:t>The New Deal for young people covers all those aged 18–24 who have claimed the Jobseeker’s Allowance for six months or more. For these people, the New Deal will begin with a period of counselling, advice and guidance, ‘the Gateway’, which may be enough to help some into work.</w:t>
      </w:r>
    </w:p>
    <w:p>
      <w:pPr>
        <w:spacing w:line="244" w:lineRule="auto" w:before="1"/>
        <w:ind w:left="420" w:right="98" w:firstLine="0"/>
        <w:jc w:val="left"/>
        <w:rPr>
          <w:sz w:val="23"/>
        </w:rPr>
      </w:pPr>
      <w:r>
        <w:rPr>
          <w:color w:val="231F20"/>
          <w:sz w:val="23"/>
        </w:rPr>
        <w:t>Thereafter, four options will be available: an employment subsidy of £60 per week for up to 26 weeks; a job for six months on the Government’s Environment </w:t>
      </w:r>
      <w:r>
        <w:rPr>
          <w:color w:val="231F20"/>
          <w:spacing w:val="-5"/>
          <w:sz w:val="23"/>
        </w:rPr>
        <w:t>Task </w:t>
      </w:r>
      <w:r>
        <w:rPr>
          <w:color w:val="231F20"/>
          <w:sz w:val="23"/>
        </w:rPr>
        <w:t>Force; a job </w:t>
      </w:r>
      <w:r>
        <w:rPr>
          <w:color w:val="231F20"/>
          <w:spacing w:val="-5"/>
          <w:sz w:val="23"/>
        </w:rPr>
        <w:t>for </w:t>
      </w:r>
      <w:r>
        <w:rPr>
          <w:color w:val="231F20"/>
          <w:sz w:val="23"/>
        </w:rPr>
        <w:t>six months with a voluntary sector employer; or the opportunity to take up full-time education</w:t>
      </w:r>
      <w:r>
        <w:rPr>
          <w:color w:val="231F20"/>
          <w:spacing w:val="-3"/>
          <w:sz w:val="23"/>
        </w:rPr>
        <w:t> </w:t>
      </w:r>
      <w:r>
        <w:rPr>
          <w:color w:val="231F20"/>
          <w:sz w:val="23"/>
        </w:rPr>
        <w:t>or</w:t>
      </w:r>
    </w:p>
    <w:p>
      <w:pPr>
        <w:spacing w:line="244" w:lineRule="auto" w:before="90"/>
        <w:ind w:left="420" w:right="456" w:firstLine="0"/>
        <w:jc w:val="left"/>
        <w:rPr>
          <w:sz w:val="23"/>
        </w:rPr>
      </w:pPr>
      <w:r>
        <w:rPr/>
        <w:br w:type="column"/>
      </w:r>
      <w:r>
        <w:rPr>
          <w:color w:val="231F20"/>
          <w:sz w:val="23"/>
        </w:rPr>
        <w:t>training for twelve months (all the employment options include one day per week release for education and training to reach an accredited qualification). Candidates who refuse a place on the scheme may lose benefits. The New Deal for 18–24 year olds was introduced in January this year in a number of ‘pathfinder’ areas covering 10%–15% of the target group; it will be introduced nationwide in April.</w:t>
      </w:r>
    </w:p>
    <w:p>
      <w:pPr>
        <w:pStyle w:val="BodyText"/>
        <w:spacing w:before="8"/>
        <w:rPr>
          <w:sz w:val="23"/>
        </w:rPr>
      </w:pPr>
    </w:p>
    <w:p>
      <w:pPr>
        <w:spacing w:line="244" w:lineRule="auto" w:before="0"/>
        <w:ind w:left="420" w:right="456" w:firstLine="0"/>
        <w:jc w:val="left"/>
        <w:rPr>
          <w:sz w:val="23"/>
        </w:rPr>
      </w:pPr>
      <w:r>
        <w:rPr>
          <w:color w:val="231F20"/>
          <w:sz w:val="23"/>
        </w:rPr>
        <w:t>From June 1998, all those aged 25 and over who have been unemployed for two years or more will be able to benefit from one of two options: an employment subsidy of £75 per week for</w:t>
      </w:r>
    </w:p>
    <w:p>
      <w:pPr>
        <w:spacing w:line="244" w:lineRule="auto" w:before="1"/>
        <w:ind w:left="420" w:right="456" w:firstLine="0"/>
        <w:jc w:val="left"/>
        <w:rPr>
          <w:sz w:val="23"/>
        </w:rPr>
      </w:pPr>
      <w:r>
        <w:rPr>
          <w:color w:val="231F20"/>
          <w:sz w:val="23"/>
        </w:rPr>
        <w:t>26 weeks; or opportunities to study for up to twelve months in full-time employment-related courses designed to reach an accredited qualification.</w:t>
      </w:r>
    </w:p>
    <w:p>
      <w:pPr>
        <w:spacing w:after="0" w:line="244" w:lineRule="auto"/>
        <w:jc w:val="left"/>
        <w:rPr>
          <w:sz w:val="23"/>
        </w:rPr>
        <w:sectPr>
          <w:type w:val="continuous"/>
          <w:pgSz w:w="11880" w:h="16840"/>
          <w:pgMar w:top="1200" w:bottom="280" w:left="620" w:right="620"/>
          <w:cols w:num="2" w:equalWidth="0">
            <w:col w:w="5074" w:space="66"/>
            <w:col w:w="5500"/>
          </w:cols>
        </w:sectPr>
      </w:pPr>
    </w:p>
    <w:p>
      <w:pPr>
        <w:pStyle w:val="BodyText"/>
        <w:spacing w:before="7"/>
        <w:rPr>
          <w:sz w:val="28"/>
        </w:rPr>
      </w:pPr>
    </w:p>
    <w:p>
      <w:pPr>
        <w:spacing w:line="242" w:lineRule="auto" w:before="90"/>
        <w:ind w:left="5000" w:right="149" w:firstLine="0"/>
        <w:jc w:val="left"/>
        <w:rPr>
          <w:sz w:val="24"/>
        </w:rPr>
      </w:pPr>
      <w:r>
        <w:rPr>
          <w:color w:val="231F20"/>
          <w:sz w:val="24"/>
        </w:rPr>
        <w:t>employable people not covered by the scheme, then many from this latter group should be able to find other jobs at a slightly lower real wage. The training and experience gained as part of the New Deal should reduce the chances of churning, by helping the targeted groups to compete more effectively for jobs.</w:t>
      </w:r>
    </w:p>
    <w:p>
      <w:pPr>
        <w:pStyle w:val="BodyText"/>
        <w:spacing w:before="2"/>
        <w:rPr>
          <w:sz w:val="25"/>
        </w:rPr>
      </w:pPr>
    </w:p>
    <w:p>
      <w:pPr>
        <w:pStyle w:val="Heading3"/>
        <w:numPr>
          <w:ilvl w:val="1"/>
          <w:numId w:val="18"/>
        </w:numPr>
        <w:tabs>
          <w:tab w:pos="9097" w:val="left" w:leader="none"/>
          <w:tab w:pos="9099" w:val="left" w:leader="none"/>
        </w:tabs>
        <w:spacing w:line="240" w:lineRule="auto" w:before="0" w:after="0"/>
        <w:ind w:left="9098" w:right="0" w:hanging="4099"/>
        <w:jc w:val="left"/>
        <w:rPr>
          <w:color w:val="009483"/>
        </w:rPr>
      </w:pPr>
      <w:r>
        <w:rPr>
          <w:color w:val="009483"/>
          <w:u w:val="thick" w:color="0093C1"/>
        </w:rPr>
        <w:t>Summary</w:t>
      </w:r>
      <w:r>
        <w:rPr>
          <w:color w:val="009483"/>
          <w:spacing w:val="-11"/>
          <w:u w:val="thick" w:color="0093C1"/>
        </w:rPr>
        <w:t> </w:t>
      </w:r>
    </w:p>
    <w:p>
      <w:pPr>
        <w:pStyle w:val="BodyText"/>
        <w:rPr>
          <w:b/>
          <w:sz w:val="24"/>
        </w:rPr>
      </w:pPr>
    </w:p>
    <w:p>
      <w:pPr>
        <w:spacing w:line="242" w:lineRule="auto" w:before="0"/>
        <w:ind w:left="5000" w:right="368" w:firstLine="0"/>
        <w:jc w:val="left"/>
        <w:rPr>
          <w:sz w:val="24"/>
        </w:rPr>
      </w:pPr>
      <w:r>
        <w:rPr>
          <w:color w:val="231F20"/>
          <w:sz w:val="24"/>
        </w:rPr>
        <w:t>Data published in the past three months have indicated that nominal earnings growth rose and that the labour market continued to tighten: unemployment has fallen rapidly, employment growth has remained strong, and skill shortages remain high.</w:t>
      </w:r>
    </w:p>
    <w:p>
      <w:pPr>
        <w:pStyle w:val="BodyText"/>
        <w:spacing w:before="10"/>
        <w:rPr>
          <w:sz w:val="24"/>
        </w:rPr>
      </w:pPr>
    </w:p>
    <w:p>
      <w:pPr>
        <w:spacing w:line="242" w:lineRule="auto" w:before="0"/>
        <w:ind w:left="5000" w:right="201" w:firstLine="0"/>
        <w:jc w:val="left"/>
        <w:rPr>
          <w:sz w:val="24"/>
        </w:rPr>
      </w:pPr>
      <w:r>
        <w:rPr>
          <w:color w:val="231F20"/>
          <w:sz w:val="24"/>
        </w:rPr>
        <w:t>Lower levels of unemployment now appear consistent with a given level of short-term real wage pressure compared with the early 1980s; this shift in the</w:t>
      </w:r>
    </w:p>
    <w:p>
      <w:pPr>
        <w:spacing w:line="242" w:lineRule="auto" w:before="4"/>
        <w:ind w:left="5000" w:right="201" w:firstLine="0"/>
        <w:jc w:val="left"/>
        <w:rPr>
          <w:sz w:val="24"/>
        </w:rPr>
      </w:pPr>
      <w:r>
        <w:rPr>
          <w:color w:val="231F20"/>
          <w:sz w:val="24"/>
        </w:rPr>
        <w:t>trade-off is an assumption underlying the inflation projection. More falls in unemployment are likely in the first half of 1998. But its decline will probably begin to slow and the level may stop falling towards the middle of the year, excluding the effects of the New Deal. As a result of this further tightening, a rise in the growth of real earnings in the first half of 1998 is likely.</w:t>
      </w:r>
    </w:p>
    <w:p>
      <w:pPr>
        <w:spacing w:after="0" w:line="242" w:lineRule="auto"/>
        <w:jc w:val="left"/>
        <w:rPr>
          <w:sz w:val="24"/>
        </w:rPr>
        <w:sectPr>
          <w:type w:val="continuous"/>
          <w:pgSz w:w="11880" w:h="16840"/>
          <w:pgMar w:top="1200" w:bottom="280" w:left="620" w:right="62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541760;mso-wrap-distance-left:0;mso-wrap-distance-right:0" type="#_x0000_t202" filled="true" fillcolor="#b5dad6" stroked="false">
            <v:textbox inset="0,0,0,0">
              <w:txbxContent>
                <w:p>
                  <w:pPr>
                    <w:tabs>
                      <w:tab w:pos="6740" w:val="left" w:leader="none"/>
                    </w:tabs>
                    <w:spacing w:before="51"/>
                    <w:ind w:left="260" w:right="0" w:firstLine="0"/>
                    <w:jc w:val="left"/>
                    <w:rPr>
                      <w:b/>
                      <w:sz w:val="48"/>
                    </w:rPr>
                  </w:pPr>
                  <w:bookmarkStart w:name="Costs and prices" w:id="61"/>
                  <w:bookmarkEnd w:id="61"/>
                  <w:r>
                    <w:rPr/>
                  </w:r>
                  <w:bookmarkStart w:name="Import prices and the exchange rate" w:id="62"/>
                  <w:bookmarkEnd w:id="62"/>
                  <w:r>
                    <w:rPr/>
                  </w:r>
                  <w:bookmarkStart w:name="_bookmark23" w:id="63"/>
                  <w:bookmarkEnd w:id="63"/>
                  <w:r>
                    <w:rPr/>
                  </w:r>
                  <w:r>
                    <w:rPr>
                      <w:b/>
                      <w:color w:val="009483"/>
                      <w:sz w:val="72"/>
                    </w:rPr>
                    <w:t>4</w:t>
                    <w:tab/>
                  </w:r>
                  <w:r>
                    <w:rPr>
                      <w:b/>
                      <w:color w:val="009483"/>
                      <w:sz w:val="48"/>
                    </w:rPr>
                    <w:t>Costs and prices</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57"/>
          <w:footerReference w:type="even" r:id="rId58"/>
          <w:footerReference w:type="default" r:id="rId59"/>
          <w:pgSz w:w="11880" w:h="16840"/>
          <w:pgMar w:header="0" w:footer="597" w:top="760" w:bottom="780" w:left="620" w:right="620"/>
          <w:pgNumType w:start="3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9"/>
        <w:spacing w:before="0"/>
        <w:ind w:left="233"/>
      </w:pPr>
      <w:r>
        <w:rPr>
          <w:color w:val="0093C1"/>
        </w:rPr>
        <w:t>Chart 4.1</w:t>
      </w:r>
    </w:p>
    <w:p>
      <w:pPr>
        <w:spacing w:before="10"/>
        <w:ind w:left="233" w:right="0" w:firstLine="0"/>
        <w:jc w:val="left"/>
        <w:rPr>
          <w:b/>
          <w:sz w:val="20"/>
        </w:rPr>
      </w:pPr>
      <w:r>
        <w:rPr>
          <w:b/>
          <w:color w:val="0093C1"/>
          <w:sz w:val="20"/>
        </w:rPr>
        <w:t>Import prices and the exchange rate</w:t>
      </w:r>
    </w:p>
    <w:p>
      <w:pPr>
        <w:spacing w:line="242" w:lineRule="auto" w:before="208"/>
        <w:ind w:left="233" w:right="217" w:firstLine="0"/>
        <w:jc w:val="left"/>
        <w:rPr>
          <w:sz w:val="24"/>
        </w:rPr>
      </w:pPr>
      <w:r>
        <w:rPr/>
        <w:br w:type="column"/>
      </w:r>
      <w:r>
        <w:rPr>
          <w:color w:val="231F20"/>
          <w:sz w:val="24"/>
        </w:rPr>
        <w:t>Import prices </w:t>
      </w:r>
      <w:r>
        <w:rPr>
          <w:color w:val="231F20"/>
          <w:spacing w:val="-3"/>
          <w:sz w:val="24"/>
        </w:rPr>
        <w:t>have </w:t>
      </w:r>
      <w:r>
        <w:rPr>
          <w:color w:val="231F20"/>
          <w:sz w:val="24"/>
        </w:rPr>
        <w:t>fallen during the past year and a </w:t>
      </w:r>
      <w:r>
        <w:rPr>
          <w:color w:val="231F20"/>
          <w:spacing w:val="-4"/>
          <w:sz w:val="24"/>
        </w:rPr>
        <w:t>half, </w:t>
      </w:r>
      <w:r>
        <w:rPr>
          <w:color w:val="231F20"/>
          <w:sz w:val="24"/>
        </w:rPr>
        <w:t>but by less than the sterling effective exchange rate has appreciated in the same period. The price of oil fell significantly in December and January. Cost pressures in the goods sector </w:t>
      </w:r>
      <w:r>
        <w:rPr>
          <w:color w:val="231F20"/>
          <w:spacing w:val="-3"/>
          <w:sz w:val="24"/>
        </w:rPr>
        <w:t>have </w:t>
      </w:r>
      <w:r>
        <w:rPr>
          <w:color w:val="231F20"/>
          <w:sz w:val="24"/>
        </w:rPr>
        <w:t>fallen, but these </w:t>
      </w:r>
      <w:r>
        <w:rPr>
          <w:color w:val="231F20"/>
          <w:spacing w:val="-3"/>
          <w:sz w:val="24"/>
        </w:rPr>
        <w:t>have </w:t>
      </w:r>
      <w:r>
        <w:rPr>
          <w:color w:val="231F20"/>
          <w:sz w:val="24"/>
        </w:rPr>
        <w:t>not been passed on fully to retail goods prices. Cost pressures </w:t>
      </w:r>
      <w:r>
        <w:rPr>
          <w:color w:val="231F20"/>
          <w:spacing w:val="-3"/>
          <w:sz w:val="24"/>
        </w:rPr>
        <w:t>have </w:t>
      </w:r>
      <w:r>
        <w:rPr>
          <w:color w:val="231F20"/>
          <w:sz w:val="24"/>
        </w:rPr>
        <w:t>been less subdued in the service sector, partly because it is less exposed to exchange rate</w:t>
      </w:r>
      <w:r>
        <w:rPr>
          <w:color w:val="231F20"/>
          <w:spacing w:val="-5"/>
          <w:sz w:val="24"/>
        </w:rPr>
        <w:t> </w:t>
      </w:r>
      <w:r>
        <w:rPr>
          <w:color w:val="231F20"/>
          <w:sz w:val="24"/>
        </w:rPr>
        <w:t>changes.</w:t>
      </w:r>
    </w:p>
    <w:p>
      <w:pPr>
        <w:spacing w:before="11"/>
        <w:ind w:left="233" w:right="0" w:firstLine="0"/>
        <w:jc w:val="left"/>
        <w:rPr>
          <w:sz w:val="24"/>
        </w:rPr>
      </w:pPr>
      <w:r>
        <w:rPr>
          <w:color w:val="231F20"/>
          <w:sz w:val="24"/>
        </w:rPr>
        <w:t>RPIX annual inflation was 2.7% in December, compared</w:t>
      </w:r>
    </w:p>
    <w:p>
      <w:pPr>
        <w:spacing w:after="0"/>
        <w:jc w:val="left"/>
        <w:rPr>
          <w:sz w:val="24"/>
        </w:rPr>
        <w:sectPr>
          <w:type w:val="continuous"/>
          <w:pgSz w:w="11880" w:h="16840"/>
          <w:pgMar w:top="1200" w:bottom="280" w:left="620" w:right="620"/>
          <w:cols w:num="2" w:equalWidth="0">
            <w:col w:w="3368" w:space="1399"/>
            <w:col w:w="5873"/>
          </w:cols>
        </w:sectPr>
      </w:pPr>
    </w:p>
    <w:p>
      <w:pPr>
        <w:pStyle w:val="BodyText"/>
        <w:spacing w:before="8"/>
        <w:rPr>
          <w:sz w:val="13"/>
        </w:rPr>
      </w:pPr>
    </w:p>
    <w:p>
      <w:pPr>
        <w:spacing w:before="0"/>
        <w:ind w:left="220" w:right="0" w:firstLine="0"/>
        <w:jc w:val="left"/>
        <w:rPr>
          <w:sz w:val="12"/>
        </w:rPr>
      </w:pPr>
      <w:r>
        <w:rPr>
          <w:sz w:val="12"/>
        </w:rPr>
        <w:t>71</w:t>
      </w:r>
    </w:p>
    <w:p>
      <w:pPr>
        <w:pStyle w:val="BodyText"/>
        <w:rPr>
          <w:sz w:val="12"/>
        </w:rPr>
      </w:pPr>
    </w:p>
    <w:p>
      <w:pPr>
        <w:pStyle w:val="BodyText"/>
        <w:spacing w:before="9"/>
        <w:rPr>
          <w:sz w:val="10"/>
        </w:rPr>
      </w:pPr>
    </w:p>
    <w:p>
      <w:pPr>
        <w:spacing w:before="0"/>
        <w:ind w:left="220" w:right="0" w:firstLine="0"/>
        <w:jc w:val="left"/>
        <w:rPr>
          <w:sz w:val="12"/>
        </w:rPr>
      </w:pPr>
      <w:r>
        <w:rPr/>
        <w:pict>
          <v:line style="position:absolute;mso-position-horizontal-relative:page;mso-position-vertical-relative:paragraph;z-index:15923200" from="59.5pt,4.101563pt" to="54.5pt,4.101563pt" stroked="true" strokeweight=".5pt" strokecolor="#000000">
            <v:stroke dashstyle="solid"/>
            <w10:wrap type="none"/>
          </v:line>
        </w:pict>
      </w:r>
      <w:r>
        <w:rPr>
          <w:sz w:val="12"/>
        </w:rPr>
        <w:t>75</w:t>
      </w:r>
    </w:p>
    <w:p>
      <w:pPr>
        <w:pStyle w:val="BodyText"/>
        <w:rPr>
          <w:sz w:val="12"/>
        </w:rPr>
      </w:pPr>
    </w:p>
    <w:p>
      <w:pPr>
        <w:pStyle w:val="BodyText"/>
        <w:rPr>
          <w:sz w:val="12"/>
        </w:rPr>
      </w:pPr>
    </w:p>
    <w:p>
      <w:pPr>
        <w:spacing w:before="86"/>
        <w:ind w:left="220" w:right="0" w:firstLine="0"/>
        <w:jc w:val="left"/>
        <w:rPr>
          <w:sz w:val="12"/>
        </w:rPr>
      </w:pPr>
      <w:r>
        <w:rPr>
          <w:sz w:val="12"/>
        </w:rPr>
        <w:t>80</w:t>
      </w:r>
    </w:p>
    <w:p>
      <w:pPr>
        <w:pStyle w:val="BodyText"/>
        <w:rPr>
          <w:sz w:val="12"/>
        </w:rPr>
      </w:pPr>
    </w:p>
    <w:p>
      <w:pPr>
        <w:pStyle w:val="BodyText"/>
        <w:rPr>
          <w:sz w:val="16"/>
        </w:rPr>
      </w:pPr>
    </w:p>
    <w:p>
      <w:pPr>
        <w:spacing w:before="0"/>
        <w:ind w:left="220" w:right="0" w:firstLine="0"/>
        <w:jc w:val="left"/>
        <w:rPr>
          <w:sz w:val="12"/>
        </w:rPr>
      </w:pPr>
      <w:r>
        <w:rPr>
          <w:sz w:val="12"/>
        </w:rPr>
        <w:t>85</w:t>
      </w:r>
    </w:p>
    <w:p>
      <w:pPr>
        <w:pStyle w:val="BodyText"/>
        <w:rPr>
          <w:sz w:val="12"/>
        </w:rPr>
      </w:pPr>
    </w:p>
    <w:p>
      <w:pPr>
        <w:pStyle w:val="BodyText"/>
        <w:spacing w:before="3"/>
        <w:rPr>
          <w:sz w:val="14"/>
        </w:rPr>
      </w:pPr>
    </w:p>
    <w:p>
      <w:pPr>
        <w:spacing w:before="1"/>
        <w:ind w:left="220" w:right="0" w:firstLine="0"/>
        <w:jc w:val="left"/>
        <w:rPr>
          <w:sz w:val="12"/>
        </w:rPr>
      </w:pPr>
      <w:r>
        <w:rPr>
          <w:sz w:val="12"/>
        </w:rPr>
        <w:t>90</w:t>
      </w:r>
    </w:p>
    <w:p>
      <w:pPr>
        <w:pStyle w:val="BodyText"/>
        <w:rPr>
          <w:sz w:val="12"/>
        </w:rPr>
      </w:pPr>
    </w:p>
    <w:p>
      <w:pPr>
        <w:pStyle w:val="BodyText"/>
        <w:spacing w:before="2"/>
        <w:rPr>
          <w:sz w:val="14"/>
        </w:rPr>
      </w:pPr>
    </w:p>
    <w:p>
      <w:pPr>
        <w:spacing w:before="1"/>
        <w:ind w:left="220" w:right="0" w:firstLine="0"/>
        <w:jc w:val="left"/>
        <w:rPr>
          <w:sz w:val="12"/>
        </w:rPr>
      </w:pPr>
      <w:r>
        <w:rPr>
          <w:sz w:val="12"/>
        </w:rPr>
        <w:t>95</w:t>
      </w:r>
    </w:p>
    <w:p>
      <w:pPr>
        <w:pStyle w:val="BodyText"/>
        <w:rPr>
          <w:sz w:val="12"/>
        </w:rPr>
      </w:pPr>
    </w:p>
    <w:p>
      <w:pPr>
        <w:spacing w:before="104"/>
        <w:ind w:left="160" w:right="0" w:firstLine="0"/>
        <w:jc w:val="left"/>
        <w:rPr>
          <w:sz w:val="12"/>
        </w:rPr>
      </w:pPr>
      <w:r>
        <w:rPr>
          <w:sz w:val="12"/>
        </w:rPr>
        <w:t>100</w:t>
      </w:r>
    </w:p>
    <w:p>
      <w:pPr>
        <w:pStyle w:val="BodyText"/>
        <w:rPr>
          <w:sz w:val="12"/>
        </w:rPr>
      </w:pPr>
    </w:p>
    <w:p>
      <w:pPr>
        <w:spacing w:line="76" w:lineRule="exact" w:before="84"/>
        <w:ind w:left="180" w:right="0" w:firstLine="0"/>
        <w:jc w:val="left"/>
        <w:rPr>
          <w:sz w:val="12"/>
        </w:rPr>
      </w:pPr>
      <w:r>
        <w:rPr>
          <w:sz w:val="12"/>
        </w:rPr>
        <w:t>105</w:t>
      </w:r>
    </w:p>
    <w:p>
      <w:pPr>
        <w:tabs>
          <w:tab w:pos="2769" w:val="left" w:leader="none"/>
        </w:tabs>
        <w:spacing w:before="58"/>
        <w:ind w:left="59" w:right="0" w:firstLine="0"/>
        <w:jc w:val="left"/>
        <w:rPr>
          <w:sz w:val="12"/>
        </w:rPr>
      </w:pPr>
      <w:r>
        <w:rPr/>
        <w:br w:type="column"/>
      </w:r>
      <w:r>
        <w:rPr>
          <w:sz w:val="12"/>
        </w:rPr>
        <w:t>1990 = 100 (a)</w:t>
        <w:tab/>
        <w:t>1990 = 100 </w:t>
      </w:r>
      <w:r>
        <w:rPr>
          <w:spacing w:val="-7"/>
          <w:sz w:val="12"/>
        </w:rPr>
        <w:t>(a)</w:t>
      </w:r>
    </w:p>
    <w:p>
      <w:pPr>
        <w:tabs>
          <w:tab w:pos="3365" w:val="left" w:leader="none"/>
        </w:tabs>
        <w:spacing w:line="20" w:lineRule="exact"/>
        <w:ind w:left="65" w:right="-58"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0"/>
        </w:rPr>
      </w:pPr>
      <w:r>
        <w:rPr/>
        <w:pict>
          <v:shape style="position:absolute;margin-left:219.5pt;margin-top:14.2pt;width:5pt;height:.1pt;mso-position-horizontal-relative:page;mso-position-vertical-relative:paragraph;z-index:-15540224;mso-wrap-distance-left:0;mso-wrap-distance-right:0" coordorigin="4390,284" coordsize="100,0" path="m4490,284l4390,284e" filled="false" stroked="true" strokeweight=".5pt" strokecolor="#000000">
            <v:path arrowok="t"/>
            <v:stroke dashstyle="solid"/>
            <w10:wrap type="topAndBottom"/>
          </v:shape>
        </w:pict>
      </w:r>
    </w:p>
    <w:p>
      <w:pPr>
        <w:spacing w:line="208" w:lineRule="auto" w:before="0"/>
        <w:ind w:left="1879" w:right="748" w:hanging="40"/>
        <w:jc w:val="left"/>
        <w:rPr>
          <w:sz w:val="12"/>
        </w:rPr>
      </w:pPr>
      <w:r>
        <w:rPr>
          <w:sz w:val="12"/>
        </w:rPr>
        <w:t>Imported goods (right-hand scale)</w:t>
      </w:r>
    </w:p>
    <w:p>
      <w:pPr>
        <w:pStyle w:val="BodyText"/>
        <w:spacing w:before="7"/>
        <w:rPr>
          <w:sz w:val="3"/>
        </w:rPr>
      </w:pPr>
    </w:p>
    <w:p>
      <w:pPr>
        <w:pStyle w:val="BodyText"/>
        <w:spacing w:line="20" w:lineRule="exact"/>
        <w:ind w:left="3365" w:right="-58"/>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2"/>
        </w:rPr>
      </w:pPr>
      <w:r>
        <w:rPr/>
        <w:pict>
          <v:shape style="position:absolute;margin-left:219.5pt;margin-top:15.293098pt;width:5pt;height:.1pt;mso-position-horizontal-relative:page;mso-position-vertical-relative:paragraph;z-index:-15539200;mso-wrap-distance-left:0;mso-wrap-distance-right:0" coordorigin="4390,306" coordsize="100,0" path="m4490,306l4390,306e" filled="false" stroked="true" strokeweight=".5pt" strokecolor="#000000">
            <v:path arrowok="t"/>
            <v:stroke dashstyle="solid"/>
            <w10:wrap type="topAndBottom"/>
          </v:shape>
        </w:pict>
      </w:r>
      <w:r>
        <w:rPr/>
        <w:pict>
          <v:shape style="position:absolute;margin-left:219.5pt;margin-top:30.293098pt;width:5pt;height:.1pt;mso-position-horizontal-relative:page;mso-position-vertical-relative:paragraph;z-index:-15538688;mso-wrap-distance-left:0;mso-wrap-distance-right:0" coordorigin="4390,606" coordsize="100,0" path="m4490,606l4390,606e" filled="false" stroked="true" strokeweight=".5pt" strokecolor="#000000">
            <v:path arrowok="t"/>
            <v:stroke dashstyle="solid"/>
            <w10:wrap type="topAndBottom"/>
          </v:shape>
        </w:pict>
      </w:r>
      <w:r>
        <w:rPr/>
        <w:pict>
          <v:shape style="position:absolute;margin-left:219.5pt;margin-top:47.293098pt;width:5pt;height:.1pt;mso-position-horizontal-relative:page;mso-position-vertical-relative:paragraph;z-index:-15538176;mso-wrap-distance-left:0;mso-wrap-distance-right:0" coordorigin="4390,946" coordsize="100,0" path="m4490,946l4390,946e" filled="false" stroked="true" strokeweight=".5pt" strokecolor="#000000">
            <v:path arrowok="t"/>
            <v:stroke dashstyle="solid"/>
            <w10:wrap type="topAndBottom"/>
          </v:shape>
        </w:pict>
      </w:r>
      <w:r>
        <w:rPr/>
        <w:pict>
          <v:shape style="position:absolute;margin-left:219.5pt;margin-top:65.293098pt;width:5pt;height:.1pt;mso-position-horizontal-relative:page;mso-position-vertical-relative:paragraph;z-index:-15537664;mso-wrap-distance-left:0;mso-wrap-distance-right:0" coordorigin="4390,1306" coordsize="100,0" path="m4490,1306l4390,1306e" filled="false" stroked="true" strokeweight=".5pt" strokecolor="#000000">
            <v:path arrowok="t"/>
            <v:stroke dashstyle="solid"/>
            <w10:wrap type="topAndBottom"/>
          </v:shape>
        </w:pict>
      </w:r>
      <w:r>
        <w:rPr/>
        <w:pict>
          <v:shape style="position:absolute;margin-left:219.5pt;margin-top:82.293098pt;width:5pt;height:.1pt;mso-position-horizontal-relative:page;mso-position-vertical-relative:paragraph;z-index:-15537152;mso-wrap-distance-left:0;mso-wrap-distance-right:0" coordorigin="4390,1646" coordsize="100,0" path="m4490,1646l4390,1646e" filled="false" stroked="true" strokeweight=".5pt" strokecolor="#000000">
            <v:path arrowok="t"/>
            <v:stroke dashstyle="solid"/>
            <w10:wrap type="topAndBottom"/>
          </v:shape>
        </w:pict>
      </w:r>
      <w:r>
        <w:rPr/>
        <w:pict>
          <v:shape style="position:absolute;margin-left:219.5pt;margin-top:102.293098pt;width:5pt;height:.1pt;mso-position-horizontal-relative:page;mso-position-vertical-relative:paragraph;z-index:-15536640;mso-wrap-distance-left:0;mso-wrap-distance-right:0" coordorigin="4390,2046" coordsize="100,0" path="m4490,2046l4390,2046e" filled="false" stroked="true" strokeweight=".5pt" strokecolor="#000000">
            <v:path arrowok="t"/>
            <v:stroke dashstyle="solid"/>
            <w10:wrap type="topAndBottom"/>
          </v:shape>
        </w:pict>
      </w:r>
      <w:r>
        <w:rPr/>
        <w:pict>
          <v:shape style="position:absolute;margin-left:219.5pt;margin-top:121.293098pt;width:5pt;height:.1pt;mso-position-horizontal-relative:page;mso-position-vertical-relative:paragraph;z-index:-15536128;mso-wrap-distance-left:0;mso-wrap-distance-right:0" coordorigin="4390,2426" coordsize="100,0" path="m4490,2426l4390,2426e" filled="false" stroked="true" strokeweight=".5pt" strokecolor="#000000">
            <v:path arrowok="t"/>
            <v:stroke dashstyle="solid"/>
            <w10:wrap type="topAndBottom"/>
          </v:shape>
        </w:pict>
      </w:r>
    </w:p>
    <w:p>
      <w:pPr>
        <w:pStyle w:val="BodyText"/>
        <w:spacing w:before="3"/>
        <w:rPr>
          <w:sz w:val="19"/>
        </w:rPr>
      </w:pPr>
    </w:p>
    <w:p>
      <w:pPr>
        <w:pStyle w:val="BodyText"/>
        <w:spacing w:before="9"/>
        <w:rPr>
          <w:sz w:val="22"/>
        </w:rPr>
      </w:pPr>
    </w:p>
    <w:p>
      <w:pPr>
        <w:pStyle w:val="BodyText"/>
        <w:spacing w:before="6"/>
        <w:rPr>
          <w:sz w:val="24"/>
        </w:rPr>
      </w:pPr>
    </w:p>
    <w:p>
      <w:pPr>
        <w:pStyle w:val="BodyText"/>
        <w:spacing w:before="9"/>
        <w:rPr>
          <w:sz w:val="22"/>
        </w:rPr>
      </w:pPr>
    </w:p>
    <w:p>
      <w:pPr>
        <w:pStyle w:val="BodyText"/>
        <w:rPr>
          <w:sz w:val="28"/>
        </w:rPr>
      </w:pPr>
    </w:p>
    <w:p>
      <w:pPr>
        <w:pStyle w:val="BodyText"/>
        <w:spacing w:before="3"/>
        <w:rPr>
          <w:sz w:val="26"/>
        </w:rPr>
      </w:pPr>
    </w:p>
    <w:p>
      <w:pPr>
        <w:pStyle w:val="BodyText"/>
        <w:rPr>
          <w:sz w:val="12"/>
        </w:rPr>
      </w:pPr>
      <w:r>
        <w:rPr/>
        <w:br w:type="column"/>
      </w:r>
      <w:r>
        <w:rPr>
          <w:sz w:val="12"/>
        </w:rPr>
      </w:r>
    </w:p>
    <w:p>
      <w:pPr>
        <w:spacing w:before="0"/>
        <w:ind w:left="80" w:right="0" w:firstLine="0"/>
        <w:jc w:val="left"/>
        <w:rPr>
          <w:sz w:val="12"/>
        </w:rPr>
      </w:pPr>
      <w:r>
        <w:rPr>
          <w:sz w:val="12"/>
        </w:rPr>
        <w:t>140</w:t>
      </w:r>
    </w:p>
    <w:p>
      <w:pPr>
        <w:pStyle w:val="BodyText"/>
        <w:spacing w:before="7"/>
        <w:rPr>
          <w:sz w:val="10"/>
        </w:rPr>
      </w:pPr>
    </w:p>
    <w:p>
      <w:pPr>
        <w:spacing w:before="0"/>
        <w:ind w:left="80" w:right="0" w:firstLine="0"/>
        <w:jc w:val="left"/>
        <w:rPr>
          <w:sz w:val="12"/>
        </w:rPr>
      </w:pPr>
      <w:r>
        <w:rPr>
          <w:sz w:val="12"/>
        </w:rPr>
        <w:t>135</w:t>
      </w:r>
    </w:p>
    <w:p>
      <w:pPr>
        <w:pStyle w:val="BodyText"/>
        <w:spacing w:before="1"/>
        <w:rPr>
          <w:sz w:val="14"/>
        </w:rPr>
      </w:pPr>
    </w:p>
    <w:p>
      <w:pPr>
        <w:spacing w:before="0"/>
        <w:ind w:left="80" w:right="0" w:firstLine="0"/>
        <w:jc w:val="left"/>
        <w:rPr>
          <w:sz w:val="12"/>
        </w:rPr>
      </w:pPr>
      <w:r>
        <w:rPr>
          <w:sz w:val="12"/>
        </w:rPr>
        <w:t>130</w:t>
      </w:r>
    </w:p>
    <w:p>
      <w:pPr>
        <w:pStyle w:val="BodyText"/>
        <w:spacing w:before="1"/>
        <w:rPr>
          <w:sz w:val="14"/>
        </w:rPr>
      </w:pPr>
    </w:p>
    <w:p>
      <w:pPr>
        <w:spacing w:before="0"/>
        <w:ind w:left="80" w:right="0" w:firstLine="0"/>
        <w:jc w:val="left"/>
        <w:rPr>
          <w:sz w:val="12"/>
        </w:rPr>
      </w:pPr>
      <w:r>
        <w:rPr>
          <w:sz w:val="12"/>
        </w:rPr>
        <w:t>125</w:t>
      </w:r>
    </w:p>
    <w:p>
      <w:pPr>
        <w:pStyle w:val="BodyText"/>
        <w:spacing w:before="9"/>
        <w:rPr>
          <w:sz w:val="15"/>
        </w:rPr>
      </w:pPr>
    </w:p>
    <w:p>
      <w:pPr>
        <w:spacing w:before="0"/>
        <w:ind w:left="80" w:right="0" w:firstLine="0"/>
        <w:jc w:val="left"/>
        <w:rPr>
          <w:sz w:val="12"/>
        </w:rPr>
      </w:pPr>
      <w:r>
        <w:rPr>
          <w:sz w:val="12"/>
        </w:rPr>
        <w:t>120</w:t>
      </w:r>
    </w:p>
    <w:p>
      <w:pPr>
        <w:pStyle w:val="BodyText"/>
        <w:spacing w:before="7"/>
        <w:rPr>
          <w:sz w:val="17"/>
        </w:rPr>
      </w:pPr>
    </w:p>
    <w:p>
      <w:pPr>
        <w:spacing w:before="0"/>
        <w:ind w:left="80" w:right="0" w:firstLine="0"/>
        <w:jc w:val="left"/>
        <w:rPr>
          <w:sz w:val="12"/>
        </w:rPr>
      </w:pPr>
      <w:r>
        <w:rPr>
          <w:sz w:val="12"/>
        </w:rPr>
        <w:t>115</w:t>
      </w:r>
    </w:p>
    <w:p>
      <w:pPr>
        <w:pStyle w:val="BodyText"/>
        <w:spacing w:before="6"/>
        <w:rPr>
          <w:sz w:val="17"/>
        </w:rPr>
      </w:pPr>
    </w:p>
    <w:p>
      <w:pPr>
        <w:spacing w:before="1"/>
        <w:ind w:left="80" w:right="0" w:firstLine="0"/>
        <w:jc w:val="left"/>
        <w:rPr>
          <w:sz w:val="12"/>
        </w:rPr>
      </w:pPr>
      <w:r>
        <w:rPr>
          <w:sz w:val="12"/>
        </w:rPr>
        <w:t>110</w:t>
      </w:r>
    </w:p>
    <w:p>
      <w:pPr>
        <w:pStyle w:val="BodyText"/>
        <w:rPr>
          <w:sz w:val="12"/>
        </w:rPr>
      </w:pPr>
    </w:p>
    <w:p>
      <w:pPr>
        <w:spacing w:before="84"/>
        <w:ind w:left="80" w:right="0" w:firstLine="0"/>
        <w:jc w:val="left"/>
        <w:rPr>
          <w:sz w:val="12"/>
        </w:rPr>
      </w:pPr>
      <w:r>
        <w:rPr>
          <w:sz w:val="12"/>
        </w:rPr>
        <w:t>105</w:t>
      </w:r>
    </w:p>
    <w:p>
      <w:pPr>
        <w:pStyle w:val="BodyText"/>
        <w:rPr>
          <w:sz w:val="12"/>
        </w:rPr>
      </w:pPr>
    </w:p>
    <w:p>
      <w:pPr>
        <w:spacing w:before="84"/>
        <w:ind w:left="80" w:right="0" w:firstLine="0"/>
        <w:jc w:val="left"/>
        <w:rPr>
          <w:sz w:val="12"/>
        </w:rPr>
      </w:pPr>
      <w:r>
        <w:rPr>
          <w:sz w:val="12"/>
        </w:rPr>
        <w:t>100</w:t>
      </w:r>
    </w:p>
    <w:p>
      <w:pPr>
        <w:pStyle w:val="BodyText"/>
        <w:rPr>
          <w:sz w:val="12"/>
        </w:rPr>
      </w:pPr>
    </w:p>
    <w:p>
      <w:pPr>
        <w:pStyle w:val="BodyText"/>
        <w:spacing w:before="8"/>
        <w:rPr>
          <w:sz w:val="10"/>
        </w:rPr>
      </w:pPr>
    </w:p>
    <w:p>
      <w:pPr>
        <w:spacing w:line="96" w:lineRule="exact" w:before="1"/>
        <w:ind w:left="140" w:right="0" w:firstLine="0"/>
        <w:jc w:val="left"/>
        <w:rPr>
          <w:sz w:val="12"/>
        </w:rPr>
      </w:pPr>
      <w:r>
        <w:rPr>
          <w:sz w:val="12"/>
        </w:rPr>
        <w:t>95</w:t>
      </w:r>
    </w:p>
    <w:p>
      <w:pPr>
        <w:pStyle w:val="Heading5"/>
        <w:spacing w:line="242" w:lineRule="auto" w:before="4"/>
        <w:ind w:left="160" w:right="179"/>
      </w:pPr>
      <w:r>
        <w:rPr/>
        <w:br w:type="column"/>
      </w:r>
      <w:r>
        <w:rPr>
          <w:color w:val="231F20"/>
        </w:rPr>
        <w:t>with the target of 2</w:t>
      </w:r>
      <w:r>
        <w:rPr>
          <w:color w:val="231F20"/>
          <w:position w:val="8"/>
          <w:sz w:val="12"/>
        </w:rPr>
        <w:t>1</w:t>
      </w:r>
      <w:r>
        <w:rPr>
          <w:color w:val="231F20"/>
        </w:rPr>
        <w:t>/</w:t>
      </w:r>
      <w:r>
        <w:rPr>
          <w:color w:val="231F20"/>
          <w:sz w:val="12"/>
        </w:rPr>
        <w:t>2</w:t>
      </w:r>
      <w:r>
        <w:rPr>
          <w:color w:val="231F20"/>
        </w:rPr>
        <w:t>% set for the MPC by the Government.</w:t>
      </w:r>
    </w:p>
    <w:p>
      <w:pPr>
        <w:pStyle w:val="BodyText"/>
        <w:spacing w:before="8"/>
        <w:rPr>
          <w:sz w:val="31"/>
        </w:rPr>
      </w:pPr>
    </w:p>
    <w:p>
      <w:pPr>
        <w:pStyle w:val="ListParagraph"/>
        <w:numPr>
          <w:ilvl w:val="1"/>
          <w:numId w:val="22"/>
        </w:numPr>
        <w:tabs>
          <w:tab w:pos="1109" w:val="left" w:leader="none"/>
          <w:tab w:pos="1110" w:val="left" w:leader="none"/>
        </w:tabs>
        <w:spacing w:line="240" w:lineRule="auto" w:before="0" w:after="0"/>
        <w:ind w:left="1109" w:right="0" w:hanging="950"/>
        <w:jc w:val="left"/>
        <w:rPr>
          <w:b/>
          <w:sz w:val="28"/>
        </w:rPr>
      </w:pPr>
      <w:r>
        <w:rPr>
          <w:b/>
          <w:color w:val="009483"/>
          <w:sz w:val="28"/>
          <w:u w:val="thick" w:color="0093C1"/>
        </w:rPr>
        <w:t>Import prices and the exchange rate</w:t>
      </w:r>
      <w:r>
        <w:rPr>
          <w:b/>
          <w:color w:val="009483"/>
          <w:spacing w:val="-11"/>
          <w:sz w:val="28"/>
          <w:u w:val="thick" w:color="0093C1"/>
        </w:rPr>
        <w:t> </w:t>
      </w:r>
    </w:p>
    <w:p>
      <w:pPr>
        <w:pStyle w:val="BodyText"/>
        <w:rPr>
          <w:b/>
          <w:sz w:val="24"/>
        </w:rPr>
      </w:pPr>
    </w:p>
    <w:p>
      <w:pPr>
        <w:spacing w:line="242" w:lineRule="auto" w:before="0"/>
        <w:ind w:left="160" w:right="179" w:firstLine="0"/>
        <w:jc w:val="left"/>
        <w:rPr>
          <w:sz w:val="24"/>
        </w:rPr>
      </w:pPr>
      <w:r>
        <w:rPr>
          <w:color w:val="231F20"/>
          <w:sz w:val="24"/>
        </w:rPr>
        <w:t>The prices of imported goods in the three months to November were around 6% lower than in the same period a year earlier. Since the middle of 1996, when sterling started to appreciate significantly, the prices of imported goods and services have fallen by much less than sterling has risen (see Chart 4.1). A small part of</w:t>
      </w:r>
    </w:p>
    <w:p>
      <w:pPr>
        <w:spacing w:after="0" w:line="242" w:lineRule="auto"/>
        <w:jc w:val="left"/>
        <w:rPr>
          <w:sz w:val="24"/>
        </w:rPr>
        <w:sectPr>
          <w:type w:val="continuous"/>
          <w:pgSz w:w="11880" w:h="16840"/>
          <w:pgMar w:top="1200" w:bottom="280" w:left="620" w:right="620"/>
          <w:cols w:num="4" w:equalWidth="0">
            <w:col w:w="361" w:space="40"/>
            <w:col w:w="3480" w:space="39"/>
            <w:col w:w="301" w:space="619"/>
            <w:col w:w="5800"/>
          </w:cols>
        </w:sectPr>
      </w:pPr>
    </w:p>
    <w:p>
      <w:pPr>
        <w:tabs>
          <w:tab w:pos="1339" w:val="left" w:leader="none"/>
        </w:tabs>
        <w:spacing w:before="84"/>
        <w:ind w:left="800" w:right="0" w:firstLine="0"/>
        <w:jc w:val="left"/>
        <w:rPr>
          <w:sz w:val="12"/>
        </w:rPr>
      </w:pPr>
      <w:r>
        <w:rPr/>
        <w:pict>
          <v:group style="position:absolute;margin-left:54.5pt;margin-top:-125.198441pt;width:160.5pt;height:128.75pt;mso-position-horizontal-relative:page;mso-position-vertical-relative:paragraph;z-index:15922688" coordorigin="1090,-2504" coordsize="3210,2575">
            <v:shape style="position:absolute;left:1270;top:-1834;width:3020;height:1780" coordorigin="1270,-1834" coordsize="3020,1780" path="m1270,-434l1310,-414,1350,-474,1390,-374,1430,-254,1470,-254,1510,-314,1550,-354,1590,-674,1650,-1314,1690,-1534,1730,-1374,1770,-1314,1810,-1674,1850,-1514,1890,-1294,1930,-1294,1970,-1354,2030,-1174,2070,-1194,2110,-1234,2150,-1254,2190,-1194,2270,-1034,2310,-1174,2350,-1234,2390,-1274,2430,-1294,2470,-1274,2510,-1374,2570,-1394,2610,-1374,2650,-1294,2730,-1294,2770,-1334,2810,-1434,2850,-1594,2890,-1694,2930,-1714,2990,-1734,3030,-1774,3070,-1694,3110,-1654,3150,-1714,3190,-1794,3230,-1834,3270,-1814,3310,-1754,3350,-1774,3390,-1754,3490,-1554,3530,-1594,3570,-1674,3610,-1554,3650,-1354,3690,-1034,3730,-894,3770,-714,3810,-594,3850,-594,3910,-434,3950,-474,3990,-354,4030,-54,4110,-374,4150,-314,4190,-114,4230,-74,4290,-54e" filled="false" stroked="true" strokeweight="1pt" strokecolor="#ed1b2d">
              <v:path arrowok="t"/>
              <v:stroke dashstyle="solid"/>
            </v:shape>
            <v:shape style="position:absolute;left:1270;top:-2494;width:2920;height:2120" coordorigin="1270,-2494" coordsize="2920,2120" path="m1270,-454l1310,-514,1350,-594,1390,-614,1430,-414,1470,-374,1510,-454,1550,-374,1590,-394,1650,-754,1690,-934,1730,-1074,1770,-1054,1810,-1334,1850,-1434,1890,-1434,1970,-1234,2030,-1394,2070,-1374,2110,-1274,2150,-1294,2190,-1334,2230,-1334,2270,-1314,2310,-1314,2350,-1394,2390,-1534,2430,-1534,2470,-1714,2510,-1774,2570,-1634,2610,-1674,2650,-1594,2690,-1634,2730,-1774,2770,-1994,2810,-2094,2850,-2134,2890,-2294,2990,-2394,3110,-2454,3150,-2394,3190,-2394,3270,-2434,3310,-2394,3350,-2434,3390,-2494,3530,-2354,3570,-2394,3610,-2394,3650,-2354,3690,-2134,3730,-2114,3770,-2074,3810,-2074,3850,-2054,3910,-1934,3950,-1954,4030,-1794,4070,-1874,4150,-1874,4190,-1754e" filled="false" stroked="true" strokeweight="1pt" strokecolor="#95459a">
              <v:path arrowok="t"/>
              <v:stroke dashstyle="solid"/>
            </v:shape>
            <v:shape style="position:absolute;left:1350;top:-2334;width:2760;height:1740" coordorigin="1350,-2334" coordsize="2760,1740" path="m1350,-694l1470,-594,1590,-814,1730,-1254,1850,-1754,1970,-1654,2110,-1634,2230,-1714,2350,-1714,2470,-1694,2610,-1674,2730,-1694,2850,-1874,2990,-1874,3110,-2014,3230,-2114,3350,-2334,3490,-2294,3610,-2134,3730,-1834,3870,-1794,3990,-1614,4110,-1354e" filled="false" stroked="true" strokeweight="1pt" strokecolor="#df6f1d">
              <v:path arrowok="t"/>
              <v:stroke dashstyle="solid"/>
            </v:shape>
            <v:shape style="position:absolute;left:1090;top:-2114;width:3180;height:2180" coordorigin="1090,-2114" coordsize="3180,2180" path="m1270,66l4270,66m1390,66l1390,26m1510,66l1510,26m1630,66l1630,26m1770,66l1770,26m1890,66l1890,26m2010,66l2010,26m2130,66l2130,26m2270,66l2270,26m2390,66l2390,26m2510,66l2510,26m2650,66l2650,26m2770,66l2770,26m2890,66l2890,26m3010,66l3010,26m3150,66l3150,26m3270,66l3270,26m3390,66l3390,26m3530,66l3530,26m3650,66l3650,26m3770,66l3770,26m3890,66l3890,26m4030,66l4030,26m4150,66l4150,26m4270,66l4270,26m1270,66l1270,-14m1770,66l1770,-14m2270,66l2270,-14m2770,66l2770,-14m3270,66l3270,-14m3770,66l3770,-14m4270,66l4270,-14m1270,66l4270,66m1390,66l1390,26m1510,66l1510,26m1630,66l1630,26m1770,66l1770,26m1890,66l1890,26m2010,66l2010,26m2130,66l2130,26m2270,66l2270,26m2390,66l2390,26m2510,66l2510,26m2650,66l2650,26m2770,66l2770,26m2890,66l2890,26m3010,66l3010,26m3150,66l3150,26m3270,66l3270,26m3390,66l3390,26m3530,66l3530,26m3650,66l3650,26m3770,66l3770,26m3890,66l3890,26m4030,66l4030,26m4150,66l4150,26m4270,66l4270,26m1270,66l1270,-14m1770,66l1770,-14m2270,66l2270,-14m2770,66l2770,-14m3270,66l3270,-14m3770,66l3770,-14m4270,66l4270,-14m1190,-34l1090,-34m1190,-394l1090,-394m1190,-794l1090,-794m1190,-1194l1090,-1194m1190,-1654l1090,-1654m1190,-2114l1090,-2114e" filled="false" stroked="true" strokeweight=".5pt" strokecolor="#000000">
              <v:path arrowok="t"/>
              <v:stroke dashstyle="solid"/>
            </v:shape>
            <v:shape style="position:absolute;left:1360;top:-2051;width:910;height:253" type="#_x0000_t202" filled="false" stroked="false">
              <v:textbox inset="0,0,0,0">
                <w:txbxContent>
                  <w:p>
                    <w:pPr>
                      <w:spacing w:line="208" w:lineRule="auto" w:before="9"/>
                      <w:ind w:left="39" w:right="18" w:hanging="40"/>
                      <w:jc w:val="left"/>
                      <w:rPr>
                        <w:sz w:val="12"/>
                      </w:rPr>
                    </w:pPr>
                    <w:r>
                      <w:rPr>
                        <w:sz w:val="12"/>
                      </w:rPr>
                      <w:t>Imported services (right-hand scale)</w:t>
                    </w:r>
                  </w:p>
                </w:txbxContent>
              </v:textbox>
              <w10:wrap type="none"/>
            </v:shape>
            <v:shape style="position:absolute;left:2600;top:-1291;width:970;height:373" type="#_x0000_t202" filled="false" stroked="false">
              <v:textbox inset="0,0,0,0">
                <w:txbxContent>
                  <w:p>
                    <w:pPr>
                      <w:spacing w:line="208" w:lineRule="auto" w:before="9"/>
                      <w:ind w:left="60" w:right="18" w:hanging="60"/>
                      <w:jc w:val="left"/>
                      <w:rPr>
                        <w:sz w:val="12"/>
                      </w:rPr>
                    </w:pPr>
                    <w:r>
                      <w:rPr>
                        <w:sz w:val="12"/>
                      </w:rPr>
                      <w:t>Sterling effective index, inverted (b) (left-hand scale)</w:t>
                    </w:r>
                  </w:p>
                </w:txbxContent>
              </v:textbox>
              <w10:wrap type="none"/>
            </v:shape>
            <w10:wrap type="none"/>
          </v:group>
        </w:pict>
      </w:r>
      <w:r>
        <w:rPr>
          <w:sz w:val="12"/>
        </w:rPr>
        <w:t>1992</w:t>
        <w:tab/>
      </w:r>
      <w:r>
        <w:rPr>
          <w:spacing w:val="-10"/>
          <w:sz w:val="12"/>
        </w:rPr>
        <w:t>93</w:t>
      </w:r>
    </w:p>
    <w:p>
      <w:pPr>
        <w:tabs>
          <w:tab w:pos="839" w:val="left" w:leader="none"/>
          <w:tab w:pos="1340" w:val="left" w:leader="none"/>
          <w:tab w:pos="1840" w:val="left" w:leader="none"/>
        </w:tabs>
        <w:spacing w:before="84"/>
        <w:ind w:left="340" w:right="0" w:firstLine="0"/>
        <w:jc w:val="left"/>
        <w:rPr>
          <w:sz w:val="12"/>
        </w:rPr>
      </w:pPr>
      <w:r>
        <w:rPr/>
        <w:br w:type="column"/>
      </w:r>
      <w:r>
        <w:rPr>
          <w:sz w:val="12"/>
        </w:rPr>
        <w:t>94</w:t>
        <w:tab/>
        <w:t>95</w:t>
        <w:tab/>
        <w:t>96</w:t>
        <w:tab/>
        <w:t>97</w:t>
      </w:r>
      <w:r>
        <w:rPr>
          <w:spacing w:val="20"/>
          <w:sz w:val="12"/>
        </w:rPr>
        <w:t> </w:t>
      </w:r>
      <w:r>
        <w:rPr>
          <w:sz w:val="12"/>
        </w:rPr>
        <w:t>98</w:t>
      </w:r>
    </w:p>
    <w:p>
      <w:pPr>
        <w:pStyle w:val="Heading5"/>
        <w:spacing w:line="226" w:lineRule="exact"/>
        <w:ind w:left="805" w:right="569"/>
        <w:jc w:val="center"/>
      </w:pPr>
      <w:r>
        <w:rPr/>
        <w:br w:type="column"/>
      </w:r>
      <w:r>
        <w:rPr>
          <w:color w:val="231F20"/>
        </w:rPr>
        <w:t>this difference reflects world inflation. The prices of</w:t>
      </w:r>
    </w:p>
    <w:p>
      <w:pPr>
        <w:spacing w:after="0" w:line="226" w:lineRule="exact"/>
        <w:jc w:val="center"/>
        <w:sectPr>
          <w:type w:val="continuous"/>
          <w:pgSz w:w="11880" w:h="16840"/>
          <w:pgMar w:top="1200" w:bottom="280" w:left="620" w:right="620"/>
          <w:cols w:num="3" w:equalWidth="0">
            <w:col w:w="1461" w:space="40"/>
            <w:col w:w="2261" w:space="438"/>
            <w:col w:w="6440"/>
          </w:cols>
        </w:sectPr>
      </w:pPr>
    </w:p>
    <w:p>
      <w:pPr>
        <w:spacing w:line="208" w:lineRule="auto" w:before="96"/>
        <w:ind w:left="530" w:right="0" w:hanging="330"/>
        <w:jc w:val="left"/>
        <w:rPr>
          <w:sz w:val="12"/>
        </w:rPr>
      </w:pPr>
      <w:r>
        <w:rPr>
          <w:color w:val="231F20"/>
          <w:sz w:val="12"/>
        </w:rPr>
        <w:t>Note: The sterling effective index is measured against 20 other industrialised countries. Import prices cover imports from all countries.</w:t>
      </w:r>
    </w:p>
    <w:p>
      <w:pPr>
        <w:spacing w:before="106"/>
        <w:ind w:left="200" w:right="0" w:firstLine="0"/>
        <w:jc w:val="left"/>
        <w:rPr>
          <w:sz w:val="12"/>
        </w:rPr>
      </w:pPr>
      <w:r>
        <w:rPr>
          <w:color w:val="231F20"/>
          <w:sz w:val="12"/>
        </w:rPr>
        <w:t>Sources: ONS and Bank of England.</w:t>
      </w:r>
    </w:p>
    <w:p>
      <w:pPr>
        <w:pStyle w:val="ListParagraph"/>
        <w:numPr>
          <w:ilvl w:val="0"/>
          <w:numId w:val="23"/>
        </w:numPr>
        <w:tabs>
          <w:tab w:pos="394" w:val="left" w:leader="none"/>
        </w:tabs>
        <w:spacing w:line="129" w:lineRule="exact" w:before="102" w:after="0"/>
        <w:ind w:left="393" w:right="0" w:hanging="194"/>
        <w:jc w:val="left"/>
        <w:rPr>
          <w:sz w:val="12"/>
        </w:rPr>
      </w:pPr>
      <w:r>
        <w:rPr>
          <w:color w:val="231F20"/>
          <w:sz w:val="12"/>
        </w:rPr>
        <w:t>Both scales are logarithmic.</w:t>
      </w:r>
    </w:p>
    <w:p>
      <w:pPr>
        <w:pStyle w:val="ListParagraph"/>
        <w:numPr>
          <w:ilvl w:val="0"/>
          <w:numId w:val="23"/>
        </w:numPr>
        <w:tabs>
          <w:tab w:pos="400" w:val="left" w:leader="none"/>
        </w:tabs>
        <w:spacing w:line="129" w:lineRule="exact" w:before="0" w:after="0"/>
        <w:ind w:left="399" w:right="0" w:hanging="200"/>
        <w:jc w:val="left"/>
        <w:rPr>
          <w:sz w:val="12"/>
        </w:rPr>
      </w:pPr>
      <w:r>
        <w:rPr>
          <w:color w:val="231F20"/>
          <w:sz w:val="12"/>
        </w:rPr>
        <w:t>Monthly average of daily data.  A rise in the line reflects a depreciation.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9"/>
        <w:spacing w:before="90"/>
        <w:ind w:left="180"/>
      </w:pPr>
      <w:r>
        <w:rPr>
          <w:color w:val="0093C1"/>
        </w:rPr>
        <w:t>Table 4.A</w:t>
      </w:r>
    </w:p>
    <w:p>
      <w:pPr>
        <w:spacing w:line="249" w:lineRule="auto" w:before="10"/>
        <w:ind w:left="180" w:right="20" w:firstLine="0"/>
        <w:jc w:val="left"/>
        <w:rPr>
          <w:sz w:val="12"/>
        </w:rPr>
      </w:pPr>
      <w:r>
        <w:rPr>
          <w:b/>
          <w:color w:val="0093C1"/>
          <w:sz w:val="20"/>
        </w:rPr>
        <w:t>Price changes of imports between August 1996 and November 1997</w:t>
      </w:r>
      <w:r>
        <w:rPr>
          <w:color w:val="231F20"/>
          <w:position w:val="4"/>
          <w:sz w:val="12"/>
        </w:rPr>
        <w:t>(a)</w:t>
      </w:r>
    </w:p>
    <w:p>
      <w:pPr>
        <w:spacing w:before="98"/>
        <w:ind w:left="180" w:right="0" w:firstLine="0"/>
        <w:jc w:val="left"/>
        <w:rPr>
          <w:sz w:val="14"/>
        </w:rPr>
      </w:pPr>
      <w:r>
        <w:rPr>
          <w:color w:val="231F20"/>
          <w:sz w:val="14"/>
        </w:rPr>
        <w:t>Per cent</w:t>
      </w:r>
    </w:p>
    <w:p>
      <w:pPr>
        <w:tabs>
          <w:tab w:pos="3098" w:val="left" w:leader="none"/>
        </w:tabs>
        <w:spacing w:line="150" w:lineRule="exact" w:before="119"/>
        <w:ind w:left="180" w:right="0" w:firstLine="0"/>
        <w:jc w:val="left"/>
        <w:rPr>
          <w:sz w:val="14"/>
        </w:rPr>
      </w:pPr>
      <w:r>
        <w:rPr>
          <w:color w:val="231F20"/>
          <w:sz w:val="14"/>
        </w:rPr>
        <w:t>Consumer goods</w:t>
        <w:tab/>
        <w:t>-6.3</w:t>
      </w:r>
    </w:p>
    <w:p>
      <w:pPr>
        <w:spacing w:line="140" w:lineRule="exact" w:before="0"/>
        <w:ind w:left="180" w:right="0" w:firstLine="0"/>
        <w:jc w:val="left"/>
        <w:rPr>
          <w:i/>
          <w:sz w:val="14"/>
        </w:rPr>
      </w:pPr>
      <w:r>
        <w:rPr>
          <w:i/>
          <w:color w:val="231F20"/>
          <w:sz w:val="14"/>
        </w:rPr>
        <w:t>of which:</w:t>
      </w:r>
    </w:p>
    <w:p>
      <w:pPr>
        <w:tabs>
          <w:tab w:pos="2818" w:val="left" w:leader="none"/>
        </w:tabs>
        <w:spacing w:line="140" w:lineRule="exact" w:before="0"/>
        <w:ind w:left="0" w:right="864" w:firstLine="0"/>
        <w:jc w:val="right"/>
        <w:rPr>
          <w:sz w:val="14"/>
        </w:rPr>
      </w:pPr>
      <w:r>
        <w:rPr>
          <w:color w:val="231F20"/>
          <w:sz w:val="14"/>
        </w:rPr>
        <w:t>Cars</w:t>
        <w:tab/>
        <w:t>-7.0</w:t>
      </w:r>
    </w:p>
    <w:p>
      <w:pPr>
        <w:tabs>
          <w:tab w:pos="2818" w:val="left" w:leader="none"/>
        </w:tabs>
        <w:spacing w:line="140" w:lineRule="exact" w:before="0"/>
        <w:ind w:left="0" w:right="863" w:firstLine="0"/>
        <w:jc w:val="right"/>
        <w:rPr>
          <w:sz w:val="14"/>
        </w:rPr>
      </w:pPr>
      <w:r>
        <w:rPr>
          <w:color w:val="231F20"/>
          <w:sz w:val="14"/>
        </w:rPr>
        <w:t>Consumer goods, excluding cars</w:t>
        <w:tab/>
        <w:t>-6.0</w:t>
      </w:r>
    </w:p>
    <w:p>
      <w:pPr>
        <w:tabs>
          <w:tab w:pos="2918" w:val="left" w:leader="none"/>
        </w:tabs>
        <w:spacing w:line="140" w:lineRule="exact" w:before="0"/>
        <w:ind w:left="0" w:right="863" w:firstLine="0"/>
        <w:jc w:val="right"/>
        <w:rPr>
          <w:sz w:val="14"/>
        </w:rPr>
      </w:pPr>
      <w:r>
        <w:rPr>
          <w:color w:val="231F20"/>
          <w:sz w:val="14"/>
        </w:rPr>
        <w:t>Intermediate finished manufactures</w:t>
        <w:tab/>
        <w:t>-8.0</w:t>
      </w:r>
    </w:p>
    <w:p>
      <w:pPr>
        <w:tabs>
          <w:tab w:pos="2918" w:val="left" w:leader="none"/>
        </w:tabs>
        <w:spacing w:line="140" w:lineRule="exact" w:before="0"/>
        <w:ind w:left="0" w:right="864" w:firstLine="0"/>
        <w:jc w:val="right"/>
        <w:rPr>
          <w:sz w:val="14"/>
        </w:rPr>
      </w:pPr>
      <w:r>
        <w:rPr>
          <w:color w:val="231F20"/>
          <w:sz w:val="14"/>
        </w:rPr>
        <w:t>Capital goods</w:t>
        <w:tab/>
        <w:t>-8.3</w:t>
      </w:r>
    </w:p>
    <w:p>
      <w:pPr>
        <w:tabs>
          <w:tab w:pos="2918" w:val="left" w:leader="none"/>
        </w:tabs>
        <w:spacing w:line="140" w:lineRule="exact" w:before="0"/>
        <w:ind w:left="0" w:right="863" w:firstLine="0"/>
        <w:jc w:val="right"/>
        <w:rPr>
          <w:sz w:val="14"/>
        </w:rPr>
      </w:pPr>
      <w:r>
        <w:rPr>
          <w:color w:val="231F20"/>
          <w:sz w:val="14"/>
        </w:rPr>
        <w:t>Semi-finished manufactures</w:t>
        <w:tab/>
        <w:t>-8.3</w:t>
      </w:r>
    </w:p>
    <w:p>
      <w:pPr>
        <w:tabs>
          <w:tab w:pos="2918" w:val="left" w:leader="none"/>
        </w:tabs>
        <w:spacing w:line="140" w:lineRule="exact" w:before="0"/>
        <w:ind w:left="0" w:right="864" w:firstLine="0"/>
        <w:jc w:val="right"/>
        <w:rPr>
          <w:sz w:val="14"/>
        </w:rPr>
      </w:pPr>
      <w:r>
        <w:rPr>
          <w:color w:val="231F20"/>
          <w:sz w:val="14"/>
        </w:rPr>
        <w:t>Non-manufactures</w:t>
      </w:r>
      <w:r>
        <w:rPr>
          <w:color w:val="231F20"/>
          <w:spacing w:val="-2"/>
          <w:sz w:val="14"/>
        </w:rPr>
        <w:t> </w:t>
      </w:r>
      <w:r>
        <w:rPr>
          <w:color w:val="231F20"/>
          <w:sz w:val="12"/>
        </w:rPr>
        <w:t>(b)</w:t>
        <w:tab/>
      </w:r>
      <w:r>
        <w:rPr>
          <w:color w:val="231F20"/>
          <w:sz w:val="14"/>
        </w:rPr>
        <w:t>-8.6</w:t>
      </w:r>
    </w:p>
    <w:p>
      <w:pPr>
        <w:tabs>
          <w:tab w:pos="2848" w:val="left" w:leader="none"/>
        </w:tabs>
        <w:spacing w:line="150" w:lineRule="exact" w:before="0"/>
        <w:ind w:left="0" w:right="864" w:firstLine="0"/>
        <w:jc w:val="right"/>
        <w:rPr>
          <w:sz w:val="14"/>
        </w:rPr>
      </w:pPr>
      <w:r>
        <w:rPr>
          <w:color w:val="231F20"/>
          <w:sz w:val="14"/>
        </w:rPr>
        <w:t>Services</w:t>
      </w:r>
      <w:r>
        <w:rPr>
          <w:color w:val="231F20"/>
          <w:spacing w:val="-1"/>
          <w:sz w:val="14"/>
        </w:rPr>
        <w:t> </w:t>
      </w:r>
      <w:r>
        <w:rPr>
          <w:color w:val="231F20"/>
          <w:sz w:val="12"/>
        </w:rPr>
        <w:t>(c)</w:t>
        <w:tab/>
      </w:r>
      <w:r>
        <w:rPr>
          <w:color w:val="231F20"/>
          <w:sz w:val="14"/>
        </w:rPr>
        <w:t>-11.5</w:t>
      </w:r>
    </w:p>
    <w:p>
      <w:pPr>
        <w:spacing w:line="208" w:lineRule="auto" w:before="112"/>
        <w:ind w:left="510" w:right="204" w:hanging="330"/>
        <w:jc w:val="left"/>
        <w:rPr>
          <w:sz w:val="12"/>
        </w:rPr>
      </w:pPr>
      <w:r>
        <w:rPr>
          <w:color w:val="231F20"/>
          <w:sz w:val="12"/>
        </w:rPr>
        <w:t>Note: The sterling effective exchange rate rose by 22.5% during this period, and the inverse exchange rate fell by 18.4%.</w:t>
      </w:r>
    </w:p>
    <w:p>
      <w:pPr>
        <w:pStyle w:val="BodyText"/>
        <w:spacing w:before="5"/>
        <w:rPr>
          <w:sz w:val="10"/>
        </w:rPr>
      </w:pPr>
    </w:p>
    <w:p>
      <w:pPr>
        <w:pStyle w:val="ListParagraph"/>
        <w:numPr>
          <w:ilvl w:val="0"/>
          <w:numId w:val="24"/>
        </w:numPr>
        <w:tabs>
          <w:tab w:pos="420" w:val="left" w:leader="none"/>
        </w:tabs>
        <w:spacing w:line="208" w:lineRule="auto" w:before="0" w:after="0"/>
        <w:ind w:left="420" w:right="668" w:hanging="240"/>
        <w:jc w:val="left"/>
        <w:rPr>
          <w:sz w:val="12"/>
        </w:rPr>
      </w:pPr>
      <w:r>
        <w:rPr>
          <w:color w:val="231F20"/>
          <w:sz w:val="12"/>
        </w:rPr>
        <w:t>The table does not show prices of erratic items, defined as </w:t>
      </w:r>
      <w:r>
        <w:rPr>
          <w:color w:val="231F20"/>
          <w:spacing w:val="-3"/>
          <w:sz w:val="12"/>
        </w:rPr>
        <w:t>ships, </w:t>
      </w:r>
      <w:r>
        <w:rPr>
          <w:color w:val="231F20"/>
          <w:sz w:val="12"/>
        </w:rPr>
        <w:t>North Sea installation, aircraft, precious stones and silver.</w:t>
      </w:r>
    </w:p>
    <w:p>
      <w:pPr>
        <w:pStyle w:val="ListParagraph"/>
        <w:numPr>
          <w:ilvl w:val="0"/>
          <w:numId w:val="24"/>
        </w:numPr>
        <w:tabs>
          <w:tab w:pos="421" w:val="left" w:leader="none"/>
        </w:tabs>
        <w:spacing w:line="114" w:lineRule="exact" w:before="0" w:after="0"/>
        <w:ind w:left="420" w:right="0" w:hanging="241"/>
        <w:jc w:val="left"/>
        <w:rPr>
          <w:sz w:val="12"/>
        </w:rPr>
      </w:pPr>
      <w:r>
        <w:rPr>
          <w:color w:val="231F20"/>
          <w:sz w:val="12"/>
        </w:rPr>
        <w:t>Weighted average of food, drinks and tobacco, basic materials and fuels.</w:t>
      </w:r>
    </w:p>
    <w:p>
      <w:pPr>
        <w:pStyle w:val="ListParagraph"/>
        <w:numPr>
          <w:ilvl w:val="0"/>
          <w:numId w:val="24"/>
        </w:numPr>
        <w:tabs>
          <w:tab w:pos="420" w:val="left" w:leader="none"/>
        </w:tabs>
        <w:spacing w:line="208" w:lineRule="auto" w:before="5" w:after="0"/>
        <w:ind w:left="420" w:right="488" w:hanging="240"/>
        <w:jc w:val="left"/>
        <w:rPr>
          <w:sz w:val="12"/>
        </w:rPr>
      </w:pPr>
      <w:r>
        <w:rPr>
          <w:color w:val="231F20"/>
          <w:sz w:val="12"/>
        </w:rPr>
        <w:t>Quarterly data available only. Change shown between 1996 Q2 </w:t>
      </w:r>
      <w:r>
        <w:rPr>
          <w:color w:val="231F20"/>
          <w:spacing w:val="-6"/>
          <w:sz w:val="12"/>
        </w:rPr>
        <w:t>and </w:t>
      </w:r>
      <w:r>
        <w:rPr>
          <w:color w:val="231F20"/>
          <w:sz w:val="12"/>
        </w:rPr>
        <w:t>1997 Q3.</w:t>
      </w:r>
    </w:p>
    <w:p>
      <w:pPr>
        <w:pStyle w:val="Heading5"/>
        <w:spacing w:line="242" w:lineRule="auto" w:before="4"/>
        <w:ind w:left="180" w:right="310"/>
        <w:jc w:val="both"/>
      </w:pPr>
      <w:r>
        <w:rPr/>
        <w:br w:type="column"/>
      </w:r>
      <w:r>
        <w:rPr>
          <w:color w:val="231F20"/>
        </w:rPr>
        <w:t>goods and services </w:t>
      </w:r>
      <w:r>
        <w:rPr>
          <w:color w:val="231F20"/>
          <w:spacing w:val="-3"/>
        </w:rPr>
        <w:t>have </w:t>
      </w:r>
      <w:r>
        <w:rPr>
          <w:color w:val="231F20"/>
        </w:rPr>
        <w:t>increased in the global </w:t>
      </w:r>
      <w:r>
        <w:rPr>
          <w:color w:val="231F20"/>
          <w:spacing w:val="-4"/>
        </w:rPr>
        <w:t>market, </w:t>
      </w:r>
      <w:r>
        <w:rPr>
          <w:color w:val="231F20"/>
        </w:rPr>
        <w:t>resulting in a rise in import prices for a given exchange rate.</w:t>
      </w:r>
    </w:p>
    <w:p>
      <w:pPr>
        <w:pStyle w:val="BodyText"/>
        <w:spacing w:before="7"/>
        <w:rPr>
          <w:sz w:val="31"/>
        </w:rPr>
      </w:pPr>
    </w:p>
    <w:p>
      <w:pPr>
        <w:spacing w:line="242" w:lineRule="auto" w:before="0"/>
        <w:ind w:left="180" w:right="191" w:firstLine="0"/>
        <w:jc w:val="left"/>
        <w:rPr>
          <w:sz w:val="24"/>
        </w:rPr>
      </w:pPr>
      <w:r>
        <w:rPr>
          <w:color w:val="231F20"/>
          <w:sz w:val="24"/>
        </w:rPr>
        <w:t>Foreign exporters </w:t>
      </w:r>
      <w:r>
        <w:rPr>
          <w:color w:val="231F20"/>
          <w:spacing w:val="-3"/>
          <w:sz w:val="24"/>
        </w:rPr>
        <w:t>have </w:t>
      </w:r>
      <w:r>
        <w:rPr>
          <w:color w:val="231F20"/>
          <w:sz w:val="24"/>
        </w:rPr>
        <w:t>used sterling’s appreciation as an opportunity to widen their margins on exports to the United Kingdom. This was possibly because UK demand has been growing more strongly than demand </w:t>
      </w:r>
      <w:r>
        <w:rPr>
          <w:color w:val="231F20"/>
          <w:spacing w:val="-9"/>
          <w:sz w:val="24"/>
        </w:rPr>
        <w:t>in </w:t>
      </w:r>
      <w:r>
        <w:rPr>
          <w:color w:val="231F20"/>
          <w:sz w:val="24"/>
        </w:rPr>
        <w:t>most continental European economies. Since consumption has been the main impetus to recent UK demand gro</w:t>
      </w:r>
      <w:hyperlink w:history="true" w:anchor="_bookmark9">
        <w:r>
          <w:rPr>
            <w:color w:val="231F20"/>
            <w:sz w:val="24"/>
          </w:rPr>
          <w:t>wth (see Section</w:t>
        </w:r>
      </w:hyperlink>
      <w:r>
        <w:rPr>
          <w:color w:val="231F20"/>
          <w:sz w:val="24"/>
        </w:rPr>
        <w:t> 2), the prices of imported consumer goods </w:t>
      </w:r>
      <w:r>
        <w:rPr>
          <w:color w:val="231F20"/>
          <w:spacing w:val="-3"/>
          <w:sz w:val="24"/>
        </w:rPr>
        <w:t>have </w:t>
      </w:r>
      <w:r>
        <w:rPr>
          <w:color w:val="231F20"/>
          <w:sz w:val="24"/>
        </w:rPr>
        <w:t>reacted less than other import prices to the appreciation (see </w:t>
      </w:r>
      <w:r>
        <w:rPr>
          <w:color w:val="231F20"/>
          <w:spacing w:val="-4"/>
          <w:sz w:val="24"/>
        </w:rPr>
        <w:t>Table </w:t>
      </w:r>
      <w:r>
        <w:rPr>
          <w:color w:val="231F20"/>
          <w:sz w:val="24"/>
        </w:rPr>
        <w:t>4.A). This could </w:t>
      </w:r>
      <w:r>
        <w:rPr>
          <w:color w:val="231F20"/>
          <w:spacing w:val="-3"/>
          <w:sz w:val="24"/>
        </w:rPr>
        <w:t>have </w:t>
      </w:r>
      <w:r>
        <w:rPr>
          <w:color w:val="231F20"/>
          <w:sz w:val="24"/>
        </w:rPr>
        <w:t>reduced the initial impact of sterling’s appreciation on retail prices, since changes to the prices of imports that are not for direct consumption take time to feed through to retail prices.</w:t>
      </w:r>
    </w:p>
    <w:p>
      <w:pPr>
        <w:pStyle w:val="BodyText"/>
        <w:spacing w:before="8"/>
        <w:rPr>
          <w:sz w:val="32"/>
        </w:rPr>
      </w:pPr>
    </w:p>
    <w:p>
      <w:pPr>
        <w:spacing w:line="242" w:lineRule="auto" w:before="1"/>
        <w:ind w:left="180" w:right="194" w:firstLine="0"/>
        <w:jc w:val="left"/>
        <w:rPr>
          <w:sz w:val="24"/>
        </w:rPr>
      </w:pPr>
      <w:r>
        <w:rPr>
          <w:color w:val="231F20"/>
          <w:sz w:val="24"/>
        </w:rPr>
        <w:t>The MPC’s inflation projection assumes that further adjustment of import prices to sterling’s appreciation will occur during 1998. That would be twice as long as import prices have previously taken to react to a change in the exchange rate. But there is great uncertainty</w:t>
      </w:r>
    </w:p>
    <w:p>
      <w:pPr>
        <w:spacing w:after="0" w:line="242" w:lineRule="auto"/>
        <w:jc w:val="left"/>
        <w:rPr>
          <w:sz w:val="24"/>
        </w:rPr>
        <w:sectPr>
          <w:type w:val="continuous"/>
          <w:pgSz w:w="11880" w:h="16840"/>
          <w:pgMar w:top="1200" w:bottom="280" w:left="620" w:right="620"/>
          <w:cols w:num="2" w:equalWidth="0">
            <w:col w:w="4187" w:space="633"/>
            <w:col w:w="5820"/>
          </w:cols>
        </w:sectPr>
      </w:pPr>
    </w:p>
    <w:p>
      <w:pPr>
        <w:pStyle w:val="BodyText"/>
        <w:rPr>
          <w:sz w:val="20"/>
        </w:rPr>
      </w:pPr>
    </w:p>
    <w:p>
      <w:pPr>
        <w:spacing w:before="218"/>
        <w:ind w:left="1330" w:right="1367" w:firstLine="0"/>
        <w:jc w:val="center"/>
        <w:rPr>
          <w:b/>
          <w:sz w:val="28"/>
        </w:rPr>
      </w:pPr>
      <w:bookmarkStart w:name="The interaction of costs and prices" w:id="64"/>
      <w:bookmarkEnd w:id="64"/>
      <w:r>
        <w:rPr/>
      </w:r>
      <w:bookmarkStart w:name="_bookmark24" w:id="65"/>
      <w:bookmarkEnd w:id="65"/>
      <w:r>
        <w:rPr/>
      </w:r>
      <w:r>
        <w:rPr>
          <w:b/>
          <w:color w:val="009483"/>
          <w:sz w:val="28"/>
        </w:rPr>
        <w:t>The interaction of costs and prices</w:t>
      </w:r>
    </w:p>
    <w:p>
      <w:pPr>
        <w:pStyle w:val="BodyText"/>
        <w:rPr>
          <w:b/>
          <w:sz w:val="20"/>
        </w:rPr>
      </w:pPr>
    </w:p>
    <w:p>
      <w:pPr>
        <w:spacing w:after="0"/>
        <w:rPr>
          <w:sz w:val="20"/>
        </w:rPr>
        <w:sectPr>
          <w:headerReference w:type="default" r:id="rId60"/>
          <w:headerReference w:type="even" r:id="rId61"/>
          <w:pgSz w:w="11880" w:h="16840"/>
          <w:pgMar w:header="566" w:footer="597" w:top="760" w:bottom="780" w:left="620" w:right="620"/>
        </w:sectPr>
      </w:pPr>
    </w:p>
    <w:p>
      <w:pPr>
        <w:pStyle w:val="BodyText"/>
        <w:spacing w:before="3"/>
        <w:rPr>
          <w:b/>
          <w:sz w:val="19"/>
        </w:rPr>
      </w:pPr>
    </w:p>
    <w:p>
      <w:pPr>
        <w:pStyle w:val="Heading8"/>
        <w:spacing w:line="249" w:lineRule="auto"/>
        <w:ind w:right="10"/>
      </w:pPr>
      <w:r>
        <w:rPr>
          <w:color w:val="231F20"/>
        </w:rPr>
        <w:t>This section of the </w:t>
      </w:r>
      <w:r>
        <w:rPr>
          <w:i/>
          <w:color w:val="231F20"/>
        </w:rPr>
        <w:t>Report </w:t>
      </w:r>
      <w:r>
        <w:rPr>
          <w:color w:val="231F20"/>
        </w:rPr>
        <w:t>discusses a wide range of data on costs and prices. The diagram below shows how these various costs and prices relate to the retail price index. The emphasis on goods prices in the diagram reflects the greater availability of cost data on goods than on services.</w:t>
      </w:r>
    </w:p>
    <w:p>
      <w:pPr>
        <w:pStyle w:val="BodyText"/>
        <w:spacing w:before="5"/>
        <w:rPr>
          <w:sz w:val="23"/>
        </w:rPr>
      </w:pPr>
    </w:p>
    <w:p>
      <w:pPr>
        <w:spacing w:line="249" w:lineRule="auto" w:before="0"/>
        <w:ind w:left="419" w:right="105" w:firstLine="0"/>
        <w:jc w:val="left"/>
        <w:rPr>
          <w:sz w:val="22"/>
        </w:rPr>
      </w:pPr>
      <w:r>
        <w:rPr>
          <w:color w:val="231F20"/>
          <w:sz w:val="22"/>
        </w:rPr>
        <w:t>The diagram is a simplification. For example, housing services do not fit into this ‘pipeline’ approach. And ‘other costs’ refer to a variety of factors, such as taxes, rental costs, bought-in services and labour costs. Some costs feed into the pipeline at many different points. For example, fresh food prices feed directly into the retail price index, but other food is processed first and enters higher up the pipeline. Even though imported services are nearly one quarter of total imports, these are almost exclusively purchased by the corporate sector. So they do not feed directly into</w:t>
      </w:r>
    </w:p>
    <w:p>
      <w:pPr>
        <w:pStyle w:val="BodyText"/>
        <w:spacing w:before="3"/>
        <w:rPr>
          <w:sz w:val="19"/>
        </w:rPr>
      </w:pPr>
      <w:r>
        <w:rPr/>
        <w:br w:type="column"/>
      </w:r>
      <w:r>
        <w:rPr>
          <w:sz w:val="19"/>
        </w:rPr>
      </w:r>
    </w:p>
    <w:p>
      <w:pPr>
        <w:spacing w:line="249" w:lineRule="auto" w:before="0"/>
        <w:ind w:left="419" w:right="513" w:firstLine="0"/>
        <w:jc w:val="left"/>
        <w:rPr>
          <w:sz w:val="22"/>
        </w:rPr>
      </w:pPr>
      <w:r>
        <w:rPr>
          <w:color w:val="231F20"/>
          <w:sz w:val="22"/>
        </w:rPr>
        <w:t>the retail services price index, though they will affect retail prices indirectly. For example, foreign holidays are priced by domestic firms, but will reflect the cost of purchasing overseas services.</w:t>
      </w:r>
    </w:p>
    <w:p>
      <w:pPr>
        <w:pStyle w:val="BodyText"/>
        <w:spacing w:before="3"/>
        <w:rPr>
          <w:sz w:val="23"/>
        </w:rPr>
      </w:pPr>
    </w:p>
    <w:p>
      <w:pPr>
        <w:spacing w:line="249" w:lineRule="auto" w:before="0"/>
        <w:ind w:left="419" w:right="513" w:firstLine="0"/>
        <w:jc w:val="left"/>
        <w:rPr>
          <w:sz w:val="22"/>
        </w:rPr>
      </w:pPr>
      <w:r>
        <w:rPr>
          <w:color w:val="231F20"/>
          <w:sz w:val="22"/>
        </w:rPr>
        <w:t>This illustration does not imply that retail prices are determined by weighting together various costs.</w:t>
      </w:r>
    </w:p>
    <w:p>
      <w:pPr>
        <w:spacing w:line="249" w:lineRule="auto" w:before="2"/>
        <w:ind w:left="419" w:right="412" w:firstLine="0"/>
        <w:jc w:val="left"/>
        <w:rPr>
          <w:sz w:val="22"/>
        </w:rPr>
      </w:pPr>
      <w:r>
        <w:rPr>
          <w:color w:val="231F20"/>
          <w:sz w:val="22"/>
        </w:rPr>
        <w:t>This is because shocks that affect the economy can feed up or down the pipeline. A supply shock, such as a fall in oil prices, might first show up as a decrease in input prices, then feed down the pipeline until it affects retail prices. But a shock to demand, such as the recent windfall payouts, which have boosted consumption, might first be noticed at the point of consumption as an increase in retail prices. Increased demand for goods might put pressure on scarce resources, feeding up the pipeline as higher costs. So changes in costs are not always a lead indicator of changes in retail prices.</w:t>
      </w:r>
    </w:p>
    <w:p>
      <w:pPr>
        <w:spacing w:after="0" w:line="249" w:lineRule="auto"/>
        <w:jc w:val="left"/>
        <w:rPr>
          <w:sz w:val="22"/>
        </w:rPr>
        <w:sectPr>
          <w:type w:val="continuous"/>
          <w:pgSz w:w="11880" w:h="16840"/>
          <w:pgMar w:top="1200" w:bottom="280" w:left="620" w:right="620"/>
          <w:cols w:num="2" w:equalWidth="0">
            <w:col w:w="5086" w:space="44"/>
            <w:col w:w="5510"/>
          </w:cols>
        </w:sectPr>
      </w:pPr>
    </w:p>
    <w:p>
      <w:pPr>
        <w:pStyle w:val="BodyText"/>
        <w:rPr>
          <w:sz w:val="20"/>
        </w:rPr>
      </w:pPr>
      <w:r>
        <w:rPr/>
        <w:pict>
          <v:group style="position:absolute;margin-left:40pt;margin-top:39pt;width:517pt;height:736pt;mso-position-horizontal-relative:page;mso-position-vertical-relative:page;z-index:-20153856" coordorigin="800,780" coordsize="10340,14720">
            <v:shape style="position:absolute;left:820;top:800;width:10300;height:14680" coordorigin="820,800" coordsize="10300,14680" path="m11120,800l5984,800,5956,800,820,800,820,8112,820,8168,820,15480,5956,15480,5984,15480,11120,15480,11120,800xe" filled="true" fillcolor="#c3e0dc" stroked="false">
              <v:path arrowok="t"/>
              <v:fill type="solid"/>
            </v:shape>
            <v:shape style="position:absolute;left:899;top:921;width:10141;height:14437" coordorigin="899,922" coordsize="10141,14437" path="m5970,922l899,8140,5970,15358,11040,8140,5970,922xe" filled="true" fillcolor="#c4e1dd" stroked="false">
              <v:path arrowok="t"/>
              <v:fill type="solid"/>
            </v:shape>
            <v:shape style="position:absolute;left:998;top:1063;width:9943;height:14154" coordorigin="999,1063" coordsize="9943,14154" path="m5970,1063l999,8140,5970,15217,10941,8140,5970,1063xe" filled="true" fillcolor="#c5e1dd" stroked="false">
              <v:path arrowok="t"/>
              <v:fill type="solid"/>
            </v:shape>
            <v:shape style="position:absolute;left:1098;top:1204;width:9744;height:13871" coordorigin="1098,1205" coordsize="9744,13871" path="m5970,1205l1098,8140,5970,15075,10842,8140,5970,1205xe" filled="true" fillcolor="#c6e2de" stroked="false">
              <v:path arrowok="t"/>
              <v:fill type="solid"/>
            </v:shape>
            <v:shape style="position:absolute;left:1197;top:1346;width:9545;height:13588" coordorigin="1198,1346" coordsize="9545,13588" path="m5970,1346l1198,8140,5970,14934,10742,8140,5970,1346xe" filled="true" fillcolor="#c7e2df" stroked="false">
              <v:path arrowok="t"/>
              <v:fill type="solid"/>
            </v:shape>
            <v:shape style="position:absolute;left:1297;top:1487;width:9346;height:13305" coordorigin="1297,1488" coordsize="9346,13305" path="m5970,1488l1297,8140,5970,14792,10643,8140,5970,1488xe" filled="true" fillcolor="#c8e3df" stroked="false">
              <v:path arrowok="t"/>
              <v:fill type="solid"/>
            </v:shape>
            <v:shape style="position:absolute;left:1396;top:1629;width:9147;height:13022" coordorigin="1397,1629" coordsize="9147,13022" path="m5970,1629l1397,8140,5970,14651,10543,8140,5970,1629xe" filled="true" fillcolor="#c9e3e0" stroked="false">
              <v:path arrowok="t"/>
              <v:fill type="solid"/>
            </v:shape>
            <v:shape style="position:absolute;left:1495;top:1770;width:8948;height:12739" coordorigin="1496,1771" coordsize="8948,12739" path="m5970,1771l1496,8140,5970,14509,10444,8140,5970,1771xe" filled="true" fillcolor="#cae4e0" stroked="false">
              <v:path arrowok="t"/>
              <v:fill type="solid"/>
            </v:shape>
            <v:shape style="position:absolute;left:1595;top:1912;width:8750;height:12456" coordorigin="1595,1912" coordsize="8750,12456" path="m5970,1912l1595,8140,5970,14368,10344,8140,5970,1912xe" filled="true" fillcolor="#cbe4e1" stroked="false">
              <v:path arrowok="t"/>
              <v:fill type="solid"/>
            </v:shape>
            <v:shape style="position:absolute;left:1694;top:2053;width:8551;height:12173" coordorigin="1695,2054" coordsize="8551,12173" path="m5970,2054l1695,8140,5970,14226,10245,8140,5970,2054xe" filled="true" fillcolor="#cce5e1" stroked="false">
              <v:path arrowok="t"/>
              <v:fill type="solid"/>
            </v:shape>
            <v:shape style="position:absolute;left:1794;top:2195;width:8352;height:11890" coordorigin="1794,2195" coordsize="8352,11890" path="m5970,2195l1794,8140,5970,14085,10146,8140,5970,2195xe" filled="true" fillcolor="#cde5e2" stroked="false">
              <v:path arrowok="t"/>
              <v:fill type="solid"/>
            </v:shape>
            <v:shape style="position:absolute;left:1893;top:2336;width:8153;height:11607" coordorigin="1894,2337" coordsize="8153,11607" path="m5970,2337l1894,8140,5970,13943,10046,8140,5970,2337xe" filled="true" fillcolor="#cee6e3" stroked="false">
              <v:path arrowok="t"/>
              <v:fill type="solid"/>
            </v:shape>
            <v:shape style="position:absolute;left:1993;top:2478;width:7954;height:11324" coordorigin="1993,2478" coordsize="7954,11324" path="m5970,2478l1993,8140,5970,13802,9947,8140,5970,2478xe" filled="true" fillcolor="#cfe6e3" stroked="false">
              <v:path arrowok="t"/>
              <v:fill type="solid"/>
            </v:shape>
            <v:shape style="position:absolute;left:2092;top:2620;width:7755;height:11040" coordorigin="2092,2620" coordsize="7755,11040" path="m5970,2620l2092,8140,5970,13660,9847,8140,5970,2620xe" filled="true" fillcolor="#d0e7e4" stroked="false">
              <v:path arrowok="t"/>
              <v:fill type="solid"/>
            </v:shape>
            <v:shape style="position:absolute;left:2191;top:2761;width:7557;height:10757" coordorigin="2192,2762" coordsize="7557,10757" path="m5970,2762l2192,8140,5970,13518,9748,8140,5970,2762xe" filled="true" fillcolor="#d1e7e4" stroked="false">
              <v:path arrowok="t"/>
              <v:fill type="solid"/>
            </v:shape>
            <v:shape style="position:absolute;left:2291;top:2903;width:7358;height:10474" coordorigin="2291,2903" coordsize="7358,10474" path="m5970,2903l2291,8140,5970,13377,9649,8140,5970,2903xe" filled="true" fillcolor="#d3e8e5" stroked="false">
              <v:path arrowok="t"/>
              <v:fill type="solid"/>
            </v:shape>
            <v:shape style="position:absolute;left:2390;top:3044;width:7159;height:10191" coordorigin="2391,3045" coordsize="7159,10191" path="m5970,3045l2391,8140,5970,13235,9549,8140,5970,3045xe" filled="true" fillcolor="#d4e8e5" stroked="false">
              <v:path arrowok="t"/>
              <v:fill type="solid"/>
            </v:shape>
            <v:shape style="position:absolute;left:2490;top:3186;width:6960;height:9908" coordorigin="2490,3186" coordsize="6960,9908" path="m5970,3186l2490,8140,5970,13094,9450,8140,5970,3186xe" filled="true" fillcolor="#d5e9e6" stroked="false">
              <v:path arrowok="t"/>
              <v:fill type="solid"/>
            </v:shape>
            <v:shape style="position:absolute;left:2589;top:3327;width:6761;height:9625" coordorigin="2590,3328" coordsize="6761,9625" path="m5970,3328l2590,8140,5970,12952,9350,8140,5970,3328xe" filled="true" fillcolor="#d6eae7" stroked="false">
              <v:path arrowok="t"/>
              <v:fill type="solid"/>
            </v:shape>
            <v:shape style="position:absolute;left:2689;top:3469;width:6562;height:9342" coordorigin="2689,3469" coordsize="6562,9342" path="m5970,3469l2689,8140,5970,12811,9251,8140,5970,3469xe" filled="true" fillcolor="#d7eae7" stroked="false">
              <v:path arrowok="t"/>
              <v:fill type="solid"/>
            </v:shape>
            <v:shape style="position:absolute;left:2788;top:3610;width:6363;height:9059" coordorigin="2788,3611" coordsize="6363,9059" path="m5970,3611l2788,8140,5970,12669,9151,8140,5970,3611xe" filled="true" fillcolor="#d8ebe8" stroked="false">
              <v:path arrowok="t"/>
              <v:fill type="solid"/>
            </v:shape>
            <v:shape style="position:absolute;left:2887;top:3752;width:6165;height:8776" coordorigin="2888,3752" coordsize="6165,8776" path="m5970,3752l2888,8140,5970,12528,9052,8140,5970,3752xe" filled="true" fillcolor="#d9ebe8" stroked="false">
              <v:path arrowok="t"/>
              <v:fill type="solid"/>
            </v:shape>
            <v:shape style="position:absolute;left:2987;top:3893;width:5966;height:8493" coordorigin="2987,3894" coordsize="5966,8493" path="m5970,3894l2987,8140,5970,12386,8953,8140,5970,3894xe" filled="true" fillcolor="#daece9" stroked="false">
              <v:path arrowok="t"/>
              <v:fill type="solid"/>
            </v:shape>
            <v:shape style="position:absolute;left:3086;top:4035;width:5767;height:8210" coordorigin="3087,4035" coordsize="5767,8210" path="m5970,4035l3087,8140,5970,12245,8853,8140,5970,4035xe" filled="true" fillcolor="#dbece9" stroked="false">
              <v:path arrowok="t"/>
              <v:fill type="solid"/>
            </v:shape>
            <v:shape style="position:absolute;left:3186;top:4176;width:5568;height:7927" coordorigin="3186,4177" coordsize="5568,7927" path="m5970,4177l3186,8140,5970,12103,8754,8140,5970,4177xe" filled="true" fillcolor="#dcedea" stroked="false">
              <v:path arrowok="t"/>
              <v:fill type="solid"/>
            </v:shape>
            <v:shape style="position:absolute;left:3285;top:4318;width:5369;height:7644" coordorigin="3286,4318" coordsize="5369,7644" path="m5970,4318l3286,8140,5970,11962,8654,8140,5970,4318xe" filled="true" fillcolor="#ddedeb" stroked="false">
              <v:path arrowok="t"/>
              <v:fill type="solid"/>
            </v:shape>
            <v:shape style="position:absolute;left:3384;top:4460;width:5170;height:7360" coordorigin="3385,4460" coordsize="5170,7360" path="m5970,4460l3385,8140,5970,11820,8555,8140,5970,4460xe" filled="true" fillcolor="#deeeeb" stroked="false">
              <v:path arrowok="t"/>
              <v:fill type="solid"/>
            </v:shape>
            <v:shape style="position:absolute;left:3484;top:4601;width:4972;height:7077" coordorigin="3484,4602" coordsize="4972,7077" path="m5970,4602l3484,8140,5970,11678,8455,8140,5970,4602xe" filled="true" fillcolor="#e0efec" stroked="false">
              <v:path arrowok="t"/>
              <v:fill type="solid"/>
            </v:shape>
            <v:shape style="position:absolute;left:3583;top:4743;width:4773;height:6794" coordorigin="3584,4743" coordsize="4773,6794" path="m5970,4743l3584,8140,5970,11537,8356,8140,5970,4743xe" filled="true" fillcolor="#e1efec" stroked="false">
              <v:path arrowok="t"/>
              <v:fill type="solid"/>
            </v:shape>
            <v:shape style="position:absolute;left:3683;top:4884;width:4574;height:6511" coordorigin="3683,4885" coordsize="4574,6511" path="m5970,4885l3683,8140,5970,11395,8257,8140,5970,4885xe" filled="true" fillcolor="#e2f0ed" stroked="false">
              <v:path arrowok="t"/>
              <v:fill type="solid"/>
            </v:shape>
            <v:shape style="position:absolute;left:3782;top:5026;width:4375;height:6228" coordorigin="3783,5026" coordsize="4375,6228" path="m5970,5026l3783,8140,5970,11254,8157,8140,5970,5026xe" filled="true" fillcolor="#e3f0ee" stroked="false">
              <v:path arrowok="t"/>
              <v:fill type="solid"/>
            </v:shape>
            <v:shape style="position:absolute;left:3882;top:5167;width:4176;height:5945" coordorigin="3882,5168" coordsize="4176,5945" path="m5970,5168l3882,8140,5970,11112,8058,8140,5970,5168xe" filled="true" fillcolor="#e4f1ee" stroked="false">
              <v:path arrowok="t"/>
              <v:fill type="solid"/>
            </v:shape>
            <v:shape style="position:absolute;left:3981;top:5309;width:3977;height:5662" coordorigin="3981,5309" coordsize="3977,5662" path="m5970,5309l3981,8140,5970,10971,7958,8140,5970,5309xe" filled="true" fillcolor="#e5f1ef" stroked="false">
              <v:path arrowok="t"/>
              <v:fill type="solid"/>
            </v:shape>
            <v:shape style="position:absolute;left:4080;top:5450;width:3778;height:5379" coordorigin="4081,5451" coordsize="3778,5379" path="m5970,5451l4081,8140,5970,10829,7859,8140,5970,5451xe" filled="true" fillcolor="#e6f2ef" stroked="false">
              <v:path arrowok="t"/>
              <v:fill type="solid"/>
            </v:shape>
            <v:shape style="position:absolute;left:4180;top:5592;width:3580;height:5096" coordorigin="4180,5592" coordsize="3580,5096" path="m5970,5592l4180,8140,5970,10688,7759,8140,5970,5592xe" filled="true" fillcolor="#e7f3f0" stroked="false">
              <v:path arrowok="t"/>
              <v:fill type="solid"/>
            </v:shape>
            <v:shape style="position:absolute;left:4279;top:5733;width:3381;height:4813" coordorigin="4280,5734" coordsize="3381,4813" path="m5970,5734l4280,8140,5970,10546,7660,8140,5970,5734xe" filled="true" fillcolor="#e9f3f1" stroked="false">
              <v:path arrowok="t"/>
              <v:fill type="solid"/>
            </v:shape>
            <v:shape style="position:absolute;left:4379;top:5875;width:3182;height:4530" coordorigin="4379,5875" coordsize="3182,4530" path="m5970,5875l4379,8140,5970,10405,7561,8140,5970,5875xe" filled="true" fillcolor="#eaf4f2" stroked="false">
              <v:path arrowok="t"/>
              <v:fill type="solid"/>
            </v:shape>
            <v:shape style="position:absolute;left:4478;top:6016;width:2983;height:4247" coordorigin="4479,6017" coordsize="2983,4247" path="m5970,6017l4479,8140,5970,10263,7461,8140,5970,6017xe" filled="true" fillcolor="#ebf4f2" stroked="false">
              <v:path arrowok="t"/>
              <v:fill type="solid"/>
            </v:shape>
            <v:shape style="position:absolute;left:4578;top:6158;width:2784;height:3964" coordorigin="4578,6158" coordsize="2784,3964" path="m5970,6158l4578,8140,5970,10122,7362,8140,5970,6158xe" filled="true" fillcolor="#ecf5f3" stroked="false">
              <v:path arrowok="t"/>
              <v:fill type="solid"/>
            </v:shape>
            <v:shape style="position:absolute;left:4677;top:6300;width:2585;height:3680" coordorigin="4677,6300" coordsize="2585,3680" path="m5970,6300l4677,8140,5970,9980,7262,8140,5970,6300xe" filled="true" fillcolor="#edf6f4" stroked="false">
              <v:path arrowok="t"/>
              <v:fill type="solid"/>
            </v:shape>
            <v:shape style="position:absolute;left:4776;top:6441;width:2387;height:3397" coordorigin="4777,6442" coordsize="2387,3397" path="m5970,6442l4777,8140,5970,9838,7163,8140,5970,6442xe" filled="true" fillcolor="#eff7f5" stroked="false">
              <v:path arrowok="t"/>
              <v:fill type="solid"/>
            </v:shape>
            <v:shape style="position:absolute;left:4876;top:6583;width:2188;height:3114" coordorigin="4876,6583" coordsize="2188,3114" path="m5970,6583l4876,8140,5970,9697,7064,8140,5970,6583xe" filled="true" fillcolor="#f0f7f5" stroked="false">
              <v:path arrowok="t"/>
              <v:fill type="solid"/>
            </v:shape>
            <v:shape style="position:absolute;left:4975;top:6724;width:1989;height:2831" coordorigin="4976,6725" coordsize="1989,2831" path="m5970,6725l4976,8140,5970,9555,6964,8140,5970,6725xe" filled="true" fillcolor="#f1f8f6" stroked="false">
              <v:path arrowok="t"/>
              <v:fill type="solid"/>
            </v:shape>
            <v:shape style="position:absolute;left:5075;top:6866;width:1790;height:2548" coordorigin="5075,6866" coordsize="1790,2548" path="m5970,6866l5075,8140,5970,9414,6865,8140,5970,6866xe" filled="true" fillcolor="#f2f8f7" stroked="false">
              <v:path arrowok="t"/>
              <v:fill type="solid"/>
            </v:shape>
            <v:shape style="position:absolute;left:5174;top:7007;width:1591;height:2265" coordorigin="5175,7008" coordsize="1591,2265" path="m5970,7008l5175,8140,5970,9272,6765,8140,5970,7008xe" filled="true" fillcolor="#f3f9f8" stroked="false">
              <v:path arrowok="t"/>
              <v:fill type="solid"/>
            </v:shape>
            <v:shape style="position:absolute;left:5273;top:7149;width:1392;height:1982" coordorigin="5274,7149" coordsize="1392,1982" path="m5970,7149l5274,8140,5970,9131,6666,8140,5970,7149xe" filled="true" fillcolor="#f5f9f8" stroked="false">
              <v:path arrowok="t"/>
              <v:fill type="solid"/>
            </v:shape>
            <v:shape style="position:absolute;left:5373;top:7290;width:1194;height:1699" coordorigin="5373,7291" coordsize="1194,1699" path="m5970,7291l5373,8140,5970,8989,6566,8140,5970,7291xe" filled="true" fillcolor="#f6faf9" stroked="false">
              <v:path arrowok="t"/>
              <v:fill type="solid"/>
            </v:shape>
            <v:shape style="position:absolute;left:5472;top:7432;width:995;height:1416" coordorigin="5473,7432" coordsize="995,1416" path="m5970,7432l5473,8140,5970,8848,6467,8140,5970,7432xe" filled="true" fillcolor="#f8fbfa" stroked="false">
              <v:path arrowok="t"/>
              <v:fill type="solid"/>
            </v:shape>
            <v:shape style="position:absolute;left:5572;top:7573;width:796;height:1133" coordorigin="5572,7574" coordsize="796,1133" path="m5970,7574l5572,8140,5970,8706,6368,8140,5970,7574xe" filled="true" fillcolor="#f9fcfc" stroked="false">
              <v:path arrowok="t"/>
              <v:fill type="solid"/>
            </v:shape>
            <v:shape style="position:absolute;left:5671;top:7715;width:597;height:850" coordorigin="5672,7715" coordsize="597,850" path="m5970,7715l5672,8140,5970,8565,6268,8140,5970,7715xe" filled="true" fillcolor="#fbfdfd" stroked="false">
              <v:path arrowok="t"/>
              <v:fill type="solid"/>
            </v:shape>
            <v:shape style="position:absolute;left:5771;top:7856;width:398;height:567" coordorigin="5771,7857" coordsize="398,567" path="m5970,7857l5771,8140,5970,8423,6169,8140,5970,7857xe" filled="true" fillcolor="#fdfefe" stroked="false">
              <v:path arrowok="t"/>
              <v:fill type="solid"/>
            </v:shape>
            <v:shape style="position:absolute;left:5870;top:7998;width:199;height:284" coordorigin="5870,7998" coordsize="199,284" path="m5970,7998l5870,8140,5970,8282,6069,8140,5970,7998xe" filled="true" fillcolor="#ffffff" stroked="false">
              <v:path arrowok="t"/>
              <v:fill type="solid"/>
            </v:shape>
            <v:rect style="position:absolute;left:810;top:790;width:10320;height:14700" filled="false" stroked="true" strokeweight="1pt" strokecolor="#009483">
              <v:stroke dashstyle="solid"/>
            </v:rect>
            <v:rect style="position:absolute;left:1034;top:8020;width:9806;height:7090" filled="true" fillcolor="#ffffff" stroked="false">
              <v:fill type="solid"/>
            </v:rect>
            <v:shape style="position:absolute;left:2355;top:9300;width:8249;height:2568" coordorigin="2356,9300" coordsize="8249,2568" path="m8606,11868l10604,11868,10604,11421,8606,11421,8606,11868xm2356,9300l2983,9572e" filled="false" stroked="true" strokeweight=".485pt" strokecolor="#000000">
              <v:path arrowok="t"/>
              <v:stroke dashstyle="solid"/>
            </v:shape>
            <v:shape style="position:absolute;left:2933;top:9514;width:171;height:110" type="#_x0000_t75" stroked="false">
              <v:imagedata r:id="rId62" o:title=""/>
            </v:shape>
            <v:line style="position:absolute" from="2337,11095" to="2987,11367" stroked="true" strokeweight=".485pt" strokecolor="#000000">
              <v:stroke dashstyle="solid"/>
            </v:line>
            <v:shape style="position:absolute;left:2937;top:11308;width:171;height:110" type="#_x0000_t75" stroked="false">
              <v:imagedata r:id="rId63" o:title=""/>
            </v:shape>
            <v:line style="position:absolute" from="2363,12825" to="3013,13113" stroked="true" strokeweight=".485pt" strokecolor="#000000">
              <v:stroke dashstyle="solid"/>
            </v:line>
            <v:shape style="position:absolute;left:2963;top:13054;width:171;height:110" type="#_x0000_t75" stroked="false">
              <v:imagedata r:id="rId64" o:title=""/>
            </v:shape>
            <v:line style="position:absolute" from="4059,10089" to="4066,11272" stroked="true" strokeweight=".485pt" strokecolor="#000000">
              <v:stroke dashstyle="solid"/>
            </v:line>
            <v:shape style="position:absolute;left:4016;top:11238;width:98;height:165" coordorigin="4017,11239" coordsize="98,165" path="m4114,11239l4017,11239,4022,11251,4029,11270,4053,11343,4066,11403,4069,11386,4086,11317,4100,11276,4114,11239xe" filled="true" fillcolor="#000000" stroked="false">
              <v:path arrowok="t"/>
              <v:fill type="solid"/>
            </v:shape>
            <v:line style="position:absolute" from="4062,11877" to="4060,13040" stroked="true" strokeweight=".485pt" strokecolor="#000000">
              <v:stroke dashstyle="solid"/>
            </v:line>
            <v:shape style="position:absolute;left:4010;top:13006;width:98;height:165" coordorigin="4011,13007" coordsize="98,165" path="m4108,13007l4011,13008,4016,13019,4023,13038,4047,13111,4061,13172,4063,13154,4080,13086,4094,13044,4108,13007xe" filled="true" fillcolor="#000000" stroked="false">
              <v:path arrowok="t"/>
              <v:fill type="solid"/>
            </v:shape>
            <v:line style="position:absolute" from="9598,11870" to="9605,13024" stroked="true" strokeweight=".485pt" strokecolor="#000000">
              <v:stroke dashstyle="solid"/>
            </v:line>
            <v:shape style="position:absolute;left:9555;top:12990;width:98;height:165" coordorigin="9556,12991" coordsize="98,165" path="m9654,12991l9556,12991,9561,13003,9568,13022,9592,13095,9606,13155,9608,13138,9625,13070,9639,13028,9654,12991xe" filled="true" fillcolor="#000000" stroked="false">
              <v:path arrowok="t"/>
              <v:fill type="solid"/>
            </v:shape>
            <v:line style="position:absolute" from="5877,12824" to="5229,13116" stroked="true" strokeweight=".485pt" strokecolor="#000000">
              <v:stroke dashstyle="solid"/>
            </v:line>
            <v:shape style="position:absolute;left:5109;top:13057;width:170;height:115" type="#_x0000_t75" stroked="false">
              <v:imagedata r:id="rId65" o:title=""/>
            </v:shape>
            <v:line style="position:absolute" from="5866,11080" to="5242,11357" stroked="true" strokeweight=".485pt" strokecolor="#000000">
              <v:stroke dashstyle="solid"/>
            </v:line>
            <v:shape style="position:absolute;left:5122;top:11298;width:170;height:115" type="#_x0000_t75" stroked="false">
              <v:imagedata r:id="rId66" o:title=""/>
            </v:shape>
            <v:line style="position:absolute" from="5876,9275" to="5227,9567" stroked="true" strokeweight=".485pt" strokecolor="#000000">
              <v:stroke dashstyle="solid"/>
            </v:line>
            <v:shape style="position:absolute;left:5108;top:9508;width:170;height:115" type="#_x0000_t75" stroked="false">
              <v:imagedata r:id="rId67" o:title=""/>
            </v:shape>
            <v:line style="position:absolute" from="4064,13631" to="5503,14047" stroked="true" strokeweight=".485pt" strokecolor="#000000">
              <v:stroke dashstyle="solid"/>
            </v:line>
            <v:shape style="position:absolute;left:5459;top:13992;width:172;height:95" coordorigin="5460,13992" coordsize="172,95" path="m5483,13992l5460,14087,5472,14085,5492,14082,5517,14080,5543,14078,5569,14077,5593,14077,5614,14077,5631,14079,5615,14072,5552,14039,5515,14015,5483,13992xe" filled="true" fillcolor="#000000" stroked="false">
              <v:path arrowok="t"/>
              <v:fill type="solid"/>
            </v:shape>
            <v:line style="position:absolute" from="8613,13620" to="7905,14026" stroked="true" strokeweight=".485pt" strokecolor="#000000">
              <v:stroke dashstyle="solid"/>
            </v:line>
            <v:shape style="position:absolute;left:7788;top:13967;width:169;height:120" type="#_x0000_t75" stroked="false">
              <v:imagedata r:id="rId68" o:title=""/>
            </v:shape>
            <v:shape style="position:absolute;left:1020;top:7740;width:9820;height:7660" coordorigin="1020,7740" coordsize="9820,7660" path="m10834,15110l1034,15110,1034,15400,10834,15400,10834,15110xm10840,7740l1020,7740,1020,8040,10840,8040,10840,7740xe" filled="true" fillcolor="#ffffff" stroked="false">
              <v:path arrowok="t"/>
              <v:fill type="solid"/>
            </v:shape>
            <v:shape style="position:absolute;left:1040;top:7713;width:2889;height:536" type="#_x0000_t202" filled="false" stroked="false">
              <v:textbox inset="0,0,0,0">
                <w:txbxContent>
                  <w:p>
                    <w:pPr>
                      <w:spacing w:line="266" w:lineRule="exact" w:before="0"/>
                      <w:ind w:left="0" w:right="0" w:firstLine="0"/>
                      <w:jc w:val="left"/>
                      <w:rPr>
                        <w:sz w:val="12"/>
                      </w:rPr>
                    </w:pPr>
                    <w:r>
                      <w:rPr>
                        <w:b/>
                        <w:color w:val="0093C1"/>
                        <w:sz w:val="24"/>
                      </w:rPr>
                      <w:t>Retail and producer prices</w:t>
                    </w:r>
                    <w:r>
                      <w:rPr>
                        <w:color w:val="231F20"/>
                        <w:position w:val="8"/>
                        <w:sz w:val="12"/>
                      </w:rPr>
                      <w:t>(a)</w:t>
                    </w:r>
                  </w:p>
                  <w:p>
                    <w:pPr>
                      <w:spacing w:before="50"/>
                      <w:ind w:left="86" w:right="0" w:firstLine="0"/>
                      <w:jc w:val="left"/>
                      <w:rPr>
                        <w:b/>
                        <w:sz w:val="19"/>
                      </w:rPr>
                    </w:pPr>
                    <w:r>
                      <w:rPr>
                        <w:b/>
                        <w:sz w:val="19"/>
                      </w:rPr>
                      <w:t>Goods sector</w:t>
                    </w:r>
                  </w:p>
                </w:txbxContent>
              </v:textbox>
              <w10:wrap type="none"/>
            </v:shape>
            <v:shape style="position:absolute;left:2446;top:9030;width:376;height:215" type="#_x0000_t202" filled="false" stroked="false">
              <v:textbox inset="0,0,0,0">
                <w:txbxContent>
                  <w:p>
                    <w:pPr>
                      <w:spacing w:line="214" w:lineRule="exact" w:before="0"/>
                      <w:ind w:left="0" w:right="0" w:firstLine="0"/>
                      <w:jc w:val="left"/>
                      <w:rPr>
                        <w:sz w:val="19"/>
                      </w:rPr>
                    </w:pPr>
                    <w:r>
                      <w:rPr>
                        <w:sz w:val="19"/>
                      </w:rPr>
                      <w:t>46%</w:t>
                    </w:r>
                  </w:p>
                </w:txbxContent>
              </v:textbox>
              <w10:wrap type="none"/>
            </v:shape>
            <v:shape style="position:absolute;left:5420;top:9030;width:376;height:215" type="#_x0000_t202" filled="false" stroked="false">
              <v:textbox inset="0,0,0,0">
                <w:txbxContent>
                  <w:p>
                    <w:pPr>
                      <w:spacing w:line="214" w:lineRule="exact" w:before="0"/>
                      <w:ind w:left="0" w:right="0" w:firstLine="0"/>
                      <w:jc w:val="left"/>
                      <w:rPr>
                        <w:sz w:val="19"/>
                      </w:rPr>
                    </w:pPr>
                    <w:r>
                      <w:rPr>
                        <w:sz w:val="19"/>
                      </w:rPr>
                      <w:t>54%</w:t>
                    </w:r>
                  </w:p>
                </w:txbxContent>
              </v:textbox>
              <w10:wrap type="none"/>
            </v:shape>
            <v:shape style="position:absolute;left:4172;top:10427;width:376;height:215" type="#_x0000_t202" filled="false" stroked="false">
              <v:textbox inset="0,0,0,0">
                <w:txbxContent>
                  <w:p>
                    <w:pPr>
                      <w:spacing w:line="214" w:lineRule="exact" w:before="0"/>
                      <w:ind w:left="0" w:right="0" w:firstLine="0"/>
                      <w:jc w:val="left"/>
                      <w:rPr>
                        <w:sz w:val="19"/>
                      </w:rPr>
                    </w:pPr>
                    <w:r>
                      <w:rPr>
                        <w:sz w:val="19"/>
                      </w:rPr>
                      <w:t>20%</w:t>
                    </w:r>
                  </w:p>
                </w:txbxContent>
              </v:textbox>
              <w10:wrap type="none"/>
            </v:shape>
            <v:shape style="position:absolute;left:2446;top:10821;width:376;height:215" type="#_x0000_t202" filled="false" stroked="false">
              <v:textbox inset="0,0,0,0">
                <w:txbxContent>
                  <w:p>
                    <w:pPr>
                      <w:spacing w:line="214" w:lineRule="exact" w:before="0"/>
                      <w:ind w:left="0" w:right="0" w:firstLine="0"/>
                      <w:jc w:val="left"/>
                      <w:rPr>
                        <w:sz w:val="19"/>
                      </w:rPr>
                    </w:pPr>
                    <w:r>
                      <w:rPr>
                        <w:sz w:val="19"/>
                      </w:rPr>
                      <w:t>70%</w:t>
                    </w:r>
                  </w:p>
                </w:txbxContent>
              </v:textbox>
              <w10:wrap type="none"/>
            </v:shape>
            <v:shape style="position:absolute;left:5420;top:10821;width:376;height:215" type="#_x0000_t202" filled="false" stroked="false">
              <v:textbox inset="0,0,0,0">
                <w:txbxContent>
                  <w:p>
                    <w:pPr>
                      <w:spacing w:line="214" w:lineRule="exact" w:before="0"/>
                      <w:ind w:left="0" w:right="0" w:firstLine="0"/>
                      <w:jc w:val="left"/>
                      <w:rPr>
                        <w:sz w:val="19"/>
                      </w:rPr>
                    </w:pPr>
                    <w:r>
                      <w:rPr>
                        <w:sz w:val="19"/>
                      </w:rPr>
                      <w:t>10%</w:t>
                    </w:r>
                  </w:p>
                </w:txbxContent>
              </v:textbox>
              <w10:wrap type="none"/>
            </v:shape>
            <v:shape style="position:absolute;left:8595;top:11151;width:1739;height:594" type="#_x0000_t202" filled="false" stroked="false">
              <v:textbox inset="0,0,0,0">
                <w:txbxContent>
                  <w:p>
                    <w:pPr>
                      <w:spacing w:line="214" w:lineRule="exact" w:before="0"/>
                      <w:ind w:left="0" w:right="0" w:firstLine="0"/>
                      <w:jc w:val="left"/>
                      <w:rPr>
                        <w:b/>
                        <w:sz w:val="19"/>
                      </w:rPr>
                    </w:pPr>
                    <w:r>
                      <w:rPr>
                        <w:b/>
                        <w:sz w:val="19"/>
                      </w:rPr>
                      <w:t>Services sector</w:t>
                    </w:r>
                  </w:p>
                  <w:p>
                    <w:pPr>
                      <w:spacing w:before="160"/>
                      <w:ind w:left="407" w:right="0" w:firstLine="0"/>
                      <w:jc w:val="left"/>
                      <w:rPr>
                        <w:sz w:val="19"/>
                      </w:rPr>
                    </w:pPr>
                    <w:r>
                      <w:rPr>
                        <w:sz w:val="19"/>
                      </w:rPr>
                      <w:t>Costs and profits</w:t>
                    </w:r>
                  </w:p>
                </w:txbxContent>
              </v:textbox>
              <w10:wrap type="none"/>
            </v:shape>
            <v:shape style="position:absolute;left:4172;top:12225;width:376;height:215" type="#_x0000_t202" filled="false" stroked="false">
              <v:textbox inset="0,0,0,0">
                <w:txbxContent>
                  <w:p>
                    <w:pPr>
                      <w:spacing w:line="214" w:lineRule="exact" w:before="0"/>
                      <w:ind w:left="0" w:right="0" w:firstLine="0"/>
                      <w:jc w:val="left"/>
                      <w:rPr>
                        <w:sz w:val="19"/>
                      </w:rPr>
                    </w:pPr>
                    <w:r>
                      <w:rPr>
                        <w:sz w:val="19"/>
                      </w:rPr>
                      <w:t>49%</w:t>
                    </w:r>
                  </w:p>
                </w:txbxContent>
              </v:textbox>
              <w10:wrap type="none"/>
            </v:shape>
            <v:shape style="position:absolute;left:2446;top:12554;width:376;height:215" type="#_x0000_t202" filled="false" stroked="false">
              <v:textbox inset="0,0,0,0">
                <w:txbxContent>
                  <w:p>
                    <w:pPr>
                      <w:spacing w:line="214" w:lineRule="exact" w:before="0"/>
                      <w:ind w:left="0" w:right="0" w:firstLine="0"/>
                      <w:jc w:val="left"/>
                      <w:rPr>
                        <w:sz w:val="19"/>
                      </w:rPr>
                    </w:pPr>
                    <w:r>
                      <w:rPr>
                        <w:sz w:val="19"/>
                      </w:rPr>
                      <w:t>36%</w:t>
                    </w:r>
                  </w:p>
                </w:txbxContent>
              </v:textbox>
              <w10:wrap type="none"/>
            </v:shape>
            <v:shape style="position:absolute;left:5420;top:12554;width:376;height:215" type="#_x0000_t202" filled="false" stroked="false">
              <v:textbox inset="0,0,0,0">
                <w:txbxContent>
                  <w:p>
                    <w:pPr>
                      <w:spacing w:line="214" w:lineRule="exact" w:before="0"/>
                      <w:ind w:left="0" w:right="0" w:firstLine="0"/>
                      <w:jc w:val="left"/>
                      <w:rPr>
                        <w:sz w:val="19"/>
                      </w:rPr>
                    </w:pPr>
                    <w:r>
                      <w:rPr>
                        <w:sz w:val="19"/>
                      </w:rPr>
                      <w:t>16%</w:t>
                    </w:r>
                  </w:p>
                </w:txbxContent>
              </v:textbox>
              <w10:wrap type="none"/>
            </v:shape>
            <v:shape style="position:absolute;left:5103;top:13673;width:376;height:215" type="#_x0000_t202" filled="false" stroked="false">
              <v:textbox inset="0,0,0,0">
                <w:txbxContent>
                  <w:p>
                    <w:pPr>
                      <w:spacing w:line="214" w:lineRule="exact" w:before="0"/>
                      <w:ind w:left="0" w:right="0" w:firstLine="0"/>
                      <w:jc w:val="left"/>
                      <w:rPr>
                        <w:sz w:val="19"/>
                      </w:rPr>
                    </w:pPr>
                    <w:r>
                      <w:rPr>
                        <w:sz w:val="19"/>
                      </w:rPr>
                      <w:t>56%</w:t>
                    </w:r>
                  </w:p>
                </w:txbxContent>
              </v:textbox>
              <w10:wrap type="none"/>
            </v:shape>
            <v:shape style="position:absolute;left:7703;top:13673;width:376;height:215" type="#_x0000_t202" filled="false" stroked="false">
              <v:textbox inset="0,0,0,0">
                <w:txbxContent>
                  <w:p>
                    <w:pPr>
                      <w:spacing w:line="214" w:lineRule="exact" w:before="0"/>
                      <w:ind w:left="0" w:right="0" w:firstLine="0"/>
                      <w:jc w:val="left"/>
                      <w:rPr>
                        <w:sz w:val="19"/>
                      </w:rPr>
                    </w:pPr>
                    <w:r>
                      <w:rPr>
                        <w:sz w:val="19"/>
                      </w:rPr>
                      <w:t>44%</w:t>
                    </w:r>
                  </w:p>
                </w:txbxContent>
              </v:textbox>
              <w10:wrap type="none"/>
            </v:shape>
            <v:shape style="position:absolute;left:1054;top:15106;width:5473;height:133" type="#_x0000_t202" filled="false" stroked="false">
              <v:textbox inset="0,0,0,0">
                <w:txbxContent>
                  <w:p>
                    <w:pPr>
                      <w:spacing w:line="133" w:lineRule="exact" w:before="0"/>
                      <w:ind w:left="0" w:right="0" w:firstLine="0"/>
                      <w:jc w:val="left"/>
                      <w:rPr>
                        <w:sz w:val="12"/>
                      </w:rPr>
                    </w:pPr>
                    <w:r>
                      <w:rPr>
                        <w:color w:val="231F20"/>
                        <w:sz w:val="12"/>
                      </w:rPr>
                      <w:t>(a) Weights indicated are based on Bank estimates and ONS data, and may not sum to 100 because of rounding.</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after="1"/>
        <w:rPr>
          <w:sz w:val="12"/>
        </w:rPr>
      </w:pPr>
    </w:p>
    <w:p>
      <w:pPr>
        <w:tabs>
          <w:tab w:pos="5231" w:val="left" w:leader="none"/>
        </w:tabs>
        <w:spacing w:line="240" w:lineRule="auto"/>
        <w:ind w:left="521" w:right="0" w:firstLine="0"/>
        <w:rPr>
          <w:sz w:val="20"/>
        </w:rPr>
      </w:pPr>
      <w:r>
        <w:rPr>
          <w:sz w:val="20"/>
        </w:rPr>
        <w:pict>
          <v:shape style="width:60.15pt;height:49.5pt;mso-position-horizontal-relative:char;mso-position-vertical-relative:line" type="#_x0000_t202" filled="true" fillcolor="#ffffff" stroked="true" strokeweight=".485pt" strokecolor="#000000">
            <w10:anchorlock/>
            <v:textbox inset="0,0,0,0">
              <w:txbxContent>
                <w:p>
                  <w:pPr>
                    <w:spacing w:line="256" w:lineRule="auto" w:before="147"/>
                    <w:ind w:left="247" w:right="166" w:firstLine="0"/>
                    <w:jc w:val="left"/>
                    <w:rPr>
                      <w:sz w:val="19"/>
                    </w:rPr>
                  </w:pPr>
                  <w:r>
                    <w:rPr>
                      <w:sz w:val="19"/>
                    </w:rPr>
                    <w:t>Other materials’ prices</w:t>
                  </w:r>
                </w:p>
              </w:txbxContent>
            </v:textbox>
            <v:fill type="solid"/>
            <v:stroke dashstyle="solid"/>
          </v:shape>
        </w:pict>
      </w:r>
      <w:r>
        <w:rPr>
          <w:sz w:val="20"/>
        </w:rPr>
      </w:r>
      <w:r>
        <w:rPr>
          <w:sz w:val="20"/>
        </w:rPr>
        <w:tab/>
      </w:r>
      <w:r>
        <w:rPr>
          <w:position w:val="1"/>
          <w:sz w:val="20"/>
        </w:rPr>
        <w:pict>
          <v:shape style="width:60.15pt;height:49.5pt;mso-position-horizontal-relative:char;mso-position-vertical-relative:line" type="#_x0000_t202" filled="true" fillcolor="#ffffff" stroked="true" strokeweight=".485pt" strokecolor="#000000">
            <w10:anchorlock/>
            <v:textbox inset="0,0,0,0">
              <w:txbxContent>
                <w:p>
                  <w:pPr>
                    <w:pStyle w:val="BodyText"/>
                    <w:spacing w:before="4"/>
                    <w:rPr>
                      <w:sz w:val="20"/>
                    </w:rPr>
                  </w:pPr>
                </w:p>
                <w:p>
                  <w:pPr>
                    <w:spacing w:line="256" w:lineRule="auto" w:before="1"/>
                    <w:ind w:left="363" w:right="293" w:firstLine="0"/>
                    <w:jc w:val="left"/>
                    <w:rPr>
                      <w:sz w:val="19"/>
                    </w:rPr>
                  </w:pPr>
                  <w:r>
                    <w:rPr>
                      <w:sz w:val="19"/>
                    </w:rPr>
                    <w:t>Import prices</w:t>
                  </w:r>
                </w:p>
              </w:txbxContent>
            </v:textbox>
            <v:fill type="solid"/>
            <v:stroke dashstyle="solid"/>
          </v:shape>
        </w:pict>
      </w:r>
      <w:r>
        <w:rPr>
          <w:position w:val="1"/>
          <w:sz w:val="20"/>
        </w:rPr>
      </w:r>
    </w:p>
    <w:p>
      <w:pPr>
        <w:pStyle w:val="BodyText"/>
        <w:spacing w:before="3"/>
        <w:rPr>
          <w:sz w:val="21"/>
        </w:rPr>
      </w:pPr>
      <w:r>
        <w:rPr/>
        <w:pict>
          <v:shape style="position:absolute;margin-left:155.287003pt;margin-top:14.43pt;width:99.95pt;height:22.35pt;mso-position-horizontal-relative:page;mso-position-vertical-relative:paragraph;z-index:-15532544;mso-wrap-distance-left:0;mso-wrap-distance-right:0" type="#_x0000_t202" filled="true" fillcolor="#ffffff" stroked="true" strokeweight=".485pt" strokecolor="#000000">
            <v:textbox inset="0,0,0,0">
              <w:txbxContent>
                <w:p>
                  <w:pPr>
                    <w:spacing w:before="89"/>
                    <w:ind w:left="189" w:right="0" w:firstLine="0"/>
                    <w:jc w:val="left"/>
                    <w:rPr>
                      <w:sz w:val="19"/>
                    </w:rPr>
                  </w:pPr>
                  <w:r>
                    <w:rPr>
                      <w:sz w:val="19"/>
                    </w:rPr>
                    <w:t>Input producer prices</w:t>
                  </w:r>
                </w:p>
              </w:txbxContent>
            </v:textbox>
            <v:fill type="solid"/>
            <v:stroke dashstyle="solid"/>
            <w10:wrap type="topAndBottom"/>
          </v:shape>
        </w:pict>
      </w:r>
    </w:p>
    <w:p>
      <w:pPr>
        <w:tabs>
          <w:tab w:pos="5231" w:val="left" w:leader="none"/>
        </w:tabs>
        <w:spacing w:line="240" w:lineRule="auto"/>
        <w:ind w:left="501" w:right="0" w:firstLine="0"/>
        <w:rPr>
          <w:sz w:val="20"/>
        </w:rPr>
      </w:pPr>
      <w:r>
        <w:rPr>
          <w:sz w:val="20"/>
        </w:rPr>
        <w:pict>
          <v:shape style="width:60.15pt;height:49.5pt;mso-position-horizontal-relative:char;mso-position-vertical-relative:line" type="#_x0000_t202" filled="true" fillcolor="#ffffff" stroked="true" strokeweight=".485pt" strokecolor="#000000">
            <w10:anchorlock/>
            <v:textbox inset="0,0,0,0">
              <w:txbxContent>
                <w:p>
                  <w:pPr>
                    <w:pStyle w:val="BodyText"/>
                    <w:spacing w:before="1"/>
                    <w:rPr>
                      <w:sz w:val="22"/>
                    </w:rPr>
                  </w:pPr>
                </w:p>
                <w:p>
                  <w:pPr>
                    <w:spacing w:line="256" w:lineRule="auto" w:before="0"/>
                    <w:ind w:left="189" w:right="0" w:firstLine="0"/>
                    <w:jc w:val="left"/>
                    <w:rPr>
                      <w:sz w:val="19"/>
                    </w:rPr>
                  </w:pPr>
                  <w:r>
                    <w:rPr>
                      <w:sz w:val="19"/>
                    </w:rPr>
                    <w:t>Other costs and profits</w:t>
                  </w:r>
                </w:p>
              </w:txbxContent>
            </v:textbox>
            <v:fill type="solid"/>
            <v:stroke dashstyle="solid"/>
          </v:shape>
        </w:pict>
      </w:r>
      <w:r>
        <w:rPr>
          <w:sz w:val="20"/>
        </w:rPr>
      </w:r>
      <w:r>
        <w:rPr>
          <w:sz w:val="20"/>
        </w:rPr>
        <w:tab/>
      </w:r>
      <w:r>
        <w:rPr>
          <w:sz w:val="20"/>
        </w:rPr>
        <w:pict>
          <v:shape style="width:60.15pt;height:49.5pt;mso-position-horizontal-relative:char;mso-position-vertical-relative:line" type="#_x0000_t202" filled="true" fillcolor="#ffffff" stroked="true" strokeweight=".485pt" strokecolor="#000000">
            <w10:anchorlock/>
            <v:textbox inset="0,0,0,0">
              <w:txbxContent>
                <w:p>
                  <w:pPr>
                    <w:pStyle w:val="BodyText"/>
                    <w:spacing w:before="4"/>
                    <w:rPr>
                      <w:sz w:val="20"/>
                    </w:rPr>
                  </w:pPr>
                </w:p>
                <w:p>
                  <w:pPr>
                    <w:spacing w:line="256" w:lineRule="auto" w:before="1"/>
                    <w:ind w:left="363" w:right="293" w:firstLine="0"/>
                    <w:jc w:val="left"/>
                    <w:rPr>
                      <w:sz w:val="19"/>
                    </w:rPr>
                  </w:pPr>
                  <w:r>
                    <w:rPr>
                      <w:sz w:val="19"/>
                    </w:rPr>
                    <w:t>Import prices</w:t>
                  </w:r>
                </w:p>
              </w:txbxContent>
            </v:textbox>
            <v:fill type="solid"/>
            <v:stroke dashstyle="solid"/>
          </v:shape>
        </w:pict>
      </w:r>
      <w:r>
        <w:rPr>
          <w:sz w:val="20"/>
        </w:rPr>
      </w:r>
    </w:p>
    <w:p>
      <w:pPr>
        <w:pStyle w:val="BodyText"/>
        <w:spacing w:before="10"/>
        <w:rPr>
          <w:sz w:val="20"/>
        </w:rPr>
      </w:pPr>
      <w:r>
        <w:rPr/>
        <w:pict>
          <v:shape style="position:absolute;margin-left:57.675999pt;margin-top:34.57pt;width:60.15pt;height:49.5pt;mso-position-horizontal-relative:page;mso-position-vertical-relative:paragraph;z-index:-15531008;mso-wrap-distance-left:0;mso-wrap-distance-right:0" type="#_x0000_t202" filled="true" fillcolor="#ffffff" stroked="true" strokeweight=".485pt" strokecolor="#000000">
            <v:textbox inset="0,0,0,0">
              <w:txbxContent>
                <w:p>
                  <w:pPr>
                    <w:pStyle w:val="BodyText"/>
                    <w:spacing w:before="1"/>
                    <w:rPr>
                      <w:sz w:val="22"/>
                    </w:rPr>
                  </w:pPr>
                </w:p>
                <w:p>
                  <w:pPr>
                    <w:spacing w:line="256" w:lineRule="auto" w:before="0"/>
                    <w:ind w:left="189" w:right="0" w:firstLine="0"/>
                    <w:jc w:val="left"/>
                    <w:rPr>
                      <w:sz w:val="19"/>
                    </w:rPr>
                  </w:pPr>
                  <w:r>
                    <w:rPr>
                      <w:sz w:val="19"/>
                    </w:rPr>
                    <w:t>Other costs and profits</w:t>
                  </w:r>
                </w:p>
              </w:txbxContent>
            </v:textbox>
            <v:fill type="solid"/>
            <v:stroke dashstyle="solid"/>
            <w10:wrap type="topAndBottom"/>
          </v:shape>
        </w:pict>
      </w:r>
      <w:r>
        <w:rPr/>
        <w:pict>
          <v:shape style="position:absolute;margin-left:155.772003pt;margin-top:14.2pt;width:99.95pt;height:22.35pt;mso-position-horizontal-relative:page;mso-position-vertical-relative:paragraph;z-index:-15530496;mso-wrap-distance-left:0;mso-wrap-distance-right:0" type="#_x0000_t202" filled="true" fillcolor="#ffffff" stroked="true" strokeweight=".485pt" strokecolor="#000000">
            <v:textbox inset="0,0,0,0">
              <w:txbxContent>
                <w:p>
                  <w:pPr>
                    <w:spacing w:before="99"/>
                    <w:ind w:left="121" w:right="0" w:firstLine="0"/>
                    <w:jc w:val="left"/>
                    <w:rPr>
                      <w:sz w:val="19"/>
                    </w:rPr>
                  </w:pPr>
                  <w:r>
                    <w:rPr>
                      <w:sz w:val="19"/>
                    </w:rPr>
                    <w:t>Output producer prices</w:t>
                  </w:r>
                </w:p>
              </w:txbxContent>
            </v:textbox>
            <v:fill type="solid"/>
            <v:stroke dashstyle="solid"/>
            <w10:wrap type="topAndBottom"/>
          </v:shape>
        </w:pict>
      </w:r>
      <w:r>
        <w:rPr/>
        <w:pict>
          <v:shape style="position:absolute;margin-left:293.997009pt;margin-top:34.57pt;width:60.15pt;height:49.5pt;mso-position-horizontal-relative:page;mso-position-vertical-relative:paragraph;z-index:-15529984;mso-wrap-distance-left:0;mso-wrap-distance-right:0" type="#_x0000_t202" filled="true" fillcolor="#ffffff" stroked="true" strokeweight=".485pt" strokecolor="#000000">
            <v:textbox inset="0,0,0,0">
              <w:txbxContent>
                <w:p>
                  <w:pPr>
                    <w:pStyle w:val="BodyText"/>
                    <w:spacing w:before="4"/>
                    <w:rPr>
                      <w:sz w:val="20"/>
                    </w:rPr>
                  </w:pPr>
                </w:p>
                <w:p>
                  <w:pPr>
                    <w:spacing w:line="256" w:lineRule="auto" w:before="1"/>
                    <w:ind w:left="363" w:right="293" w:firstLine="0"/>
                    <w:jc w:val="left"/>
                    <w:rPr>
                      <w:sz w:val="19"/>
                    </w:rPr>
                  </w:pPr>
                  <w:r>
                    <w:rPr>
                      <w:sz w:val="19"/>
                    </w:rPr>
                    <w:t>Import prices</w:t>
                  </w:r>
                </w:p>
              </w:txbxContent>
            </v:textbox>
            <v:fill type="solid"/>
            <v:stroke dashstyle="solid"/>
            <w10:wrap type="topAndBottom"/>
          </v:shape>
        </w:pict>
      </w:r>
      <w:r>
        <w:rPr/>
        <w:pict>
          <v:shape style="position:absolute;margin-left:156.742004pt;margin-top:101.5pt;width:99.95pt;height:22.35pt;mso-position-horizontal-relative:page;mso-position-vertical-relative:paragraph;z-index:-15529472;mso-wrap-distance-left:0;mso-wrap-distance-right:0" type="#_x0000_t202" filled="true" fillcolor="#ffffff" stroked="true" strokeweight=".485pt" strokecolor="#000000">
            <v:textbox inset="0,0,0,0">
              <w:txbxContent>
                <w:p>
                  <w:pPr>
                    <w:spacing w:before="79"/>
                    <w:ind w:left="257" w:right="0" w:firstLine="0"/>
                    <w:jc w:val="left"/>
                    <w:rPr>
                      <w:sz w:val="19"/>
                    </w:rPr>
                  </w:pPr>
                  <w:r>
                    <w:rPr>
                      <w:sz w:val="19"/>
                    </w:rPr>
                    <w:t>Retail goods prices</w:t>
                  </w:r>
                </w:p>
              </w:txbxContent>
            </v:textbox>
            <v:fill type="solid"/>
            <v:stroke dashstyle="solid"/>
            <w10:wrap type="topAndBottom"/>
          </v:shape>
        </w:pict>
      </w:r>
      <w:r>
        <w:rPr/>
        <w:pict>
          <v:shape style="position:absolute;margin-left:430.282013pt;margin-top:101.5pt;width:99.95pt;height:22.35pt;mso-position-horizontal-relative:page;mso-position-vertical-relative:paragraph;z-index:-15528960;mso-wrap-distance-left:0;mso-wrap-distance-right:0" type="#_x0000_t202" filled="true" fillcolor="#ffffff" stroked="true" strokeweight=".485pt" strokecolor="#000000">
            <v:textbox inset="0,0,0,0">
              <w:txbxContent>
                <w:p>
                  <w:pPr>
                    <w:spacing w:before="79"/>
                    <w:ind w:left="166" w:right="0" w:firstLine="0"/>
                    <w:jc w:val="left"/>
                    <w:rPr>
                      <w:sz w:val="19"/>
                    </w:rPr>
                  </w:pPr>
                  <w:r>
                    <w:rPr>
                      <w:sz w:val="19"/>
                    </w:rPr>
                    <w:t>Retail services prices</w:t>
                  </w:r>
                </w:p>
              </w:txbxContent>
            </v:textbox>
            <v:fill type="solid"/>
            <v:stroke dashstyle="solid"/>
            <w10:wrap type="topAndBottom"/>
          </v:shape>
        </w:pict>
      </w:r>
    </w:p>
    <w:p>
      <w:pPr>
        <w:pStyle w:val="BodyText"/>
        <w:spacing w:before="6"/>
        <w:rPr>
          <w:sz w:val="23"/>
        </w:rPr>
      </w:pPr>
    </w:p>
    <w:p>
      <w:pPr>
        <w:pStyle w:val="BodyText"/>
        <w:rPr>
          <w:sz w:val="20"/>
        </w:rPr>
      </w:pPr>
    </w:p>
    <w:p>
      <w:pPr>
        <w:pStyle w:val="BodyText"/>
        <w:spacing w:before="11"/>
        <w:rPr>
          <w:sz w:val="13"/>
        </w:rPr>
      </w:pPr>
      <w:r>
        <w:rPr/>
        <w:pict>
          <v:shape style="position:absolute;margin-left:281.386993pt;margin-top:10.241977pt;width:107.7pt;height:35.9pt;mso-position-horizontal-relative:page;mso-position-vertical-relative:paragraph;z-index:-15528448;mso-wrap-distance-left:0;mso-wrap-distance-right:0" type="#_x0000_t202" filled="true" fillcolor="#ffffff" stroked="true" strokeweight=".485pt" strokecolor="#000000">
            <v:textbox inset="0,0,0,0">
              <w:txbxContent>
                <w:p>
                  <w:pPr>
                    <w:pStyle w:val="BodyText"/>
                    <w:spacing w:before="3"/>
                    <w:rPr>
                      <w:sz w:val="21"/>
                    </w:rPr>
                  </w:pPr>
                </w:p>
                <w:p>
                  <w:pPr>
                    <w:spacing w:before="0"/>
                    <w:ind w:left="383" w:right="0" w:firstLine="0"/>
                    <w:jc w:val="left"/>
                    <w:rPr>
                      <w:sz w:val="19"/>
                    </w:rPr>
                  </w:pPr>
                  <w:r>
                    <w:rPr>
                      <w:sz w:val="19"/>
                    </w:rPr>
                    <w:t>Retail price index</w:t>
                  </w:r>
                </w:p>
              </w:txbxContent>
            </v:textbox>
            <v:fill type="solid"/>
            <v:stroke dashstyle="solid"/>
            <w10:wrap type="topAndBottom"/>
          </v:shape>
        </w:pict>
      </w:r>
    </w:p>
    <w:p>
      <w:pPr>
        <w:spacing w:after="0"/>
        <w:rPr>
          <w:sz w:val="13"/>
        </w:rPr>
        <w:sectPr>
          <w:type w:val="continuous"/>
          <w:pgSz w:w="11880" w:h="16840"/>
          <w:pgMar w:top="1200" w:bottom="280" w:left="620" w:right="620"/>
        </w:sectPr>
      </w:pPr>
    </w:p>
    <w:p>
      <w:pPr>
        <w:pStyle w:val="BodyText"/>
        <w:rPr>
          <w:sz w:val="20"/>
        </w:rPr>
      </w:pPr>
    </w:p>
    <w:p>
      <w:pPr>
        <w:spacing w:line="242" w:lineRule="auto" w:before="227"/>
        <w:ind w:left="4965" w:right="183" w:firstLine="0"/>
        <w:jc w:val="left"/>
        <w:rPr>
          <w:sz w:val="24"/>
        </w:rPr>
      </w:pPr>
      <w:bookmarkStart w:name="Raw material and commodity prices" w:id="66"/>
      <w:bookmarkEnd w:id="66"/>
      <w:r>
        <w:rPr/>
      </w:r>
      <w:bookmarkStart w:name="_bookmark25" w:id="67"/>
      <w:bookmarkEnd w:id="67"/>
      <w:r>
        <w:rPr/>
      </w:r>
      <w:r>
        <w:rPr>
          <w:color w:val="231F20"/>
          <w:sz w:val="24"/>
        </w:rPr>
        <w:t>about the speed and magnitude of the response, partly because there are </w:t>
      </w:r>
      <w:r>
        <w:rPr>
          <w:color w:val="231F20"/>
          <w:spacing w:val="-3"/>
          <w:sz w:val="24"/>
        </w:rPr>
        <w:t>few </w:t>
      </w:r>
      <w:r>
        <w:rPr>
          <w:color w:val="231F20"/>
          <w:sz w:val="24"/>
        </w:rPr>
        <w:t>previous illustrative episodes </w:t>
      </w:r>
      <w:r>
        <w:rPr>
          <w:color w:val="231F20"/>
          <w:spacing w:val="-5"/>
          <w:sz w:val="24"/>
        </w:rPr>
        <w:t>when </w:t>
      </w:r>
      <w:r>
        <w:rPr>
          <w:color w:val="231F20"/>
          <w:sz w:val="24"/>
        </w:rPr>
        <w:t>sterling has appreciated on this scale for such a sustained period.  And the response of import prices will depend on whether the rise in sterling is viewed as temporary or permanent.</w:t>
      </w:r>
    </w:p>
    <w:p>
      <w:pPr>
        <w:pStyle w:val="BodyText"/>
        <w:spacing w:before="3"/>
        <w:rPr>
          <w:sz w:val="26"/>
        </w:rPr>
      </w:pPr>
    </w:p>
    <w:p>
      <w:pPr>
        <w:pStyle w:val="ListParagraph"/>
        <w:numPr>
          <w:ilvl w:val="1"/>
          <w:numId w:val="22"/>
        </w:numPr>
        <w:tabs>
          <w:tab w:pos="5906" w:val="left" w:leader="none"/>
          <w:tab w:pos="5907" w:val="left" w:leader="none"/>
          <w:tab w:pos="10484" w:val="left" w:leader="none"/>
        </w:tabs>
        <w:spacing w:line="240" w:lineRule="auto" w:before="88" w:after="0"/>
        <w:ind w:left="5906" w:right="0" w:hanging="942"/>
        <w:jc w:val="left"/>
        <w:rPr>
          <w:b/>
          <w:sz w:val="28"/>
        </w:rPr>
      </w:pPr>
      <w:r>
        <w:rPr>
          <w:b/>
          <w:color w:val="009483"/>
          <w:sz w:val="28"/>
          <w:u w:val="thick" w:color="0093C1"/>
        </w:rPr>
        <w:t>Raw material and commodity prices</w:t>
        <w:tab/>
      </w:r>
    </w:p>
    <w:p>
      <w:pPr>
        <w:pStyle w:val="BodyText"/>
        <w:spacing w:before="7"/>
        <w:rPr>
          <w:b/>
          <w:sz w:val="19"/>
        </w:rPr>
      </w:pPr>
    </w:p>
    <w:p>
      <w:pPr>
        <w:spacing w:after="0"/>
        <w:rPr>
          <w:sz w:val="19"/>
        </w:rPr>
        <w:sectPr>
          <w:footerReference w:type="even" r:id="rId69"/>
          <w:footerReference w:type="default" r:id="rId70"/>
          <w:pgSz w:w="11880" w:h="16840"/>
          <w:pgMar w:footer="597" w:header="566" w:top="760" w:bottom="780" w:left="620" w:right="620"/>
          <w:pgNumType w:start="32"/>
        </w:sectPr>
      </w:pPr>
    </w:p>
    <w:p>
      <w:pPr>
        <w:pStyle w:val="BodyText"/>
        <w:rPr>
          <w:b/>
          <w:sz w:val="22"/>
        </w:rPr>
      </w:pPr>
    </w:p>
    <w:p>
      <w:pPr>
        <w:pStyle w:val="BodyText"/>
        <w:rPr>
          <w:b/>
          <w:sz w:val="22"/>
        </w:rPr>
      </w:pPr>
    </w:p>
    <w:p>
      <w:pPr>
        <w:pStyle w:val="BodyText"/>
        <w:rPr>
          <w:b/>
          <w:sz w:val="22"/>
        </w:rPr>
      </w:pPr>
    </w:p>
    <w:p>
      <w:pPr>
        <w:pStyle w:val="BodyText"/>
        <w:spacing w:before="9"/>
        <w:rPr>
          <w:b/>
          <w:sz w:val="21"/>
        </w:rPr>
      </w:pPr>
    </w:p>
    <w:p>
      <w:pPr>
        <w:spacing w:before="0"/>
        <w:ind w:left="182" w:right="0" w:firstLine="0"/>
        <w:jc w:val="left"/>
        <w:rPr>
          <w:b/>
          <w:sz w:val="20"/>
        </w:rPr>
      </w:pPr>
      <w:r>
        <w:rPr>
          <w:b/>
          <w:color w:val="0093C1"/>
          <w:sz w:val="20"/>
        </w:rPr>
        <w:t>Chart 4.2</w:t>
      </w:r>
    </w:p>
    <w:p>
      <w:pPr>
        <w:spacing w:before="10"/>
        <w:ind w:left="182" w:right="0" w:firstLine="0"/>
        <w:jc w:val="left"/>
        <w:rPr>
          <w:b/>
          <w:sz w:val="20"/>
        </w:rPr>
      </w:pPr>
      <w:r>
        <w:rPr>
          <w:b/>
          <w:color w:val="0093C1"/>
          <w:sz w:val="20"/>
        </w:rPr>
        <w:t>Price of Brent crude</w:t>
      </w:r>
    </w:p>
    <w:p>
      <w:pPr>
        <w:pStyle w:val="BodyText"/>
        <w:spacing w:before="2" w:after="40"/>
        <w:rPr>
          <w:b/>
          <w:sz w:val="27"/>
        </w:rPr>
      </w:pPr>
    </w:p>
    <w:p>
      <w:pPr>
        <w:pStyle w:val="BodyText"/>
        <w:spacing w:line="20" w:lineRule="exact"/>
        <w:ind w:left="1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spacing w:before="1"/>
        <w:rPr>
          <w:b/>
          <w:sz w:val="13"/>
        </w:rPr>
      </w:pPr>
      <w:r>
        <w:rPr/>
        <w:pict>
          <v:shape style="position:absolute;margin-left:39pt;margin-top:9.750977pt;width:5pt;height:.1pt;mso-position-horizontal-relative:page;mso-position-vertical-relative:paragraph;z-index:-15520256;mso-wrap-distance-left:0;mso-wrap-distance-right:0" coordorigin="780,195" coordsize="100,0" path="m880,195l780,195e" filled="false" stroked="true" strokeweight=".5pt" strokecolor="#000000">
            <v:path arrowok="t"/>
            <v:stroke dashstyle="solid"/>
            <w10:wrap type="topAndBottom"/>
          </v:shape>
        </w:pict>
      </w:r>
      <w:r>
        <w:rPr/>
        <w:pict>
          <v:shape style="position:absolute;margin-left:39pt;margin-top:30.750977pt;width:5pt;height:.1pt;mso-position-horizontal-relative:page;mso-position-vertical-relative:paragraph;z-index:-15519744;mso-wrap-distance-left:0;mso-wrap-distance-right:0" coordorigin="780,615" coordsize="100,0" path="m880,615l780,615e" filled="false" stroked="true" strokeweight=".5pt" strokecolor="#000000">
            <v:path arrowok="t"/>
            <v:stroke dashstyle="solid"/>
            <w10:wrap type="topAndBottom"/>
          </v:shape>
        </w:pict>
      </w:r>
    </w:p>
    <w:p>
      <w:pPr>
        <w:pStyle w:val="BodyText"/>
        <w:spacing w:before="8"/>
        <w:rPr>
          <w:b/>
          <w:sz w:val="29"/>
        </w:rPr>
      </w:pPr>
    </w:p>
    <w:p>
      <w:pPr>
        <w:pStyle w:val="BodyText"/>
        <w:rPr>
          <w:b/>
          <w:sz w:val="20"/>
        </w:rPr>
      </w:pPr>
    </w:p>
    <w:p>
      <w:pPr>
        <w:pStyle w:val="BodyText"/>
        <w:spacing w:before="5"/>
        <w:rPr>
          <w:b/>
          <w:sz w:val="11"/>
        </w:rPr>
      </w:pPr>
      <w:r>
        <w:rPr/>
        <w:pict>
          <v:shape style="position:absolute;margin-left:39pt;margin-top:8.800977pt;width:5pt;height:.1pt;mso-position-horizontal-relative:page;mso-position-vertical-relative:paragraph;z-index:-15519232;mso-wrap-distance-left:0;mso-wrap-distance-right:0" coordorigin="780,176" coordsize="100,0" path="m880,176l780,176e" filled="false" stroked="true" strokeweight=".5pt" strokecolor="#000000">
            <v:path arrowok="t"/>
            <v:stroke dashstyle="solid"/>
            <w10:wrap type="topAndBottom"/>
          </v:shape>
        </w:pict>
      </w:r>
      <w:r>
        <w:rPr/>
        <w:pict>
          <v:shape style="position:absolute;margin-left:39pt;margin-top:29.800976pt;width:5pt;height:.1pt;mso-position-horizontal-relative:page;mso-position-vertical-relative:paragraph;z-index:-15518720;mso-wrap-distance-left:0;mso-wrap-distance-right:0" coordorigin="780,596" coordsize="100,0" path="m880,596l780,596e" filled="false" stroked="true" strokeweight=".5pt" strokecolor="#000000">
            <v:path arrowok="t"/>
            <v:stroke dashstyle="solid"/>
            <w10:wrap type="topAndBottom"/>
          </v:shape>
        </w:pict>
      </w:r>
    </w:p>
    <w:p>
      <w:pPr>
        <w:pStyle w:val="BodyText"/>
        <w:spacing w:before="8"/>
        <w:rPr>
          <w:b/>
          <w:sz w:val="29"/>
        </w:rPr>
      </w:pPr>
    </w:p>
    <w:p>
      <w:pPr>
        <w:pStyle w:val="BodyText"/>
        <w:rPr>
          <w:b/>
          <w:sz w:val="20"/>
        </w:rPr>
      </w:pPr>
    </w:p>
    <w:p>
      <w:pPr>
        <w:pStyle w:val="BodyText"/>
        <w:spacing w:before="5"/>
        <w:rPr>
          <w:b/>
          <w:sz w:val="11"/>
        </w:rPr>
      </w:pPr>
      <w:r>
        <w:rPr/>
        <w:pict>
          <v:shape style="position:absolute;margin-left:39pt;margin-top:8.800977pt;width:5pt;height:.1pt;mso-position-horizontal-relative:page;mso-position-vertical-relative:paragraph;z-index:-15518208;mso-wrap-distance-left:0;mso-wrap-distance-right:0" coordorigin="780,176" coordsize="100,0" path="m880,176l780,176e" filled="false" stroked="true" strokeweight=".5pt" strokecolor="#000000">
            <v:path arrowok="t"/>
            <v:stroke dashstyle="solid"/>
            <w10:wrap type="topAndBottom"/>
          </v:shape>
        </w:pict>
      </w:r>
      <w:r>
        <w:rPr/>
        <w:pict>
          <v:shape style="position:absolute;margin-left:39pt;margin-top:29.800976pt;width:5pt;height:.1pt;mso-position-horizontal-relative:page;mso-position-vertical-relative:paragraph;z-index:-15517696;mso-wrap-distance-left:0;mso-wrap-distance-right:0" coordorigin="780,596" coordsize="100,0" path="m880,596l780,596e" filled="false" stroked="true" strokeweight=".5pt" strokecolor="#000000">
            <v:path arrowok="t"/>
            <v:stroke dashstyle="solid"/>
            <w10:wrap type="topAndBottom"/>
          </v:shape>
        </w:pict>
      </w:r>
    </w:p>
    <w:p>
      <w:pPr>
        <w:pStyle w:val="BodyText"/>
        <w:spacing w:before="8"/>
        <w:rPr>
          <w:b/>
          <w:sz w:val="29"/>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3"/>
        </w:rPr>
      </w:pPr>
    </w:p>
    <w:p>
      <w:pPr>
        <w:spacing w:line="119" w:lineRule="exact" w:before="0"/>
        <w:ind w:left="182" w:right="0" w:firstLine="0"/>
        <w:jc w:val="left"/>
        <w:rPr>
          <w:sz w:val="12"/>
        </w:rPr>
      </w:pPr>
      <w:r>
        <w:rPr>
          <w:sz w:val="12"/>
        </w:rPr>
        <w:t>£ per barrel</w:t>
      </w:r>
    </w:p>
    <w:p>
      <w:pPr>
        <w:spacing w:line="119" w:lineRule="exact" w:before="0"/>
        <w:ind w:left="762" w:right="0" w:firstLine="0"/>
        <w:jc w:val="left"/>
        <w:rPr>
          <w:sz w:val="12"/>
        </w:rPr>
      </w:pPr>
      <w:r>
        <w:rPr/>
        <w:pict>
          <v:group style="position:absolute;margin-left:48.5pt;margin-top:8.651855pt;width:152pt;height:127pt;mso-position-horizontal-relative:page;mso-position-vertical-relative:paragraph;z-index:15942144" coordorigin="970,173" coordsize="3040,2540">
            <v:shape style="position:absolute;left:3980;top:2143;width:20;height:140" coordorigin="3980,2143" coordsize="20,140" path="m3980,2143l3980,2263,4000,2283e" filled="false" stroked="true" strokeweight="1pt" strokecolor="#000000">
              <v:path arrowok="t"/>
              <v:stroke dashstyle="solid"/>
            </v:shape>
            <v:shape style="position:absolute;left:980;top:903;width:3000;height:1540" coordorigin="980,903" coordsize="3000,1540" path="m980,1143l1000,1103,1020,983,1020,1043,1040,943,1040,1003,1060,963,1060,1043,1080,1083,1080,983,1100,1043,1100,1103,1120,1063,1120,1163,1140,1163,1160,1083,1160,1103,1180,1103,1180,1043,1200,963,1200,903,1220,983,1260,1103,1260,1203,1280,1303,1280,1343,1300,1343,1300,1423,1320,1363,1320,1323,1340,1363,1340,1303,1360,1303,1380,1383,1380,1463,1400,1603,1400,1563,1420,1543,1440,1603,1440,1623,1460,1543,1480,1503,1480,1403,1500,1323,1500,1423,1520,1403,1520,1303,1540,1323,1540,1283,1560,1283,1560,1143,1580,1163,1620,1283,1620,1303,1640,1403,1640,1363,1660,1463,1660,1503,1680,1543,1680,1683,1700,1663,1700,1623,1720,1643,1740,1603,1740,1623,1760,1543,1760,1603,1780,1643,1780,1663,1800,1663,1800,1603,1820,1703,1820,1623,1840,1563,1860,1603,1880,1543,1880,1523,1900,1563,1920,1623,1960,1383,1960,1403,1980,1403,2000,1383,2000,1263,2020,1243,2020,1303,2040,1283,2040,1223,2060,1243,2060,1383m2060,1383l2080,1383,2100,1343,2120,1323,2120,1423,2140,1443,2140,1503,2160,1663,2160,1643,2180,1643,2220,1683,2220,1663,2240,1643,2240,1683,2260,1723,2280,1723,2280,1743,2300,1663,2320,1743,2320,1683,2340,1623,2340,1603,2360,1543,2360,1743,2380,1763,2380,1723,2400,1703,2400,1723,2420,1783,2420,1803,2440,1843,2460,1703,2460,1723,2480,1663,2480,1783,2500,1783,2500,1743,2520,1743,2520,1683,2540,1643,2540,1323,2560,1543,2580,1483,2580,1503,2600,1483,2600,1383,2620,1323,2620,1303,2640,1283,2640,1343,2660,1363,2660,1283,2680,1243,2680,1303,2700,1383,2720,1403,2720,1363,2740,1363,2740,1443,2760,1483,2760,1563,2780,1483,2780,1543,2800,1543,2820,1523,2820,1463,2840,1463,2860,1443,2880,1483,2900,1503,2900,1563,2920,1543,2940,1463,2940,1523,2960,1563,2960,1283,2980,1483,2980,1523,3000,1483,3000,1463,3020,1283,3040,1283,3060,1303,3060,1183,3080,1023,3080,1223,3100,1203,3100,1143,3120,1183,3120,1163,3140,1283,3140,1363m3140,1363l3160,1383,3180,1323,3180,1363,3200,1403,3200,1423,3220,1303,3220,1323,3240,1343,3240,1403,3260,1563,3260,1523,3280,1423,3300,1463,3300,1503,3320,1583,3340,1603,3340,1583,3360,1643,3360,1663,3380,1683,3400,1623,3400,1603,3420,1723,3440,1723,3440,1783,3460,1763,3460,1743,3480,1683,3480,1763,3520,1723,3520,1863,3560,1863,3560,1783,3580,1743,3580,1783,3600,1883,3620,1903,3640,1823,3640,1843,3660,1863,3660,1843,3680,1903,3680,1943,3700,1943,3720,2063,3720,2023,3740,2023,3760,2123,3780,2143,3780,2183,3800,2123,3800,2163,3820,2203,3820,2243,3840,2243,3840,2263,3860,2203,3860,2123,3880,2183,3900,2223,3900,2343,3920,2443,3920,2223,3940,2163,3940,2083,3960,1963,3960,2083,3980,2143e" filled="false" stroked="true" strokeweight="1pt" strokecolor="#0066a5">
              <v:path arrowok="t"/>
              <v:stroke dashstyle="solid"/>
            </v:shape>
            <v:shape style="position:absolute;left:980;top:183;width:3020;height:2520" coordorigin="980,183" coordsize="3020,2520" path="m980,343l1000,363,1020,223,1020,263,1040,183,1040,263,1060,263,1060,463,1080,483,1080,383,1100,443,1100,423,1120,403,1120,823,1140,663,1160,583,1160,623,1180,663,1180,523,1200,463,1200,323,1220,463,1220,483,1240,543,1260,583,1260,783,1280,943,1300,963,1300,1103,1320,1063,1340,1083,1340,1023,1360,983,1380,1143,1380,1243,1400,1463,1400,1383,1420,1343,1420,1383,1440,1523,1440,1483,1460,1323,1480,1323,1480,1243,1500,1183,1500,1323,1520,1343,1520,1203,1540,1143,1540,1083,1560,1223,1560,1003,1580,1023,1580,1063,1600,1143,1620,1283,1620,1303,1640,1403,1640,1383,1660,1503,1660,1663,1680,1723,1680,1863,1700,1803,1700,1743,1720,1803,1740,1743,1740,1763,1760,1683,1760,1743,1780,1783,1780,1823,1800,1763,1800,1683,1820,1763,1820,1723,1840,1623,1860,1663,1880,1603,1880,1583,1900,1663,1900,1723,1920,1743,1920,1723,1940,1543,1940,1483,1960,1283,1960,1323,1980,1383,2000,1403,2000,1163,2020,1203,2020,1263,2040,1243,2040,1183,2060,1223,2060,1423m2060,1423l2080,1443,2100,1383,2100,1403,2120,1363,2120,1523,2140,1563,2140,1663,2160,1823,2160,1863,2200,1943,2200,1903,2220,1843,2220,1803,2240,1743,2240,1843,2260,1843,2260,1903,2280,1843,2280,1883,2300,1783,2320,1883,2320,1803,2340,1723,2340,1623,2360,1563,2360,1843,2380,1903,2380,1863,2400,1823,2400,1843,2420,1923,2420,1903,2440,1963,2460,1783,2480,1683,2480,1843,2500,1863,2500,1823,2520,1803,2520,1763,2540,1723,2540,1643,2560,1603,2580,1503,2580,1523,2600,1523,2600,1363,2620,1343,2640,1363,2640,1463,2660,1483,2660,1363,2680,1323,2680,1303,2700,1423,2720,1443,2720,1383,2740,1383,2740,1483,2760,1543,2760,1643,2780,1543,2780,1603,2800,1583,2820,1583,2820,1523,2840,1503,2840,1543,2860,1483,2860,1523,2880,1543,2900,1543,2900,1603,2920,1603,2940,1483,2940,1563,2960,1603,2960,1583,2980,1503,2980,1523,3000,1483,3000,1443,3020,1263,3040,1203,3060,1223,3060,1043,3080,723,3080,1003,3100,1023,3100,983,3120,1003,3140,1163,3140,1303m3140,1303l3160,1323,3180,1243,3200,1283,3200,1303,3220,1143,3220,1223,3240,1263,3240,1303,3260,1523,3260,1423,3280,1303,3300,1363,3300,1383,3320,1483,3320,1523,3340,1543,3340,1483,3360,1543,3380,1583,3400,1483,3400,1403,3420,1583,3420,1623,3440,1623,3440,1763,3460,1703,3460,1643,3480,1603,3480,1723,3500,1683,3520,1663,3520,1863,3540,1843,3540,1863,3560,1883,3560,1783,3580,1763,3580,1823,3600,1963,3620,1983,3660,1943,3660,1883,3680,1983,3680,2023,3700,2043,3700,2023,3720,2243,3720,2163,3740,2183,3740,2203,3760,2363,3780,2363,3780,2383,3780,2363,3800,2323,3800,2363,3820,2423,3820,2443,3840,2443,3840,2423,3860,2423,3860,2343,3880,2423,3900,2463,3900,2583,3920,2703,3920,2403,3940,2383,3940,2283,3960,2143,3960,2303,3980,2383,3980,2363,3980,2523,4000,2583e" filled="false" stroked="true" strokeweight="1pt" strokecolor="#ed1b2d">
              <v:path arrowok="t"/>
              <v:stroke dashstyle="solid"/>
            </v:shape>
            <v:shape style="position:absolute;left:1300;top:1523;width:2;height:620" coordorigin="1300,1523" coordsize="0,620" path="m1300,1523l1300,2143e" filled="true" fillcolor="#000000" stroked="false">
              <v:path arrowok="t"/>
              <v:fill type="solid"/>
            </v:shape>
            <v:line style="position:absolute" from="1300,1523" to="1300,2143" stroked="true" strokeweight=".5pt" strokecolor="#000000">
              <v:stroke dashstyle="solid"/>
            </v:line>
            <v:shape style="position:absolute;left:1274;top:1455;width:51;height:85" coordorigin="1275,1455" coordsize="51,85" path="m1300,1455l1275,1540,1325,1540,1304,1475,1301,1464,1300,1455xe" filled="true" fillcolor="#000000" stroked="false">
              <v:path arrowok="t"/>
              <v:fill type="solid"/>
            </v:shape>
            <v:shape style="position:absolute;left:1270;top:426;width:884;height:133" type="#_x0000_t202" filled="false" stroked="false">
              <v:textbox inset="0,0,0,0">
                <w:txbxContent>
                  <w:p>
                    <w:pPr>
                      <w:spacing w:line="133" w:lineRule="exact" w:before="0"/>
                      <w:ind w:left="0" w:right="0" w:firstLine="0"/>
                      <w:jc w:val="left"/>
                      <w:rPr>
                        <w:sz w:val="12"/>
                      </w:rPr>
                    </w:pPr>
                    <w:r>
                      <w:rPr>
                        <w:sz w:val="12"/>
                      </w:rPr>
                      <w:t>One-month future</w:t>
                    </w:r>
                  </w:p>
                </w:txbxContent>
              </v:textbox>
              <w10:wrap type="none"/>
            </v:shape>
            <v:shape style="position:absolute;left:990;top:2146;width:844;height:133" type="#_x0000_t202" filled="false" stroked="false">
              <v:textbox inset="0,0,0,0">
                <w:txbxContent>
                  <w:p>
                    <w:pPr>
                      <w:spacing w:line="133" w:lineRule="exact" w:before="0"/>
                      <w:ind w:left="0" w:right="0" w:firstLine="0"/>
                      <w:jc w:val="left"/>
                      <w:rPr>
                        <w:sz w:val="12"/>
                      </w:rPr>
                    </w:pPr>
                    <w:r>
                      <w:rPr>
                        <w:sz w:val="12"/>
                      </w:rPr>
                      <w:t>Six-month future</w:t>
                    </w:r>
                  </w:p>
                </w:txbxContent>
              </v:textbox>
              <w10:wrap type="none"/>
            </v:shape>
            <w10:wrap type="none"/>
          </v:group>
        </w:pict>
      </w:r>
      <w:r>
        <w:rPr/>
        <w:pict>
          <v:line style="position:absolute;mso-position-horizontal-relative:page;mso-position-vertical-relative:paragraph;z-index:15945728" from="212pt,2.151855pt" to="207pt,2.151855pt" stroked="true" strokeweight=".5pt" strokecolor="#000000">
            <v:stroke dashstyle="solid"/>
            <w10:wrap type="none"/>
          </v:line>
        </w:pict>
      </w:r>
      <w:r>
        <w:rPr>
          <w:sz w:val="12"/>
        </w:rPr>
        <w:t>15</w:t>
      </w:r>
    </w:p>
    <w:p>
      <w:pPr>
        <w:pStyle w:val="BodyText"/>
        <w:rPr>
          <w:sz w:val="12"/>
        </w:rPr>
      </w:pPr>
    </w:p>
    <w:p>
      <w:pPr>
        <w:pStyle w:val="BodyText"/>
        <w:spacing w:before="6"/>
        <w:rPr>
          <w:sz w:val="12"/>
        </w:rPr>
      </w:pPr>
    </w:p>
    <w:p>
      <w:pPr>
        <w:spacing w:before="0"/>
        <w:ind w:left="762" w:right="0" w:firstLine="0"/>
        <w:jc w:val="left"/>
        <w:rPr>
          <w:sz w:val="12"/>
        </w:rPr>
      </w:pPr>
      <w:r>
        <w:rPr/>
        <w:pict>
          <v:line style="position:absolute;mso-position-horizontal-relative:page;mso-position-vertical-relative:paragraph;z-index:15945216" from="212pt,4.101563pt" to="207pt,4.101563pt" stroked="true" strokeweight=".5pt" strokecolor="#000000">
            <v:stroke dashstyle="solid"/>
            <w10:wrap type="none"/>
          </v:line>
        </w:pict>
      </w:r>
      <w:r>
        <w:rPr>
          <w:sz w:val="12"/>
        </w:rPr>
        <w:t>14</w:t>
      </w:r>
    </w:p>
    <w:p>
      <w:pPr>
        <w:pStyle w:val="BodyText"/>
        <w:rPr>
          <w:sz w:val="12"/>
        </w:rPr>
      </w:pPr>
    </w:p>
    <w:p>
      <w:pPr>
        <w:pStyle w:val="BodyText"/>
        <w:spacing w:before="3"/>
        <w:rPr>
          <w:sz w:val="14"/>
        </w:rPr>
      </w:pPr>
    </w:p>
    <w:p>
      <w:pPr>
        <w:spacing w:before="0"/>
        <w:ind w:left="762" w:right="0" w:firstLine="0"/>
        <w:jc w:val="left"/>
        <w:rPr>
          <w:sz w:val="12"/>
        </w:rPr>
      </w:pPr>
      <w:r>
        <w:rPr/>
        <w:pict>
          <v:line style="position:absolute;mso-position-horizontal-relative:page;mso-position-vertical-relative:paragraph;z-index:15944704" from="212pt,3.101563pt" to="207pt,3.101563pt" stroked="true" strokeweight=".5pt" strokecolor="#000000">
            <v:stroke dashstyle="solid"/>
            <w10:wrap type="none"/>
          </v:line>
        </w:pict>
      </w:r>
      <w:r>
        <w:rPr>
          <w:sz w:val="12"/>
        </w:rPr>
        <w:t>13</w:t>
      </w:r>
    </w:p>
    <w:p>
      <w:pPr>
        <w:pStyle w:val="BodyText"/>
        <w:rPr>
          <w:sz w:val="12"/>
        </w:rPr>
      </w:pPr>
    </w:p>
    <w:p>
      <w:pPr>
        <w:pStyle w:val="BodyText"/>
        <w:spacing w:before="6"/>
        <w:rPr>
          <w:sz w:val="12"/>
        </w:rPr>
      </w:pPr>
    </w:p>
    <w:p>
      <w:pPr>
        <w:spacing w:before="0"/>
        <w:ind w:left="762" w:right="0" w:firstLine="0"/>
        <w:jc w:val="left"/>
        <w:rPr>
          <w:sz w:val="12"/>
        </w:rPr>
      </w:pPr>
      <w:r>
        <w:rPr/>
        <w:pict>
          <v:line style="position:absolute;mso-position-horizontal-relative:page;mso-position-vertical-relative:paragraph;z-index:15944192" from="212pt,4.101563pt" to="207pt,4.101563pt" stroked="true" strokeweight=".5pt" strokecolor="#000000">
            <v:stroke dashstyle="solid"/>
            <w10:wrap type="none"/>
          </v:line>
        </w:pict>
      </w:r>
      <w:r>
        <w:rPr>
          <w:sz w:val="12"/>
        </w:rPr>
        <w:t>12</w:t>
      </w:r>
    </w:p>
    <w:p>
      <w:pPr>
        <w:pStyle w:val="BodyText"/>
        <w:rPr>
          <w:sz w:val="12"/>
        </w:rPr>
      </w:pPr>
    </w:p>
    <w:p>
      <w:pPr>
        <w:pStyle w:val="BodyText"/>
        <w:spacing w:before="6"/>
        <w:rPr>
          <w:sz w:val="12"/>
        </w:rPr>
      </w:pPr>
    </w:p>
    <w:p>
      <w:pPr>
        <w:spacing w:before="0"/>
        <w:ind w:left="762" w:right="0" w:firstLine="0"/>
        <w:jc w:val="left"/>
        <w:rPr>
          <w:sz w:val="12"/>
        </w:rPr>
      </w:pPr>
      <w:r>
        <w:rPr/>
        <w:pict>
          <v:line style="position:absolute;mso-position-horizontal-relative:page;mso-position-vertical-relative:paragraph;z-index:15943680" from="212pt,4.101563pt" to="207pt,4.101563pt" stroked="true" strokeweight=".5pt" strokecolor="#000000">
            <v:stroke dashstyle="solid"/>
            <w10:wrap type="none"/>
          </v:line>
        </w:pict>
      </w:r>
      <w:r>
        <w:rPr>
          <w:sz w:val="12"/>
        </w:rPr>
        <w:t>11</w:t>
      </w:r>
    </w:p>
    <w:p>
      <w:pPr>
        <w:pStyle w:val="BodyText"/>
        <w:rPr>
          <w:sz w:val="12"/>
        </w:rPr>
      </w:pPr>
    </w:p>
    <w:p>
      <w:pPr>
        <w:pStyle w:val="BodyText"/>
        <w:spacing w:before="3"/>
        <w:rPr>
          <w:sz w:val="14"/>
        </w:rPr>
      </w:pPr>
    </w:p>
    <w:p>
      <w:pPr>
        <w:spacing w:before="0"/>
        <w:ind w:left="762" w:right="0" w:firstLine="0"/>
        <w:jc w:val="left"/>
        <w:rPr>
          <w:sz w:val="12"/>
        </w:rPr>
      </w:pPr>
      <w:r>
        <w:rPr/>
        <w:pict>
          <v:line style="position:absolute;mso-position-horizontal-relative:page;mso-position-vertical-relative:paragraph;z-index:15943168" from="212pt,4.101563pt" to="207pt,4.101563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822" w:right="0" w:firstLine="0"/>
        <w:jc w:val="left"/>
        <w:rPr>
          <w:sz w:val="12"/>
        </w:rPr>
      </w:pPr>
      <w:r>
        <w:rPr/>
        <w:pict>
          <v:line style="position:absolute;mso-position-horizontal-relative:page;mso-position-vertical-relative:paragraph;z-index:15942656" from="212pt,3.101563pt" to="207pt,3.101563pt" stroked="true" strokeweight=".5pt" strokecolor="#000000">
            <v:stroke dashstyle="solid"/>
            <w10:wrap type="none"/>
          </v:line>
        </w:pict>
      </w:r>
      <w:r>
        <w:rPr>
          <w:sz w:val="12"/>
        </w:rPr>
        <w:t>9</w:t>
      </w:r>
    </w:p>
    <w:p>
      <w:pPr>
        <w:pStyle w:val="BodyText"/>
        <w:rPr>
          <w:sz w:val="12"/>
        </w:rPr>
      </w:pPr>
    </w:p>
    <w:p>
      <w:pPr>
        <w:pStyle w:val="BodyText"/>
        <w:spacing w:before="6"/>
        <w:rPr>
          <w:sz w:val="12"/>
        </w:rPr>
      </w:pPr>
    </w:p>
    <w:p>
      <w:pPr>
        <w:spacing w:before="0"/>
        <w:ind w:left="822" w:right="0" w:firstLine="0"/>
        <w:jc w:val="left"/>
        <w:rPr>
          <w:sz w:val="12"/>
        </w:rPr>
      </w:pPr>
      <w:r>
        <w:rPr/>
        <w:pict>
          <v:group style="position:absolute;margin-left:39pt;margin-top:3.851563pt;width:174.25pt;height:7.5pt;mso-position-horizontal-relative:page;mso-position-vertical-relative:paragraph;z-index:15940608" coordorigin="780,77" coordsize="3485,150">
            <v:line style="position:absolute" from="880,82" to="780,82" stroked="true" strokeweight=".5pt" strokecolor="#000000">
              <v:stroke dashstyle="solid"/>
            </v:line>
            <v:shape style="position:absolute;left:860;top:82;width:40;height:140" coordorigin="860,82" coordsize="40,140" path="m880,82l880,122,900,142,860,162,900,182,880,182,880,222e" filled="false" stroked="true" strokeweight=".5pt" strokecolor="#000000">
              <v:path arrowok="t"/>
              <v:stroke dashstyle="solid"/>
            </v:shape>
            <v:shape style="position:absolute;left:780;top:82;width:3460;height:140" coordorigin="780,82" coordsize="3460,140" path="m880,222l780,222m4240,82l4140,82e" filled="false" stroked="true" strokeweight=".5pt" strokecolor="#000000">
              <v:path arrowok="t"/>
              <v:stroke dashstyle="solid"/>
            </v:shape>
            <v:shape style="position:absolute;left:4220;top:82;width:40;height:140" coordorigin="4220,82" coordsize="40,140" path="m4240,82l4240,122,4220,122,4260,142,4220,162,4260,182,4240,182,4240,222e" filled="false" stroked="true" strokeweight=".5pt" strokecolor="#000000">
              <v:path arrowok="t"/>
              <v:stroke dashstyle="solid"/>
            </v:shape>
            <v:shape style="position:absolute;left:870;top:135;width:3370;height:87" coordorigin="870,135" coordsize="3370,87" path="m4240,222l4140,222m870,222l4150,222m1220,222l1220,182m1440,222l1440,182m1640,222l1640,182m1860,222l1860,182m2100,222l2100,182m2320,222l2320,182m2600,222l2600,182m2800,222l2800,182m3020,222l3020,182m3280,222l3280,182m3500,222l3500,182m3740,222l3740,142m3960,222l3960,182m1003,215l1003,135e" filled="false" stroked="true" strokeweight=".5pt" strokecolor="#000000">
              <v:path arrowok="t"/>
              <v:stroke dashstyle="solid"/>
            </v:shape>
            <w10:wrap type="none"/>
          </v:group>
        </w:pict>
      </w:r>
      <w:r>
        <w:rPr>
          <w:sz w:val="12"/>
        </w:rPr>
        <w:t>8</w:t>
      </w:r>
    </w:p>
    <w:p>
      <w:pPr>
        <w:spacing w:line="125" w:lineRule="exact" w:before="2"/>
        <w:ind w:left="822" w:right="0" w:firstLine="0"/>
        <w:jc w:val="left"/>
        <w:rPr>
          <w:sz w:val="12"/>
        </w:rPr>
      </w:pPr>
      <w:r>
        <w:rPr>
          <w:sz w:val="12"/>
        </w:rPr>
        <w:t>0</w:t>
      </w:r>
    </w:p>
    <w:p>
      <w:pPr>
        <w:pStyle w:val="Heading5"/>
        <w:spacing w:line="242" w:lineRule="auto" w:before="90"/>
        <w:ind w:left="182" w:right="173"/>
      </w:pPr>
      <w:r>
        <w:rPr/>
        <w:br w:type="column"/>
      </w:r>
      <w:r>
        <w:rPr>
          <w:color w:val="231F20"/>
        </w:rPr>
        <w:t>The sterling price of Brent crude oil fell sharply between October and January (see Chart 4.2). The one-month future price fell to below £9 per barrel in January, its lowest since 1994. On 4 February, the date on which data for this </w:t>
      </w:r>
      <w:r>
        <w:rPr>
          <w:i/>
          <w:color w:val="231F20"/>
        </w:rPr>
        <w:t>Report </w:t>
      </w:r>
      <w:r>
        <w:rPr>
          <w:color w:val="231F20"/>
        </w:rPr>
        <w:t>were finalised, the oil price had risen slightly to £9.10 per barrel, around 20% lower than at </w:t>
      </w:r>
      <w:r>
        <w:rPr>
          <w:color w:val="231F20"/>
          <w:spacing w:val="-6"/>
        </w:rPr>
        <w:t>the </w:t>
      </w:r>
      <w:r>
        <w:rPr>
          <w:color w:val="231F20"/>
        </w:rPr>
        <w:t>time of the previous </w:t>
      </w:r>
      <w:r>
        <w:rPr>
          <w:i/>
          <w:color w:val="231F20"/>
        </w:rPr>
        <w:t>Report. </w:t>
      </w:r>
      <w:r>
        <w:rPr>
          <w:color w:val="231F20"/>
        </w:rPr>
        <w:t>The six-month future price fell by nearly as much as the one-month future price, suggesting that the market expects this lower price to persist in the first half of 1998. A number of factors led to the reduction in price. In December, O</w:t>
      </w:r>
      <w:r>
        <w:rPr>
          <w:color w:val="231F20"/>
          <w:sz w:val="20"/>
        </w:rPr>
        <w:t>PEC </w:t>
      </w:r>
      <w:r>
        <w:rPr>
          <w:color w:val="231F20"/>
        </w:rPr>
        <w:t>agreed to raise its production ceiling by around 10% to</w:t>
      </w:r>
    </w:p>
    <w:p>
      <w:pPr>
        <w:spacing w:line="280" w:lineRule="atLeast" w:before="11"/>
        <w:ind w:left="182" w:right="173" w:firstLine="0"/>
        <w:jc w:val="left"/>
        <w:rPr>
          <w:sz w:val="24"/>
        </w:rPr>
      </w:pPr>
      <w:r>
        <w:rPr>
          <w:color w:val="231F20"/>
          <w:sz w:val="24"/>
        </w:rPr>
        <w:t>27</w:t>
      </w:r>
      <w:r>
        <w:rPr>
          <w:color w:val="231F20"/>
          <w:position w:val="8"/>
          <w:sz w:val="12"/>
        </w:rPr>
        <w:t>1</w:t>
      </w:r>
      <w:r>
        <w:rPr>
          <w:color w:val="231F20"/>
          <w:sz w:val="24"/>
        </w:rPr>
        <w:t>/</w:t>
      </w:r>
      <w:r>
        <w:rPr>
          <w:color w:val="231F20"/>
          <w:sz w:val="12"/>
        </w:rPr>
        <w:t>2 </w:t>
      </w:r>
      <w:r>
        <w:rPr>
          <w:color w:val="231F20"/>
          <w:sz w:val="24"/>
        </w:rPr>
        <w:t>million barrels per day with effect from 1 January. The turmoil in Asia has led to expectations of lower world output growth, and hence demand for oil, in 1998. The possibility that Iraq’s oil exports would be increased under the UN food-for-oil deal also pushed the oil price lower.</w:t>
      </w:r>
    </w:p>
    <w:p>
      <w:pPr>
        <w:spacing w:after="0" w:line="280" w:lineRule="atLeast"/>
        <w:jc w:val="left"/>
        <w:rPr>
          <w:sz w:val="24"/>
        </w:rPr>
        <w:sectPr>
          <w:type w:val="continuous"/>
          <w:pgSz w:w="11880" w:h="16840"/>
          <w:pgMar w:top="1200" w:bottom="280" w:left="620" w:right="620"/>
          <w:cols w:num="3" w:equalWidth="0">
            <w:col w:w="1961" w:space="947"/>
            <w:col w:w="923" w:space="953"/>
            <w:col w:w="5856"/>
          </w:cols>
        </w:sectPr>
      </w:pPr>
    </w:p>
    <w:p>
      <w:pPr>
        <w:tabs>
          <w:tab w:pos="3169" w:val="left" w:leader="none"/>
        </w:tabs>
        <w:spacing w:line="47" w:lineRule="exact" w:before="0"/>
        <w:ind w:left="1570" w:right="0" w:firstLine="0"/>
        <w:jc w:val="left"/>
        <w:rPr>
          <w:sz w:val="12"/>
        </w:rPr>
      </w:pPr>
      <w:r>
        <w:rPr>
          <w:sz w:val="12"/>
        </w:rPr>
        <w:t>1997</w:t>
        <w:tab/>
        <w:t>98</w:t>
      </w:r>
    </w:p>
    <w:p>
      <w:pPr>
        <w:spacing w:line="417" w:lineRule="auto" w:before="96"/>
        <w:ind w:left="165" w:right="435" w:firstLine="0"/>
        <w:jc w:val="left"/>
        <w:rPr>
          <w:sz w:val="12"/>
        </w:rPr>
      </w:pPr>
      <w:r>
        <w:rPr>
          <w:color w:val="231F20"/>
          <w:sz w:val="12"/>
        </w:rPr>
        <w:t>Note: Daily data. Final observation is 4 February. Source: International Petroleum Exchange.</w:t>
      </w:r>
    </w:p>
    <w:p>
      <w:pPr>
        <w:pStyle w:val="BodyText"/>
        <w:spacing w:before="8"/>
        <w:rPr>
          <w:sz w:val="24"/>
        </w:rPr>
      </w:pPr>
      <w:r>
        <w:rPr/>
        <w:br w:type="column"/>
      </w:r>
      <w:r>
        <w:rPr>
          <w:sz w:val="24"/>
        </w:rPr>
      </w:r>
    </w:p>
    <w:p>
      <w:pPr>
        <w:pStyle w:val="Heading5"/>
        <w:spacing w:line="242" w:lineRule="auto"/>
        <w:ind w:left="165" w:right="184"/>
      </w:pPr>
      <w:r>
        <w:rPr>
          <w:color w:val="231F20"/>
        </w:rPr>
        <w:t>Other commodity prices </w:t>
      </w:r>
      <w:r>
        <w:rPr>
          <w:color w:val="231F20"/>
          <w:spacing w:val="-3"/>
        </w:rPr>
        <w:t>have </w:t>
      </w:r>
      <w:r>
        <w:rPr>
          <w:color w:val="231F20"/>
        </w:rPr>
        <w:t>also been affected by the Asian disturbance. Metals prices, for example, fell by around 12% (in sterling) between October and January. As the box on page 31 shows, more than half of UK manufacturers’ inputs are imported, so the fall in world industrial commodity prices should reduce UK input prices either directly, or indirectly through imports of finished or semi-finished manufactures that use raw materials in their production. The El Niño weather system is affecting agricultural production, but its </w:t>
      </w:r>
      <w:r>
        <w:rPr>
          <w:color w:val="231F20"/>
          <w:spacing w:val="-5"/>
        </w:rPr>
        <w:t>overall </w:t>
      </w:r>
      <w:r>
        <w:rPr>
          <w:color w:val="231F20"/>
        </w:rPr>
        <w:t>effect on prices is unclear. The prices of some foods (such as soya beans) </w:t>
      </w:r>
      <w:r>
        <w:rPr>
          <w:color w:val="231F20"/>
          <w:spacing w:val="-3"/>
        </w:rPr>
        <w:t>have </w:t>
      </w:r>
      <w:r>
        <w:rPr>
          <w:color w:val="231F20"/>
        </w:rPr>
        <w:t>fallen while the prices of others (such as coffee) </w:t>
      </w:r>
      <w:r>
        <w:rPr>
          <w:color w:val="231F20"/>
          <w:spacing w:val="-3"/>
        </w:rPr>
        <w:t>have </w:t>
      </w:r>
      <w:r>
        <w:rPr>
          <w:color w:val="231F20"/>
        </w:rPr>
        <w:t>risen. And </w:t>
      </w:r>
      <w:r>
        <w:rPr>
          <w:i/>
          <w:color w:val="231F20"/>
        </w:rPr>
        <w:t>The Economist’s </w:t>
      </w:r>
      <w:r>
        <w:rPr>
          <w:color w:val="231F20"/>
        </w:rPr>
        <w:t>non-food agricultural prices index in sterling terms was around 11% lower in January than October.</w:t>
      </w:r>
    </w:p>
    <w:p>
      <w:pPr>
        <w:pStyle w:val="BodyText"/>
        <w:rPr>
          <w:sz w:val="26"/>
        </w:rPr>
      </w:pPr>
    </w:p>
    <w:p>
      <w:pPr>
        <w:spacing w:line="242" w:lineRule="auto" w:before="1"/>
        <w:ind w:left="165" w:right="349" w:firstLine="0"/>
        <w:jc w:val="left"/>
        <w:rPr>
          <w:sz w:val="24"/>
        </w:rPr>
      </w:pPr>
      <w:r>
        <w:rPr>
          <w:color w:val="231F20"/>
          <w:sz w:val="24"/>
        </w:rPr>
        <w:t>The Bank’s commodity price index was 12% lower in December than a year earlier. Though most of this fall occurred at the start of 1997, all of the sub-components fell in November and December.</w:t>
      </w:r>
      <w:r>
        <w:rPr>
          <w:color w:val="231F20"/>
          <w:position w:val="5"/>
          <w:sz w:val="16"/>
        </w:rPr>
        <w:t>(1) </w:t>
      </w:r>
      <w:r>
        <w:rPr>
          <w:color w:val="231F20"/>
          <w:sz w:val="24"/>
        </w:rPr>
        <w:t>The index weights</w:t>
      </w:r>
    </w:p>
    <w:p>
      <w:pPr>
        <w:spacing w:after="0" w:line="242" w:lineRule="auto"/>
        <w:jc w:val="left"/>
        <w:rPr>
          <w:sz w:val="24"/>
        </w:rPr>
        <w:sectPr>
          <w:type w:val="continuous"/>
          <w:pgSz w:w="11880" w:h="16840"/>
          <w:pgMar w:top="1200" w:bottom="280" w:left="620" w:right="620"/>
          <w:cols w:num="2" w:equalWidth="0">
            <w:col w:w="3330" w:space="1470"/>
            <w:col w:w="5840"/>
          </w:cols>
        </w:sectPr>
      </w:pPr>
    </w:p>
    <w:p>
      <w:pPr>
        <w:pStyle w:val="BodyText"/>
        <w:spacing w:before="10"/>
        <w:rPr>
          <w:sz w:val="26"/>
        </w:rPr>
      </w:pPr>
    </w:p>
    <w:p>
      <w:pPr>
        <w:pStyle w:val="BodyText"/>
        <w:spacing w:line="20" w:lineRule="exact"/>
        <w:ind w:left="494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spacing w:line="208" w:lineRule="auto" w:before="0"/>
        <w:ind w:left="5215" w:right="1179" w:hanging="240"/>
        <w:jc w:val="left"/>
        <w:rPr>
          <w:sz w:val="16"/>
        </w:rPr>
      </w:pPr>
      <w:r>
        <w:rPr>
          <w:color w:val="231F20"/>
          <w:sz w:val="16"/>
        </w:rPr>
        <w:t>(1) Agricultural price data relevant to the United Kingdom are not yet available for December, and are assumed flat for the purposes of calculating the Bank’s commodity price index.</w:t>
      </w:r>
    </w:p>
    <w:p>
      <w:pPr>
        <w:spacing w:after="0" w:line="208" w:lineRule="auto"/>
        <w:jc w:val="left"/>
        <w:rPr>
          <w:sz w:val="16"/>
        </w:rPr>
        <w:sectPr>
          <w:type w:val="continuous"/>
          <w:pgSz w:w="11880" w:h="16840"/>
          <w:pgMar w:top="1200" w:bottom="280" w:left="620" w:right="620"/>
        </w:sectPr>
      </w:pPr>
    </w:p>
    <w:p>
      <w:pPr>
        <w:pStyle w:val="BodyText"/>
        <w:rPr>
          <w:sz w:val="20"/>
        </w:rPr>
      </w:pPr>
    </w:p>
    <w:p>
      <w:pPr>
        <w:pStyle w:val="Heading5"/>
        <w:spacing w:line="242" w:lineRule="auto" w:before="207"/>
        <w:ind w:left="4980" w:right="293"/>
      </w:pPr>
      <w:bookmarkStart w:name="Costs and prices in the service sector" w:id="68"/>
      <w:bookmarkEnd w:id="68"/>
      <w:r>
        <w:rPr/>
      </w:r>
      <w:bookmarkStart w:name="Costs and prices in manufacturing" w:id="69"/>
      <w:bookmarkEnd w:id="69"/>
      <w:r>
        <w:rPr/>
      </w:r>
      <w:bookmarkStart w:name="_bookmark26" w:id="70"/>
      <w:bookmarkEnd w:id="70"/>
      <w:r>
        <w:rPr/>
      </w:r>
      <w:r>
        <w:rPr>
          <w:color w:val="231F20"/>
        </w:rPr>
        <w:t>together prices of different commodities according to UK demand for them. It includes domestic commodities, and takes account of the effect of the Common Agricultural Policy on the UK price of agricultural commodities.</w:t>
      </w:r>
    </w:p>
    <w:p>
      <w:pPr>
        <w:pStyle w:val="BodyText"/>
        <w:spacing w:before="5"/>
        <w:rPr>
          <w:sz w:val="24"/>
        </w:rPr>
      </w:pPr>
    </w:p>
    <w:p>
      <w:pPr>
        <w:pStyle w:val="ListParagraph"/>
        <w:numPr>
          <w:ilvl w:val="1"/>
          <w:numId w:val="22"/>
        </w:numPr>
        <w:tabs>
          <w:tab w:pos="5877" w:val="left" w:leader="none"/>
          <w:tab w:pos="5878" w:val="left" w:leader="none"/>
        </w:tabs>
        <w:spacing w:line="240" w:lineRule="auto" w:before="88" w:after="0"/>
        <w:ind w:left="5877" w:right="0" w:hanging="898"/>
        <w:jc w:val="left"/>
        <w:rPr>
          <w:b/>
          <w:sz w:val="28"/>
        </w:rPr>
      </w:pPr>
      <w:r>
        <w:rPr>
          <w:b/>
          <w:color w:val="009483"/>
          <w:sz w:val="28"/>
          <w:u w:val="thick" w:color="0093C1"/>
        </w:rPr>
        <w:t>Costs and prices in the service</w:t>
      </w:r>
      <w:r>
        <w:rPr>
          <w:b/>
          <w:color w:val="009483"/>
          <w:spacing w:val="-2"/>
          <w:sz w:val="28"/>
          <w:u w:val="thick" w:color="0093C1"/>
        </w:rPr>
        <w:t> </w:t>
      </w:r>
      <w:r>
        <w:rPr>
          <w:b/>
          <w:color w:val="009483"/>
          <w:sz w:val="28"/>
          <w:u w:val="thick" w:color="0093C1"/>
        </w:rPr>
        <w:t>sector</w:t>
      </w:r>
      <w:r>
        <w:rPr>
          <w:b/>
          <w:color w:val="009483"/>
          <w:spacing w:val="-11"/>
          <w:sz w:val="28"/>
          <w:u w:val="thick" w:color="0093C1"/>
        </w:rPr>
        <w:t> </w:t>
      </w:r>
    </w:p>
    <w:p>
      <w:pPr>
        <w:pStyle w:val="BodyText"/>
        <w:spacing w:before="7"/>
        <w:rPr>
          <w:b/>
          <w:sz w:val="19"/>
        </w:rPr>
      </w:pPr>
    </w:p>
    <w:p>
      <w:pPr>
        <w:spacing w:after="0"/>
        <w:rPr>
          <w:sz w:val="19"/>
        </w:rPr>
        <w:sectPr>
          <w:headerReference w:type="default" r:id="rId71"/>
          <w:headerReference w:type="even" r:id="rId72"/>
          <w:pgSz w:w="11880" w:h="16840"/>
          <w:pgMar w:header="566" w:footer="597" w:top="760" w:bottom="780" w:left="620" w:right="6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
        <w:rPr>
          <w:b/>
          <w:sz w:val="22"/>
        </w:rPr>
      </w:pPr>
    </w:p>
    <w:p>
      <w:pPr>
        <w:pStyle w:val="Heading9"/>
        <w:spacing w:before="0"/>
        <w:ind w:left="214"/>
      </w:pPr>
      <w:r>
        <w:rPr>
          <w:color w:val="0093C1"/>
        </w:rPr>
        <w:t>Table 4.B</w:t>
      </w:r>
    </w:p>
    <w:p>
      <w:pPr>
        <w:spacing w:before="10"/>
        <w:ind w:left="214" w:right="0" w:firstLine="0"/>
        <w:jc w:val="left"/>
        <w:rPr>
          <w:b/>
          <w:sz w:val="20"/>
        </w:rPr>
      </w:pPr>
      <w:r>
        <w:rPr>
          <w:b/>
          <w:color w:val="0093C1"/>
          <w:sz w:val="20"/>
        </w:rPr>
        <w:t>Cost pressures in the service sector</w:t>
      </w:r>
    </w:p>
    <w:p>
      <w:pPr>
        <w:tabs>
          <w:tab w:pos="3819" w:val="left" w:leader="none"/>
          <w:tab w:pos="4054" w:val="left" w:leader="none"/>
        </w:tabs>
        <w:spacing w:line="150" w:lineRule="exact" w:before="106"/>
        <w:ind w:left="1635" w:right="0" w:firstLine="0"/>
        <w:jc w:val="left"/>
        <w:rPr>
          <w:sz w:val="14"/>
        </w:rPr>
      </w:pPr>
      <w:r>
        <w:rPr>
          <w:color w:val="231F20"/>
          <w:spacing w:val="-16"/>
          <w:sz w:val="14"/>
          <w:u w:val="single" w:color="231F20"/>
        </w:rPr>
        <w:t> </w:t>
      </w:r>
      <w:r>
        <w:rPr>
          <w:color w:val="231F20"/>
          <w:sz w:val="14"/>
          <w:u w:val="single" w:color="231F20"/>
        </w:rPr>
        <w:t>1996</w:t>
      </w:r>
      <w:r>
        <w:rPr>
          <w:color w:val="231F20"/>
          <w:sz w:val="14"/>
        </w:rPr>
        <w:t>    </w:t>
      </w:r>
      <w:r>
        <w:rPr>
          <w:color w:val="231F20"/>
          <w:spacing w:val="25"/>
          <w:sz w:val="14"/>
        </w:rPr>
        <w:t> </w:t>
      </w:r>
      <w:r>
        <w:rPr>
          <w:color w:val="231F20"/>
          <w:sz w:val="14"/>
          <w:u w:val="single" w:color="231F20"/>
        </w:rPr>
        <w:t>1997</w:t>
        <w:tab/>
      </w:r>
      <w:r>
        <w:rPr>
          <w:color w:val="231F20"/>
          <w:sz w:val="14"/>
        </w:rPr>
        <w:tab/>
      </w:r>
      <w:r>
        <w:rPr>
          <w:color w:val="231F20"/>
          <w:sz w:val="14"/>
          <w:u w:val="single" w:color="231F20"/>
        </w:rPr>
        <w:t>1998</w:t>
      </w:r>
    </w:p>
    <w:p>
      <w:pPr>
        <w:tabs>
          <w:tab w:pos="2134" w:val="left" w:leader="none"/>
          <w:tab w:pos="2614" w:val="left" w:leader="none"/>
          <w:tab w:pos="3094" w:val="left" w:leader="none"/>
          <w:tab w:pos="3574" w:val="left" w:leader="none"/>
          <w:tab w:pos="4054" w:val="left" w:leader="none"/>
        </w:tabs>
        <w:spacing w:line="150" w:lineRule="exact" w:before="0"/>
        <w:ind w:left="1654" w:right="0" w:firstLine="0"/>
        <w:jc w:val="left"/>
        <w:rPr>
          <w:sz w:val="14"/>
        </w:rPr>
      </w:pPr>
      <w:r>
        <w:rPr>
          <w:color w:val="231F20"/>
          <w:sz w:val="14"/>
        </w:rPr>
        <w:t>Q4</w:t>
        <w:tab/>
        <w:t>Q1</w:t>
        <w:tab/>
        <w:t>Q2</w:t>
        <w:tab/>
        <w:t>Q3</w:t>
        <w:tab/>
        <w:t>Q4</w:t>
        <w:tab/>
        <w:t>Jan.</w:t>
      </w:r>
    </w:p>
    <w:p>
      <w:pPr>
        <w:tabs>
          <w:tab w:pos="3083" w:val="left" w:leader="none"/>
          <w:tab w:pos="3573" w:val="left" w:leader="none"/>
        </w:tabs>
        <w:spacing w:line="20" w:lineRule="exact"/>
        <w:ind w:left="1643" w:right="0" w:firstLine="0"/>
        <w:rPr>
          <w:sz w:val="2"/>
        </w:rPr>
      </w:pPr>
      <w:r>
        <w:rPr>
          <w:sz w:val="2"/>
        </w:rPr>
        <w:pict>
          <v:group style="width:15pt;height:.15pt;mso-position-horizontal-relative:char;mso-position-vertical-relative:line" coordorigin="0,0" coordsize="300,3">
            <v:line style="position:absolute" from="0,1" to="300,1" stroked="true" strokeweight=".125pt" strokecolor="#231f20">
              <v:stroke dashstyle="solid"/>
            </v:line>
          </v:group>
        </w:pict>
      </w:r>
      <w:r>
        <w:rPr>
          <w:sz w:val="2"/>
        </w:rPr>
      </w:r>
      <w:r>
        <w:rPr>
          <w:spacing w:val="147"/>
          <w:sz w:val="2"/>
        </w:rPr>
        <w:t> </w:t>
      </w:r>
      <w:r>
        <w:rPr>
          <w:spacing w:val="147"/>
          <w:sz w:val="2"/>
        </w:rPr>
        <w:pict>
          <v:group style="width:12pt;height:.15pt;mso-position-horizontal-relative:char;mso-position-vertical-relative:line" coordorigin="0,0" coordsize="240,3">
            <v:line style="position:absolute" from="0,1" to="240,1" stroked="true" strokeweight=".125pt" strokecolor="#231f20">
              <v:stroke dashstyle="solid"/>
            </v:line>
          </v:group>
        </w:pict>
      </w:r>
      <w:r>
        <w:rPr>
          <w:spacing w:val="147"/>
          <w:sz w:val="2"/>
        </w:rPr>
      </w:r>
      <w:r>
        <w:rPr>
          <w:spacing w:val="197"/>
          <w:sz w:val="2"/>
        </w:rPr>
        <w:t> </w:t>
      </w:r>
      <w:r>
        <w:rPr>
          <w:spacing w:val="197"/>
          <w:sz w:val="2"/>
        </w:rPr>
        <w:pict>
          <v:group style="width:12pt;height:.15pt;mso-position-horizontal-relative:char;mso-position-vertical-relative:line" coordorigin="0,0" coordsize="240,3">
            <v:line style="position:absolute" from="0,1" to="240,1" stroked="true" strokeweight=".125pt" strokecolor="#231f20">
              <v:stroke dashstyle="solid"/>
            </v:line>
          </v:group>
        </w:pict>
      </w:r>
      <w:r>
        <w:rPr>
          <w:spacing w:val="197"/>
          <w:sz w:val="2"/>
        </w:rPr>
      </w:r>
      <w:r>
        <w:rPr>
          <w:spacing w:val="197"/>
          <w:sz w:val="2"/>
        </w:rPr>
        <w:tab/>
      </w:r>
      <w:r>
        <w:rPr>
          <w:spacing w:val="197"/>
          <w:sz w:val="2"/>
        </w:rPr>
        <w:pict>
          <v:group style="width:12pt;height:.15pt;mso-position-horizontal-relative:char;mso-position-vertical-relative:line" coordorigin="0,0" coordsize="240,3">
            <v:line style="position:absolute" from="0,1" to="240,1" stroked="true" strokeweight=".125pt" strokecolor="#231f20">
              <v:stroke dashstyle="solid"/>
            </v:line>
          </v:group>
        </w:pict>
      </w:r>
      <w:r>
        <w:rPr>
          <w:spacing w:val="197"/>
          <w:sz w:val="2"/>
        </w:rPr>
      </w:r>
      <w:r>
        <w:rPr>
          <w:spacing w:val="197"/>
          <w:sz w:val="2"/>
        </w:rPr>
        <w:tab/>
      </w:r>
      <w:r>
        <w:rPr>
          <w:spacing w:val="197"/>
          <w:sz w:val="2"/>
        </w:rPr>
        <w:pict>
          <v:group style="width:12pt;height:.15pt;mso-position-horizontal-relative:char;mso-position-vertical-relative:line" coordorigin="0,0" coordsize="240,3">
            <v:line style="position:absolute" from="0,1" to="240,1" stroked="true" strokeweight=".125pt" strokecolor="#231f20">
              <v:stroke dashstyle="solid"/>
            </v:line>
          </v:group>
        </w:pict>
      </w:r>
      <w:r>
        <w:rPr>
          <w:spacing w:val="197"/>
          <w:sz w:val="2"/>
        </w:rPr>
      </w:r>
      <w:r>
        <w:rPr>
          <w:spacing w:val="197"/>
          <w:sz w:val="2"/>
        </w:rPr>
        <w:t> </w:t>
      </w:r>
      <w:r>
        <w:rPr>
          <w:spacing w:val="197"/>
          <w:sz w:val="2"/>
        </w:rPr>
        <w:pict>
          <v:group style="width:12pt;height:.15pt;mso-position-horizontal-relative:char;mso-position-vertical-relative:line" coordorigin="0,0" coordsize="240,3">
            <v:line style="position:absolute" from="0,1" to="240,1" stroked="true" strokeweight=".125pt" strokecolor="#231f20">
              <v:stroke dashstyle="solid"/>
            </v:line>
          </v:group>
        </w:pict>
      </w:r>
      <w:r>
        <w:rPr>
          <w:spacing w:val="197"/>
          <w:sz w:val="2"/>
        </w:rPr>
      </w:r>
    </w:p>
    <w:p>
      <w:pPr>
        <w:spacing w:line="150" w:lineRule="exact" w:before="99"/>
        <w:ind w:left="214" w:right="0" w:firstLine="0"/>
        <w:jc w:val="left"/>
        <w:rPr>
          <w:sz w:val="14"/>
        </w:rPr>
      </w:pPr>
      <w:r>
        <w:rPr>
          <w:color w:val="231F20"/>
          <w:sz w:val="14"/>
        </w:rPr>
        <w:t>CIPS average input</w:t>
      </w:r>
    </w:p>
    <w:p>
      <w:pPr>
        <w:tabs>
          <w:tab w:pos="1654" w:val="left" w:leader="none"/>
          <w:tab w:pos="2134" w:val="left" w:leader="none"/>
          <w:tab w:pos="2614" w:val="left" w:leader="none"/>
          <w:tab w:pos="3094" w:val="left" w:leader="none"/>
          <w:tab w:pos="3574" w:val="left" w:leader="none"/>
          <w:tab w:pos="4054" w:val="left" w:leader="none"/>
        </w:tabs>
        <w:spacing w:line="140" w:lineRule="exact" w:before="0"/>
        <w:ind w:left="284" w:right="0" w:firstLine="0"/>
        <w:jc w:val="left"/>
        <w:rPr>
          <w:sz w:val="14"/>
        </w:rPr>
      </w:pPr>
      <w:r>
        <w:rPr>
          <w:color w:val="231F20"/>
          <w:sz w:val="14"/>
        </w:rPr>
        <w:t>prices</w:t>
      </w:r>
      <w:r>
        <w:rPr>
          <w:color w:val="231F20"/>
          <w:spacing w:val="-1"/>
          <w:sz w:val="14"/>
        </w:rPr>
        <w:t> </w:t>
      </w:r>
      <w:r>
        <w:rPr>
          <w:color w:val="231F20"/>
          <w:sz w:val="12"/>
        </w:rPr>
        <w:t>(a)</w:t>
        <w:tab/>
      </w:r>
      <w:r>
        <w:rPr>
          <w:color w:val="231F20"/>
          <w:sz w:val="14"/>
        </w:rPr>
        <w:t>56.4</w:t>
        <w:tab/>
        <w:t>56.6</w:t>
        <w:tab/>
        <w:t>59.1</w:t>
        <w:tab/>
        <w:t>57.0</w:t>
        <w:tab/>
        <w:t>56.9</w:t>
        <w:tab/>
        <w:t>56.0</w:t>
      </w:r>
    </w:p>
    <w:p>
      <w:pPr>
        <w:tabs>
          <w:tab w:pos="1654" w:val="left" w:leader="none"/>
          <w:tab w:pos="2134" w:val="left" w:leader="none"/>
          <w:tab w:pos="2614" w:val="left" w:leader="none"/>
          <w:tab w:pos="3094" w:val="left" w:leader="none"/>
          <w:tab w:pos="3574" w:val="left" w:leader="none"/>
          <w:tab w:pos="4124" w:val="left" w:leader="none"/>
        </w:tabs>
        <w:spacing w:line="150" w:lineRule="exact" w:before="0"/>
        <w:ind w:left="214" w:right="0" w:firstLine="0"/>
        <w:jc w:val="left"/>
        <w:rPr>
          <w:sz w:val="14"/>
        </w:rPr>
      </w:pPr>
      <w:r>
        <w:rPr>
          <w:color w:val="231F20"/>
          <w:sz w:val="14"/>
        </w:rPr>
        <w:t>BCC full</w:t>
      </w:r>
      <w:r>
        <w:rPr>
          <w:color w:val="231F20"/>
          <w:spacing w:val="-1"/>
          <w:sz w:val="14"/>
        </w:rPr>
        <w:t> </w:t>
      </w:r>
      <w:r>
        <w:rPr>
          <w:color w:val="231F20"/>
          <w:sz w:val="14"/>
        </w:rPr>
        <w:t>capacity</w:t>
      </w:r>
      <w:r>
        <w:rPr>
          <w:color w:val="231F20"/>
          <w:spacing w:val="-1"/>
          <w:sz w:val="14"/>
        </w:rPr>
        <w:t> </w:t>
      </w:r>
      <w:r>
        <w:rPr>
          <w:color w:val="231F20"/>
          <w:sz w:val="12"/>
        </w:rPr>
        <w:t>(b)</w:t>
        <w:tab/>
      </w:r>
      <w:r>
        <w:rPr>
          <w:color w:val="231F20"/>
          <w:sz w:val="14"/>
        </w:rPr>
        <w:t>47.0</w:t>
        <w:tab/>
        <w:t>41.0</w:t>
        <w:tab/>
        <w:t>39.0</w:t>
        <w:tab/>
        <w:t>39.0</w:t>
        <w:tab/>
        <w:t>38.0</w:t>
        <w:tab/>
        <w:t>n.a.</w:t>
      </w:r>
    </w:p>
    <w:p>
      <w:pPr>
        <w:pStyle w:val="ListParagraph"/>
        <w:numPr>
          <w:ilvl w:val="0"/>
          <w:numId w:val="25"/>
        </w:numPr>
        <w:tabs>
          <w:tab w:pos="455" w:val="left" w:leader="none"/>
        </w:tabs>
        <w:spacing w:line="129" w:lineRule="exact" w:before="98" w:after="0"/>
        <w:ind w:left="454" w:right="0" w:hanging="241"/>
        <w:jc w:val="left"/>
        <w:rPr>
          <w:sz w:val="12"/>
        </w:rPr>
      </w:pPr>
      <w:r>
        <w:rPr>
          <w:color w:val="231F20"/>
          <w:sz w:val="12"/>
        </w:rPr>
        <w:t>Respondents are asked to compare the prices of inputs in the current month</w:t>
      </w:r>
    </w:p>
    <w:p>
      <w:pPr>
        <w:spacing w:line="208" w:lineRule="auto" w:before="6"/>
        <w:ind w:left="454" w:right="0" w:firstLine="0"/>
        <w:jc w:val="left"/>
        <w:rPr>
          <w:sz w:val="12"/>
        </w:rPr>
      </w:pPr>
      <w:r>
        <w:rPr>
          <w:color w:val="231F20"/>
          <w:sz w:val="12"/>
        </w:rPr>
        <w:t>with those in the previous month. A figure above 50 indicates rising input costs. Figures are averages of monthly balances.</w:t>
      </w:r>
    </w:p>
    <w:p>
      <w:pPr>
        <w:pStyle w:val="ListParagraph"/>
        <w:numPr>
          <w:ilvl w:val="0"/>
          <w:numId w:val="25"/>
        </w:numPr>
        <w:tabs>
          <w:tab w:pos="455" w:val="left" w:leader="none"/>
        </w:tabs>
        <w:spacing w:line="123" w:lineRule="exact" w:before="0" w:after="0"/>
        <w:ind w:left="454" w:right="0" w:hanging="241"/>
        <w:jc w:val="left"/>
        <w:rPr>
          <w:sz w:val="12"/>
        </w:rPr>
      </w:pPr>
      <w:r>
        <w:rPr>
          <w:color w:val="231F20"/>
          <w:sz w:val="12"/>
        </w:rPr>
        <w:t>Percentage of companies reporting that they are operating at full capacity.</w:t>
      </w:r>
    </w:p>
    <w:p>
      <w:pPr>
        <w:pStyle w:val="Heading5"/>
        <w:spacing w:line="242" w:lineRule="auto" w:before="90"/>
        <w:ind w:left="214" w:right="215"/>
      </w:pPr>
      <w:r>
        <w:rPr/>
        <w:br w:type="column"/>
      </w:r>
      <w:r>
        <w:rPr>
          <w:color w:val="231F20"/>
        </w:rPr>
        <w:t>Cost pressures in the service sector </w:t>
      </w:r>
      <w:r>
        <w:rPr>
          <w:color w:val="231F20"/>
          <w:spacing w:val="-3"/>
        </w:rPr>
        <w:t>have </w:t>
      </w:r>
      <w:r>
        <w:rPr>
          <w:color w:val="231F20"/>
        </w:rPr>
        <w:t>fallen, but price inflation has not slowed. The Chartered Institute of Purchasing and Supply (C</w:t>
      </w:r>
      <w:r>
        <w:rPr>
          <w:color w:val="231F20"/>
          <w:sz w:val="20"/>
        </w:rPr>
        <w:t>IPS</w:t>
      </w:r>
      <w:r>
        <w:rPr>
          <w:color w:val="231F20"/>
        </w:rPr>
        <w:t>) Survey showed that cost pressures </w:t>
      </w:r>
      <w:r>
        <w:rPr>
          <w:color w:val="231F20"/>
          <w:spacing w:val="-3"/>
        </w:rPr>
        <w:t>have </w:t>
      </w:r>
      <w:r>
        <w:rPr>
          <w:color w:val="231F20"/>
        </w:rPr>
        <w:t>fallen since the first half of 1997. The index of average input prices (including labour costs) fell from a peak of 60.1 in April last year to 56.0 in January (see </w:t>
      </w:r>
      <w:r>
        <w:rPr>
          <w:color w:val="231F20"/>
          <w:spacing w:val="-4"/>
        </w:rPr>
        <w:t>Table </w:t>
      </w:r>
      <w:r>
        <w:rPr>
          <w:color w:val="231F20"/>
        </w:rPr>
        <w:t>4.B). And service sector capacity constraints </w:t>
      </w:r>
      <w:r>
        <w:rPr>
          <w:color w:val="231F20"/>
          <w:spacing w:val="-3"/>
        </w:rPr>
        <w:t>have </w:t>
      </w:r>
      <w:r>
        <w:rPr>
          <w:color w:val="231F20"/>
        </w:rPr>
        <w:t>lessened since the end of 1996, according to the British Chambers of Commerce </w:t>
      </w:r>
      <w:r>
        <w:rPr>
          <w:color w:val="231F20"/>
          <w:spacing w:val="-7"/>
        </w:rPr>
        <w:t>Survey. </w:t>
      </w:r>
      <w:r>
        <w:rPr>
          <w:color w:val="231F20"/>
        </w:rPr>
        <w:t>The C</w:t>
      </w:r>
      <w:r>
        <w:rPr>
          <w:color w:val="231F20"/>
          <w:sz w:val="20"/>
        </w:rPr>
        <w:t>IPS </w:t>
      </w:r>
      <w:r>
        <w:rPr>
          <w:color w:val="231F20"/>
        </w:rPr>
        <w:t>index of average prices charged was 51.3 in January. This was much higher than in the previous three months (when it was around its neutral level of 50), but about the same as in the summer. The ONS has constructed some corporate services price indices, analogous to the producer price series, though their coverage is limited at present. These suggest that corporate services price inflation picked up during</w:t>
      </w:r>
      <w:r>
        <w:rPr>
          <w:color w:val="231F20"/>
          <w:spacing w:val="-3"/>
        </w:rPr>
        <w:t> </w:t>
      </w:r>
      <w:r>
        <w:rPr>
          <w:color w:val="231F20"/>
        </w:rPr>
        <w:t>1997.</w:t>
      </w:r>
    </w:p>
    <w:p>
      <w:pPr>
        <w:spacing w:after="0" w:line="242" w:lineRule="auto"/>
        <w:sectPr>
          <w:type w:val="continuous"/>
          <w:pgSz w:w="11880" w:h="16840"/>
          <w:pgMar w:top="1200" w:bottom="280" w:left="620" w:right="620"/>
          <w:cols w:num="2" w:equalWidth="0">
            <w:col w:w="4375" w:space="391"/>
            <w:col w:w="5874"/>
          </w:cols>
        </w:sectPr>
      </w:pPr>
    </w:p>
    <w:p>
      <w:pPr>
        <w:pStyle w:val="BodyText"/>
        <w:spacing w:before="8"/>
        <w:rPr>
          <w:sz w:val="25"/>
        </w:rPr>
      </w:pPr>
    </w:p>
    <w:p>
      <w:pPr>
        <w:pStyle w:val="ListParagraph"/>
        <w:numPr>
          <w:ilvl w:val="1"/>
          <w:numId w:val="22"/>
        </w:numPr>
        <w:tabs>
          <w:tab w:pos="6138" w:val="left" w:leader="none"/>
          <w:tab w:pos="6139" w:val="left" w:leader="none"/>
        </w:tabs>
        <w:spacing w:line="240" w:lineRule="auto" w:before="89" w:after="0"/>
        <w:ind w:left="6138" w:right="0" w:hanging="1159"/>
        <w:jc w:val="left"/>
        <w:rPr>
          <w:b/>
          <w:sz w:val="28"/>
        </w:rPr>
      </w:pPr>
      <w:r>
        <w:rPr>
          <w:b/>
          <w:color w:val="009483"/>
          <w:sz w:val="28"/>
          <w:u w:val="thick" w:color="0093C1"/>
        </w:rPr>
        <w:t>Costs and prices in manufacturing</w:t>
      </w:r>
      <w:r>
        <w:rPr>
          <w:b/>
          <w:color w:val="009483"/>
          <w:spacing w:val="-11"/>
          <w:sz w:val="28"/>
          <w:u w:val="thick" w:color="0093C1"/>
        </w:rPr>
        <w:t> </w:t>
      </w:r>
    </w:p>
    <w:p>
      <w:pPr>
        <w:pStyle w:val="BodyText"/>
        <w:spacing w:before="6"/>
        <w:rPr>
          <w:b/>
          <w:sz w:val="19"/>
        </w:rPr>
      </w:pPr>
    </w:p>
    <w:p>
      <w:pPr>
        <w:spacing w:after="0"/>
        <w:rPr>
          <w:sz w:val="19"/>
        </w:rPr>
        <w:sectPr>
          <w:type w:val="continuous"/>
          <w:pgSz w:w="11880" w:h="16840"/>
          <w:pgMar w:top="1200" w:bottom="280" w:left="620" w:right="620"/>
        </w:sectPr>
      </w:pPr>
    </w:p>
    <w:p>
      <w:pPr>
        <w:pStyle w:val="BodyText"/>
        <w:rPr>
          <w:b/>
          <w:sz w:val="22"/>
        </w:rPr>
      </w:pPr>
    </w:p>
    <w:p>
      <w:pPr>
        <w:pStyle w:val="BodyText"/>
        <w:rPr>
          <w:b/>
          <w:sz w:val="22"/>
        </w:rPr>
      </w:pPr>
    </w:p>
    <w:p>
      <w:pPr>
        <w:pStyle w:val="BodyText"/>
        <w:rPr>
          <w:b/>
          <w:sz w:val="22"/>
        </w:rPr>
      </w:pPr>
    </w:p>
    <w:p>
      <w:pPr>
        <w:pStyle w:val="BodyText"/>
        <w:spacing w:before="9"/>
        <w:rPr>
          <w:b/>
          <w:sz w:val="22"/>
        </w:rPr>
      </w:pPr>
    </w:p>
    <w:p>
      <w:pPr>
        <w:pStyle w:val="Heading9"/>
        <w:spacing w:before="1"/>
        <w:ind w:left="224"/>
      </w:pPr>
      <w:r>
        <w:rPr>
          <w:color w:val="0093C1"/>
        </w:rPr>
        <w:t>Chart 4.3</w:t>
      </w:r>
    </w:p>
    <w:p>
      <w:pPr>
        <w:spacing w:before="10"/>
        <w:ind w:left="224" w:right="0" w:firstLine="0"/>
        <w:jc w:val="left"/>
        <w:rPr>
          <w:b/>
          <w:sz w:val="20"/>
        </w:rPr>
      </w:pPr>
      <w:r>
        <w:rPr>
          <w:b/>
          <w:color w:val="0093C1"/>
          <w:sz w:val="20"/>
        </w:rPr>
        <w:t>Input and output price inflation</w:t>
      </w:r>
    </w:p>
    <w:p>
      <w:pPr>
        <w:spacing w:before="186"/>
        <w:ind w:left="1821" w:right="0" w:firstLine="0"/>
        <w:jc w:val="left"/>
        <w:rPr>
          <w:sz w:val="12"/>
        </w:rPr>
      </w:pPr>
      <w:r>
        <w:rPr/>
        <w:pict>
          <v:line style="position:absolute;mso-position-horizontal-relative:page;mso-position-vertical-relative:paragraph;z-index:15956992" from="45.220001pt,16.734570pt" to="41.220001pt,16.734570pt" stroked="true" strokeweight=".5pt" strokecolor="#000000">
            <v:stroke dashstyle="solid"/>
            <w10:wrap type="none"/>
          </v:line>
        </w:pict>
      </w:r>
      <w:r>
        <w:rPr>
          <w:sz w:val="12"/>
        </w:rPr>
        <w:t>Percentage changes on a year earl</w:t>
      </w:r>
      <w:r>
        <w:rPr>
          <w:sz w:val="12"/>
          <w:u w:val="single"/>
        </w:rPr>
        <w:t>ie</w:t>
      </w:r>
      <w:r>
        <w:rPr>
          <w:sz w:val="12"/>
        </w:rPr>
        <w:t>r </w:t>
      </w:r>
      <w:r>
        <w:rPr>
          <w:spacing w:val="4"/>
          <w:sz w:val="12"/>
        </w:rPr>
        <w:t> </w:t>
      </w:r>
      <w:r>
        <w:rPr>
          <w:position w:val="-6"/>
          <w:sz w:val="12"/>
        </w:rPr>
        <w:t>80</w:t>
      </w:r>
    </w:p>
    <w:p>
      <w:pPr>
        <w:spacing w:before="146"/>
        <w:ind w:left="0" w:right="38" w:firstLine="0"/>
        <w:jc w:val="right"/>
        <w:rPr>
          <w:sz w:val="12"/>
        </w:rPr>
      </w:pPr>
      <w:r>
        <w:rPr/>
        <w:pict>
          <v:group style="position:absolute;margin-left:41.220001pt;margin-top:8.568555pt;width:173.5pt;height:126pt;mso-position-horizontal-relative:page;mso-position-vertical-relative:paragraph;z-index:-20136960" coordorigin="824,171" coordsize="3470,2520">
            <v:line style="position:absolute" from="904,2121" to="824,2121" stroked="true" strokeweight=".5pt" strokecolor="#000000">
              <v:stroke dashstyle="solid"/>
            </v:line>
            <v:shape style="position:absolute;left:974;top:1931;width:300;height:260" type="#_x0000_t75" stroked="false">
              <v:imagedata r:id="rId73" o:title=""/>
            </v:shape>
            <v:shape style="position:absolute;left:1264;top:1681;width:280;height:600" coordorigin="1264,1681" coordsize="280,600" path="m1264,2181l1284,2221,1284,2241,1304,2221,1304,2101,1324,2281,1324,2001,1344,1881,1344,1841,1364,1761,1364,1841,1384,1821,1404,1861,1404,1881,1404,1681m1404,1681l1424,2001,1424,2081,1444,2101,1444,2121,1464,2021,1484,2021,1484,1981,1504,1961,1504,1941,1524,1941,1544,1921,1544,1961,1544,1941e" filled="false" stroked="true" strokeweight="1pt" strokecolor="#0066a5">
              <v:path arrowok="t"/>
              <v:stroke dashstyle="solid"/>
            </v:shape>
            <v:shape style="position:absolute;left:1534;top:1911;width:200;height:200" type="#_x0000_t75" stroked="false">
              <v:imagedata r:id="rId74" o:title=""/>
            </v:shape>
            <v:shape style="position:absolute;left:1724;top:181;width:700;height:2040" coordorigin="1724,181" coordsize="700,2040" path="m1724,2101l1744,2101,1744,2001,1764,1961,1764,1841,1784,1781,1784,1681,1804,1581,1804,1501,1824,1441,1824,1181,1844,1061,1844,921,1864,921m1864,921l1864,821,1884,181,1884,361,1904,381,1904,701,1924,901,1924,1061,1944,1121,1944,1181,1964,1321,1964,1981,1984,1981,1984,2001,1984,1921,2004,1881m2004,1881l2004,1841,2024,1781,2024,1721,2044,1701,2044,1681,2064,1581,2064,1501,2084,1361,2084,1301,2104,1361,2104,1421,2104,1341,2124,1321,2124,1421,2144,1361m2144,1361l2144,1381,2164,1441,2164,1621,2184,1681,2184,1801,2204,1901,2204,2041,2224,2121,2224,2101,2224,2201,2244,2221,2244,2201,2264,2141,2264,2121,2264,2141,2284,2121m2284,2121l2284,2101,2304,2041,2304,1941,2324,1841,2324,1781,2324,1821,2364,1741,2364,1641,2384,1601,2384,1401,2404,1421,2404,1381,2424,1381e" filled="false" stroked="true" strokeweight="1pt" strokecolor="#0066a5">
              <v:path arrowok="t"/>
              <v:stroke dashstyle="solid"/>
            </v:shape>
            <v:shape style="position:absolute;left:2414;top:1371;width:460;height:700" type="#_x0000_t75" stroked="false">
              <v:imagedata r:id="rId75" o:title=""/>
            </v:shape>
            <v:shape style="position:absolute;left:2864;top:1901;width:300;height:780" coordorigin="2864,1901" coordsize="300,780" path="m2864,1961l2884,2061,2884,2121,2904,2261,2904,2241,2904,2301,2924,2361,2924,2321,2924,2421,2944,2601,2944,2681,2964,2681,2964,2601,2984,2621,2984,2541,3004,2521,3004,2441,3024,2441m3004,2441l3024,2381,3024,2241,3044,2221,3044,2121,3064,2081,3064,1901,3084,1941,3084,1981,3104,2021,3104,2061,3124,2081,3124,2101,3124,2081,3144,2081,3144,2041,3164,2001e" filled="false" stroked="true" strokeweight="1pt" strokecolor="#0066a5">
              <v:path arrowok="t"/>
              <v:stroke dashstyle="solid"/>
            </v:shape>
            <v:shape style="position:absolute;left:3174;top:1891;width:440;height:340" type="#_x0000_t75" stroked="false">
              <v:imagedata r:id="rId76" o:title=""/>
            </v:shape>
            <v:shape style="position:absolute;left:3604;top:1781;width:280;height:440" coordorigin="3604,1781" coordsize="280,440" path="m3604,1941l3624,1941,3624,2101,3644,2161,3644,2221,3664,2201,3664,2161,3684,2101,3684,2061,3704,2021,3704,1941,3724,1921,3724,1881,3744,1781,3744,1821m3744,1821l3764,1801,3764,1821,3784,1841,3784,1881,3804,1881,3804,1961,3824,1961,3824,2021,3844,2041,3844,2061,3864,2121,3864,2181,3884,2201e" filled="false" stroked="true" strokeweight="1pt" strokecolor="#0066a5">
              <v:path arrowok="t"/>
              <v:stroke dashstyle="solid"/>
            </v:shape>
            <v:shape style="position:absolute;left:3874;top:2171;width:140;height:260" type="#_x0000_t75" stroked="false">
              <v:imagedata r:id="rId77" o:title=""/>
            </v:shape>
            <v:shape style="position:absolute;left:4084;top:201;width:100;height:2460" coordorigin="4084,201" coordsize="100,2460" path="m4184,2401l4084,2401m4184,2661l4084,2661m4184,1841l4084,1841m4184,1581l4084,1581m4184,1301l4084,1301m4184,1021l4084,1021m4184,761l4084,761m4184,481l4084,481m4184,201l4084,201e" filled="false" stroked="true" strokeweight=".5pt" strokecolor="#000000">
              <v:path arrowok="t"/>
              <v:stroke dashstyle="solid"/>
            </v:shape>
            <v:shape style="position:absolute;left:984;top:1361;width:2480;height:740" coordorigin="984,1361" coordsize="2480,740" path="m984,2081l1004,2081,1004,2061,1024,2061,1024,2001,1044,2001,1044,2041,1064,2041,1064,2001,1124,2001,1124,2041,1124,2021m1124,2021l1144,2021,1164,2041,1184,2021,1184,2041,1204,2061,1204,2041,1224,2061,1244,2061,1264,2081,1264,2101m1264,2101l1304,2101,1324,2081,1344,2081,1344,2041,1364,2021,1364,2001,1384,2001,1384,2021,1404,2001,1404,2021m1404,2021l1424,2021,1424,1981,1424,2001,1444,2001,1444,2021,1464,2021,1484,2001,1484,2021,1484,2001,1504,2001,1504,1981,1524,2021,1524,2001,1544,1981,1544,1941m1544,1941l1564,1941,1564,1921,1584,1921,1584,1881,1604,1861,1604,1841,1604,1861,1624,1861,1624,1841,1644,1861,1644,1841,1664,1861,1684,1901,1684,1961m1684,1961l1724,2001m1724,2001l1744,2001,1744,1981,1764,1981,1764,1941,1804,1941,1804,1961,1824,1961,1824,1921,1844,1921,1844,1881,1864,1881m1864,1881l1864,1841,1884,1761,1884,1601,1904,1501,1904,1481,1924,1481,1924,1461,1944,1461,1944,1421,1964,1381,1964,1361,1964,1441,1984,1481,1984,1501,1984,1441,2004,1461m2004,1461l2004,1461,2024,1521,2024,1561,2044,1541,2044,1621,2064,1641,2064,1661,2084,1681,2084,1721,2104,1721,2104,1661,2124,1621,2124,1661,2144,1601m2144,1601l2144,1581,2164,1581,2164,1541,2184,1541,2184,1581,2204,1601,2204,1641,2224,1721,2224,1781,2244,1801,2244,1861,2264,1881,2264,1921,2284,1901m2284,1901l2324,1901,2344,1861,2344,1841,2364,1821,2364,1761,2384,1741,2384,1721,2404,1701,2404,1641,2424,1621m2424,1621l2444,1621,2444,1741m2444,1741l2464,1701,2464,1741,2484,1761,2504,1801,2504,1841,2504,1821,2524,1821,2524,1861,2544,1801,2544,1861,2564,1841,2564,1821,2584,1821m2584,1821l2604,1861,2604,1881,2624,1901,2644,1901,2664,1921,2664,1901,2664,1921,2684,1941,2704,1921,2744,1961,2744,2001,2784,1961,2804,1961,2804,1981,2824,1981,2824,1941,2864,1901,2864,1921m2864,1921l2884,1941,2904,1941,2904,1961,2924,2001,2924,2021,2944,2041,2944,2061,2964,2101,2964,2081,2964,2101,3004,2101,3004,2081,3024,2081m3004,2081l3064,2021,3064,2001,3084,2001,3084,2021,3124,2021,3124,2041,3124,2021,3204,2021,3204,2001,3224,2001,3244,1981,3244,2001,3264,2001,3264,1981,3304,1981,3304,1961,3344,1961,3344,1941,3364,1921,3404,1961,3404,1941,3444,1981,3444,2021,3464,2001e" filled="false" stroked="true" strokeweight="1pt" strokecolor="#ed1b2d">
              <v:path arrowok="t"/>
              <v:stroke dashstyle="solid"/>
            </v:shape>
            <v:shape style="position:absolute;left:3454;top:1991;width:560;height:120" type="#_x0000_t75" stroked="false">
              <v:imagedata r:id="rId78" o:title=""/>
            </v:shape>
            <v:shape style="position:absolute;left:3164;top:2001;width:20;height:80" coordorigin="3164,2001" coordsize="20,80" path="m3164,2001l3164,2041,3184,2081e" filled="false" stroked="true" strokeweight="1pt" strokecolor="#ed1b2d">
              <v:path arrowok="t"/>
              <v:stroke dashstyle="solid"/>
            </v:shape>
            <v:shape style="position:absolute;left:3367;top:1291;width:2;height:454" coordorigin="3368,1291" coordsize="0,454" path="m3368,1291l3368,1745e" filled="true" fillcolor="#000000" stroked="false">
              <v:path arrowok="t"/>
              <v:fill type="solid"/>
            </v:shape>
            <v:shape style="position:absolute;left:3317;top:1710;width:101;height:170" type="#_x0000_t75" stroked="false">
              <v:imagedata r:id="rId79" o:title=""/>
            </v:shape>
            <v:shape style="position:absolute;left:1954;top:664;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3081;top:1144;width:670;height:133" type="#_x0000_t202" filled="false" stroked="false">
              <v:textbox inset="0,0,0,0">
                <w:txbxContent>
                  <w:p>
                    <w:pPr>
                      <w:spacing w:line="133" w:lineRule="exact" w:before="0"/>
                      <w:ind w:left="0" w:right="0" w:firstLine="0"/>
                      <w:jc w:val="left"/>
                      <w:rPr>
                        <w:sz w:val="12"/>
                      </w:rPr>
                    </w:pPr>
                    <w:r>
                      <w:rPr>
                        <w:sz w:val="12"/>
                      </w:rPr>
                      <w:t>Output prices</w:t>
                    </w:r>
                  </w:p>
                </w:txbxContent>
              </v:textbox>
              <w10:wrap type="none"/>
            </v:shape>
            <v:shape style="position:absolute;left:984;top:1888;width:3310;height:378" type="#_x0000_t202" filled="false" stroked="false">
              <v:textbox inset="0,0,0,0">
                <w:txbxContent>
                  <w:p>
                    <w:pPr>
                      <w:tabs>
                        <w:tab w:pos="3019" w:val="left" w:leader="none"/>
                      </w:tabs>
                      <w:spacing w:line="177" w:lineRule="exact" w:before="0"/>
                      <w:ind w:left="0" w:right="27" w:firstLine="0"/>
                      <w:jc w:val="right"/>
                      <w:rPr>
                        <w:sz w:val="16"/>
                      </w:rPr>
                    </w:pPr>
                    <w:r>
                      <w:rPr>
                        <w:sz w:val="16"/>
                        <w:u w:val="single"/>
                      </w:rPr>
                      <w:t> </w:t>
                      <w:tab/>
                    </w:r>
                    <w:r>
                      <w:rPr>
                        <w:sz w:val="16"/>
                      </w:rPr>
                      <w:t>  </w:t>
                    </w:r>
                    <w:r>
                      <w:rPr>
                        <w:sz w:val="16"/>
                        <w:u w:val="single"/>
                      </w:rPr>
                      <w:t> </w:t>
                    </w:r>
                    <w:r>
                      <w:rPr>
                        <w:spacing w:val="20"/>
                        <w:sz w:val="16"/>
                        <w:u w:val="single"/>
                      </w:rPr>
                      <w:t> </w:t>
                    </w:r>
                    <w:r>
                      <w:rPr>
                        <w:spacing w:val="-27"/>
                        <w:sz w:val="16"/>
                      </w:rPr>
                      <w:t>+</w:t>
                    </w:r>
                  </w:p>
                  <w:p>
                    <w:pPr>
                      <w:spacing w:before="16"/>
                      <w:ind w:left="0" w:right="18" w:firstLine="0"/>
                      <w:jc w:val="right"/>
                      <w:rPr>
                        <w:sz w:val="16"/>
                      </w:rPr>
                    </w:pPr>
                    <w:r>
                      <w:rPr>
                        <w:sz w:val="16"/>
                      </w:rPr>
                      <w:t>_</w:t>
                    </w:r>
                  </w:p>
                </w:txbxContent>
              </v:textbox>
              <w10:wrap type="none"/>
            </v:shape>
            <w10:wrap type="none"/>
          </v:group>
        </w:pict>
      </w:r>
      <w:r>
        <w:rPr/>
        <w:pict>
          <v:line style="position:absolute;mso-position-horizontal-relative:page;mso-position-vertical-relative:paragraph;z-index:15956480" from="45.220001pt,10.068555pt" to="41.220001pt,10.068555pt" stroked="true" strokeweight=".5pt" strokecolor="#000000">
            <v:stroke dashstyle="solid"/>
            <w10:wrap type="none"/>
          </v:line>
        </w:pict>
      </w:r>
      <w:r>
        <w:rPr>
          <w:sz w:val="12"/>
        </w:rPr>
        <w:t>70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955968" from="45.220001pt,2.818555pt" to="41.220001pt,2.818555pt" stroked="true" strokeweight=".5pt" strokecolor="#000000">
            <v:stroke dashstyle="solid"/>
            <w10:wrap type="none"/>
          </v:line>
        </w:pict>
      </w:r>
      <w:r>
        <w:rPr>
          <w:sz w:val="12"/>
        </w:rPr>
        <w:t>60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955456" from="45.220001pt,2.81857pt" to="41.220001pt,2.81857pt" stroked="true" strokeweight=".5pt" strokecolor="#000000">
            <v:stroke dashstyle="solid"/>
            <w10:wrap type="none"/>
          </v:line>
        </w:pict>
      </w:r>
      <w:r>
        <w:rPr>
          <w:sz w:val="12"/>
        </w:rPr>
        <w:t>50</w:t>
      </w:r>
    </w:p>
    <w:p>
      <w:pPr>
        <w:pStyle w:val="BodyText"/>
        <w:spacing w:before="6"/>
        <w:rPr>
          <w:sz w:val="10"/>
        </w:rPr>
      </w:pPr>
    </w:p>
    <w:p>
      <w:pPr>
        <w:spacing w:before="1"/>
        <w:ind w:left="0" w:right="38" w:firstLine="0"/>
        <w:jc w:val="right"/>
        <w:rPr>
          <w:sz w:val="12"/>
        </w:rPr>
      </w:pPr>
      <w:r>
        <w:rPr/>
        <w:pict>
          <v:line style="position:absolute;mso-position-horizontal-relative:page;mso-position-vertical-relative:paragraph;z-index:15954944" from="45.220001pt,2.81857pt" to="41.220001pt,2.81857pt" stroked="true" strokeweight=".5pt" strokecolor="#000000">
            <v:stroke dashstyle="solid"/>
            <w10:wrap type="none"/>
          </v:line>
        </w:pict>
      </w:r>
      <w:r>
        <w:rPr>
          <w:sz w:val="12"/>
        </w:rPr>
        <w:t>40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954432" from="45.220001pt,2.81857pt" to="41.220001pt,2.81857pt" stroked="true" strokeweight=".5pt" strokecolor="#000000">
            <v:stroke dashstyle="solid"/>
            <w10:wrap type="none"/>
          </v:line>
        </w:pict>
      </w:r>
      <w:r>
        <w:rPr>
          <w:sz w:val="12"/>
        </w:rPr>
        <w:t>30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953920" from="45.220001pt,2.81857pt" to="41.220001pt,2.81857pt" stroked="true" strokeweight=".5pt" strokecolor="#000000">
            <v:stroke dashstyle="solid"/>
            <w10:wrap type="none"/>
          </v:line>
        </w:pict>
      </w:r>
      <w:r>
        <w:rPr>
          <w:sz w:val="12"/>
        </w:rPr>
        <w:t>20</w:t>
      </w:r>
    </w:p>
    <w:p>
      <w:pPr>
        <w:pStyle w:val="BodyText"/>
        <w:spacing w:before="6"/>
        <w:rPr>
          <w:sz w:val="10"/>
        </w:rPr>
      </w:pPr>
    </w:p>
    <w:p>
      <w:pPr>
        <w:spacing w:before="1"/>
        <w:ind w:left="0" w:right="38" w:firstLine="0"/>
        <w:jc w:val="right"/>
        <w:rPr>
          <w:sz w:val="12"/>
        </w:rPr>
      </w:pPr>
      <w:r>
        <w:rPr/>
        <w:pict>
          <v:line style="position:absolute;mso-position-horizontal-relative:page;mso-position-vertical-relative:paragraph;z-index:15953408" from="45.220001pt,2.81857pt" to="41.220001pt,2.81857pt" stroked="true" strokeweight=".5pt" strokecolor="#000000">
            <v:stroke dashstyle="solid"/>
            <w10:wrap type="none"/>
          </v:line>
        </w:pict>
      </w:r>
      <w:r>
        <w:rPr>
          <w:sz w:val="12"/>
        </w:rPr>
        <w:t>10</w:t>
      </w:r>
    </w:p>
    <w:p>
      <w:pPr>
        <w:pStyle w:val="BodyText"/>
        <w:spacing w:before="3"/>
        <w:rPr>
          <w:sz w:val="12"/>
        </w:rPr>
      </w:pPr>
    </w:p>
    <w:p>
      <w:pPr>
        <w:spacing w:before="1"/>
        <w:ind w:left="0" w:right="38" w:firstLine="0"/>
        <w:jc w:val="right"/>
        <w:rPr>
          <w:sz w:val="12"/>
        </w:rPr>
      </w:pPr>
      <w:r>
        <w:rPr>
          <w:sz w:val="12"/>
        </w:rPr>
        <w:t>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20140032" from="45.220001pt,2.76857pt" to="41.220001pt,2.76857pt" stroked="true" strokeweight=".5pt" strokecolor="#000000">
            <v:stroke dashstyle="solid"/>
            <w10:wrap type="none"/>
          </v:line>
        </w:pict>
      </w:r>
      <w:r>
        <w:rPr>
          <w:sz w:val="12"/>
        </w:rPr>
        <w:t>10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950336" from="45.220001pt,2.76857pt" to="41.220001pt,2.76857pt" stroked="true" strokeweight=".5pt" strokecolor="#000000">
            <v:stroke dashstyle="solid"/>
            <w10:wrap type="none"/>
          </v:line>
        </w:pict>
      </w:r>
      <w:r>
        <w:rPr>
          <w:sz w:val="12"/>
        </w:rPr>
        <w:t>20</w:t>
      </w:r>
    </w:p>
    <w:p>
      <w:pPr>
        <w:pStyle w:val="BodyText"/>
        <w:spacing w:before="4"/>
        <w:rPr>
          <w:sz w:val="12"/>
        </w:rPr>
      </w:pPr>
    </w:p>
    <w:p>
      <w:pPr>
        <w:spacing w:line="85" w:lineRule="exact" w:before="0"/>
        <w:ind w:left="0" w:right="38" w:firstLine="0"/>
        <w:jc w:val="right"/>
        <w:rPr>
          <w:sz w:val="12"/>
        </w:rPr>
      </w:pPr>
      <w:r>
        <w:rPr/>
        <w:pict>
          <v:shape style="position:absolute;margin-left:49.220001pt;margin-top:-2.23143pt;width:151pt;height:5pt;mso-position-horizontal-relative:page;mso-position-vertical-relative:paragraph;z-index:15949312" coordorigin="984,-45" coordsize="3020,100" path="m2844,55l2844,-45m3744,55l3744,-45m3304,55l3304,-45m2404,55l2404,-45m1524,55l1524,-45m1084,55l1084,-45m984,55l4004,55m984,55l984,15m1172,55l1172,15m1260,55l1260,15m1348,55l1348,15m1436,55l1436,15m1612,55l1612,15m1700,55l1700,15m1788,55l1788,15m1876,55l1876,15m2052,55l2052,15m2140,55l2140,15m2228,55l2228,15m2316,55l2316,15m2492,55l2492,15m2580,55l2580,15m2668,55l2668,15m2756,55l2756,15m2936,55l2936,15m3028,55l3028,15m3120,55l3120,15m3212,55l3212,15m3392,55l3392,15m3480,55l3480,15m3568,55l3568,15m3656,55l3656,15m3824,55l3824,15m3924,55l3924,15m1964,55l1964,-45e" filled="false" stroked="true" strokeweight=".5pt" strokecolor="#000000">
            <v:path arrowok="t"/>
            <v:stroke dashstyle="solid"/>
            <w10:wrap type="none"/>
          </v:shape>
        </w:pict>
      </w:r>
      <w:r>
        <w:rPr/>
        <w:pict>
          <v:line style="position:absolute;mso-position-horizontal-relative:page;mso-position-vertical-relative:paragraph;z-index:15950848" from="45.220001pt,2.76857pt" to="41.220001pt,2.76857pt" stroked="true" strokeweight=".5pt" strokecolor="#000000">
            <v:stroke dashstyle="solid"/>
            <w10:wrap type="none"/>
          </v:line>
        </w:pict>
      </w:r>
      <w:r>
        <w:rPr/>
        <w:pict>
          <v:line style="position:absolute;mso-position-horizontal-relative:page;mso-position-vertical-relative:paragraph;z-index:15957504" from="209.220001pt,2.76857pt" to="204.220001pt,2.76857pt" stroked="true" strokeweight=".5pt" strokecolor="#000000">
            <v:stroke dashstyle="solid"/>
            <w10:wrap type="none"/>
          </v:line>
        </w:pict>
      </w:r>
      <w:r>
        <w:rPr>
          <w:sz w:val="12"/>
        </w:rPr>
        <w:t>30</w:t>
      </w:r>
    </w:p>
    <w:p>
      <w:pPr>
        <w:pStyle w:val="Heading5"/>
        <w:spacing w:line="242" w:lineRule="auto" w:before="90"/>
        <w:ind w:left="224" w:right="259"/>
      </w:pPr>
      <w:r>
        <w:rPr/>
        <w:br w:type="column"/>
      </w:r>
      <w:r>
        <w:rPr>
          <w:color w:val="231F20"/>
        </w:rPr>
        <w:t>Input prices in the manufacturing sector fell sharply in 1997 Q4, and were 9</w:t>
      </w:r>
      <w:r>
        <w:rPr>
          <w:color w:val="231F20"/>
          <w:position w:val="8"/>
          <w:sz w:val="12"/>
        </w:rPr>
        <w:t>1</w:t>
      </w:r>
      <w:r>
        <w:rPr>
          <w:color w:val="231F20"/>
        </w:rPr>
        <w:t>/</w:t>
      </w:r>
      <w:r>
        <w:rPr>
          <w:color w:val="231F20"/>
          <w:sz w:val="12"/>
        </w:rPr>
        <w:t>2</w:t>
      </w:r>
      <w:r>
        <w:rPr>
          <w:color w:val="231F20"/>
        </w:rPr>
        <w:t>% lower in December than a </w:t>
      </w:r>
      <w:r>
        <w:rPr>
          <w:color w:val="231F20"/>
          <w:spacing w:val="-4"/>
        </w:rPr>
        <w:t>year </w:t>
      </w:r>
      <w:r>
        <w:rPr>
          <w:color w:val="231F20"/>
        </w:rPr>
        <w:t>earlier. This reflected falls in the prices of both </w:t>
      </w:r>
      <w:hyperlink w:history="true" w:anchor="_bookmark23">
        <w:r>
          <w:rPr>
            <w:color w:val="231F20"/>
          </w:rPr>
          <w:t>imported inputs (see Section 4.1)</w:t>
        </w:r>
      </w:hyperlink>
      <w:r>
        <w:rPr>
          <w:color w:val="231F20"/>
        </w:rPr>
        <w:t> and domestic inputs. The prices of many domestically produced inputs (such as crude oil, which has a 10% weight in the producer price index) are set on world markets, so these too will </w:t>
      </w:r>
      <w:r>
        <w:rPr>
          <w:color w:val="231F20"/>
          <w:spacing w:val="-3"/>
        </w:rPr>
        <w:t>have </w:t>
      </w:r>
      <w:r>
        <w:rPr>
          <w:color w:val="231F20"/>
        </w:rPr>
        <w:t>been affected by sterling’s appreciation since August 1996.</w:t>
      </w:r>
    </w:p>
    <w:p>
      <w:pPr>
        <w:pStyle w:val="BodyText"/>
        <w:spacing w:before="7"/>
        <w:rPr>
          <w:sz w:val="30"/>
        </w:rPr>
      </w:pPr>
    </w:p>
    <w:p>
      <w:pPr>
        <w:spacing w:line="242" w:lineRule="auto" w:before="0"/>
        <w:ind w:left="224" w:right="201" w:firstLine="0"/>
        <w:jc w:val="left"/>
        <w:rPr>
          <w:sz w:val="24"/>
        </w:rPr>
      </w:pPr>
      <w:r>
        <w:rPr>
          <w:color w:val="231F20"/>
          <w:sz w:val="24"/>
        </w:rPr>
        <w:t>Annual output price inflation has been below 1</w:t>
      </w:r>
      <w:r>
        <w:rPr>
          <w:color w:val="231F20"/>
          <w:position w:val="8"/>
          <w:sz w:val="12"/>
        </w:rPr>
        <w:t>1</w:t>
      </w:r>
      <w:r>
        <w:rPr>
          <w:color w:val="231F20"/>
          <w:sz w:val="24"/>
        </w:rPr>
        <w:t>/</w:t>
      </w:r>
      <w:r>
        <w:rPr>
          <w:color w:val="231F20"/>
          <w:sz w:val="12"/>
        </w:rPr>
        <w:t>2</w:t>
      </w:r>
      <w:r>
        <w:rPr>
          <w:color w:val="231F20"/>
          <w:sz w:val="24"/>
        </w:rPr>
        <w:t>% since the start of 1997, only the third time it has been this low since the series began in 1963 (see Chart 4.3). Most of the small rise in prices during 1997 was caused by tax increases. Annual inflation measured by the output prices index excluding excise duties was only 0.2% in December.</w:t>
      </w:r>
    </w:p>
    <w:p>
      <w:pPr>
        <w:spacing w:after="0" w:line="242" w:lineRule="auto"/>
        <w:jc w:val="left"/>
        <w:rPr>
          <w:sz w:val="24"/>
        </w:rPr>
        <w:sectPr>
          <w:type w:val="continuous"/>
          <w:pgSz w:w="11880" w:h="16840"/>
          <w:pgMar w:top="1200" w:bottom="280" w:left="620" w:right="620"/>
          <w:cols w:num="2" w:equalWidth="0">
            <w:col w:w="3795" w:space="961"/>
            <w:col w:w="5884"/>
          </w:cols>
        </w:sectPr>
      </w:pPr>
    </w:p>
    <w:p>
      <w:pPr>
        <w:tabs>
          <w:tab w:pos="874" w:val="left" w:leader="none"/>
          <w:tab w:pos="1314" w:val="left" w:leader="none"/>
          <w:tab w:pos="1774" w:val="left" w:leader="none"/>
          <w:tab w:pos="2214" w:val="left" w:leader="none"/>
          <w:tab w:pos="2654" w:val="left" w:leader="none"/>
          <w:tab w:pos="3094" w:val="left" w:leader="none"/>
        </w:tabs>
        <w:spacing w:line="88" w:lineRule="exact" w:before="0"/>
        <w:ind w:left="314" w:right="0" w:firstLine="0"/>
        <w:jc w:val="left"/>
        <w:rPr>
          <w:sz w:val="12"/>
        </w:rPr>
      </w:pPr>
      <w:r>
        <w:rPr>
          <w:sz w:val="12"/>
        </w:rPr>
        <w:t>1964</w:t>
        <w:tab/>
        <w:t>70</w:t>
        <w:tab/>
        <w:t>75</w:t>
        <w:tab/>
        <w:t>80</w:t>
        <w:tab/>
        <w:t>85</w:t>
        <w:tab/>
        <w:t>90</w:t>
        <w:tab/>
        <w:t>95</w:t>
      </w:r>
    </w:p>
    <w:p>
      <w:pPr>
        <w:pStyle w:val="BodyText"/>
        <w:spacing w:before="7"/>
        <w:rPr>
          <w:sz w:val="16"/>
        </w:rPr>
      </w:pPr>
    </w:p>
    <w:p>
      <w:pPr>
        <w:pStyle w:val="Heading5"/>
        <w:spacing w:line="242" w:lineRule="auto" w:before="90"/>
        <w:ind w:left="4980" w:right="201"/>
      </w:pPr>
      <w:r>
        <w:rPr>
          <w:color w:val="231F20"/>
        </w:rPr>
        <w:t>The CBI Industrial Trends Survey asks firms whether or not they have raised prices during the past four months, and whether or not they expect to raise prices during the next four months. A comparison of outturns with prior</w:t>
      </w:r>
    </w:p>
    <w:p>
      <w:pPr>
        <w:spacing w:after="0" w:line="242" w:lineRule="auto"/>
        <w:sectPr>
          <w:type w:val="continuous"/>
          <w:pgSz w:w="11880" w:h="16840"/>
          <w:pgMar w:top="1200" w:bottom="280" w:left="620" w:right="620"/>
        </w:sectPr>
      </w:pPr>
    </w:p>
    <w:p>
      <w:pPr>
        <w:pStyle w:val="BodyText"/>
        <w:rPr>
          <w:sz w:val="20"/>
        </w:rPr>
      </w:pPr>
    </w:p>
    <w:p>
      <w:pPr>
        <w:spacing w:after="0"/>
        <w:rPr>
          <w:sz w:val="20"/>
        </w:rPr>
        <w:sectPr>
          <w:pgSz w:w="11880" w:h="16840"/>
          <w:pgMar w:header="566" w:footer="597" w:top="760" w:bottom="780" w:left="620" w:right="620"/>
        </w:sectPr>
      </w:pPr>
    </w:p>
    <w:p>
      <w:pPr>
        <w:pStyle w:val="BodyText"/>
        <w:spacing w:before="6"/>
        <w:rPr>
          <w:sz w:val="20"/>
        </w:rPr>
      </w:pPr>
    </w:p>
    <w:p>
      <w:pPr>
        <w:pStyle w:val="Heading9"/>
        <w:spacing w:before="0"/>
        <w:ind w:left="180"/>
      </w:pPr>
      <w:bookmarkStart w:name="Pricing in the manufacturing sector" w:id="71"/>
      <w:bookmarkEnd w:id="71"/>
      <w:r>
        <w:rPr>
          <w:b w:val="0"/>
        </w:rPr>
      </w:r>
      <w:bookmarkStart w:name="Retail prices" w:id="72"/>
      <w:bookmarkEnd w:id="72"/>
      <w:r>
        <w:rPr>
          <w:b w:val="0"/>
        </w:rPr>
      </w:r>
      <w:bookmarkStart w:name="_bookmark27" w:id="73"/>
      <w:bookmarkEnd w:id="73"/>
      <w:r>
        <w:rPr>
          <w:b w:val="0"/>
        </w:rPr>
      </w:r>
      <w:r>
        <w:rPr>
          <w:color w:val="0093C1"/>
        </w:rPr>
        <w:t>Chart 4.4</w:t>
      </w:r>
    </w:p>
    <w:p>
      <w:pPr>
        <w:spacing w:line="249" w:lineRule="auto" w:before="10"/>
        <w:ind w:left="180" w:right="162" w:firstLine="0"/>
        <w:jc w:val="left"/>
        <w:rPr>
          <w:sz w:val="12"/>
        </w:rPr>
      </w:pPr>
      <w:r>
        <w:rPr>
          <w:b/>
          <w:color w:val="0093C1"/>
          <w:sz w:val="20"/>
        </w:rPr>
        <w:t>CBI survey measure of price outturns relative to prior expectations</w:t>
      </w:r>
      <w:r>
        <w:rPr>
          <w:color w:val="231F20"/>
          <w:position w:val="4"/>
          <w:sz w:val="12"/>
        </w:rPr>
        <w:t>(a)</w:t>
      </w:r>
    </w:p>
    <w:p>
      <w:pPr>
        <w:spacing w:before="184"/>
        <w:ind w:left="0" w:right="0" w:firstLine="0"/>
        <w:jc w:val="right"/>
        <w:rPr>
          <w:sz w:val="12"/>
        </w:rPr>
      </w:pPr>
      <w:r>
        <w:rPr>
          <w:sz w:val="12"/>
        </w:rPr>
        <w:t>Per cent balan</w:t>
      </w:r>
      <w:r>
        <w:rPr>
          <w:sz w:val="12"/>
          <w:u w:val="single"/>
        </w:rPr>
        <w:t>ce</w:t>
      </w:r>
    </w:p>
    <w:p>
      <w:pPr>
        <w:pStyle w:val="BodyText"/>
        <w:spacing w:line="20" w:lineRule="exact"/>
        <w:ind w:left="1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3"/>
        <w:rPr>
          <w:sz w:val="20"/>
        </w:rPr>
      </w:pPr>
      <w:r>
        <w:rPr/>
        <w:pict>
          <v:shape style="position:absolute;margin-left:39pt;margin-top:13.865078pt;width:5pt;height:.1pt;mso-position-horizontal-relative:page;mso-position-vertical-relative:paragraph;z-index:-15498752;mso-wrap-distance-left:0;mso-wrap-distance-right:0" coordorigin="780,277" coordsize="100,0" path="m880,277l780,277e" filled="false" stroked="true" strokeweight=".5pt" strokecolor="#000000">
            <v:path arrowok="t"/>
            <v:stroke dashstyle="solid"/>
            <w10:wrap type="topAndBottom"/>
          </v:shape>
        </w:pict>
      </w:r>
      <w:r>
        <w:rPr/>
        <w:pict>
          <v:shape style="position:absolute;margin-left:205pt;margin-top:13.865078pt;width:5pt;height:.1pt;mso-position-horizontal-relative:page;mso-position-vertical-relative:paragraph;z-index:-15498240;mso-wrap-distance-left:0;mso-wrap-distance-right:0" coordorigin="4100,277" coordsize="100,0" path="m4200,277l4100,277e" filled="false" stroked="true" strokeweight=".5pt" strokecolor="#000000">
            <v:path arrowok="t"/>
            <v:stroke dashstyle="solid"/>
            <w10:wrap type="topAndBottom"/>
          </v:shape>
        </w:pict>
      </w:r>
      <w:r>
        <w:rPr/>
        <w:pict>
          <v:shape style="position:absolute;margin-left:39pt;margin-top:27.865078pt;width:5pt;height:.1pt;mso-position-horizontal-relative:page;mso-position-vertical-relative:paragraph;z-index:-15497728;mso-wrap-distance-left:0;mso-wrap-distance-right:0" coordorigin="780,557" coordsize="100,0" path="m880,557l780,557e" filled="false" stroked="true" strokeweight=".5pt" strokecolor="#000000">
            <v:path arrowok="t"/>
            <v:stroke dashstyle="solid"/>
            <w10:wrap type="topAndBottom"/>
          </v:shape>
        </w:pict>
      </w:r>
      <w:r>
        <w:rPr/>
        <w:pict>
          <v:shape style="position:absolute;margin-left:205pt;margin-top:27.865078pt;width:5pt;height:.1pt;mso-position-horizontal-relative:page;mso-position-vertical-relative:paragraph;z-index:-15497216;mso-wrap-distance-left:0;mso-wrap-distance-right:0" coordorigin="4100,557" coordsize="100,0" path="m4200,557l4100,557e" filled="false" stroked="true" strokeweight=".5pt" strokecolor="#000000">
            <v:path arrowok="t"/>
            <v:stroke dashstyle="solid"/>
            <w10:wrap type="topAndBottom"/>
          </v:shape>
        </w:pict>
      </w:r>
    </w:p>
    <w:p>
      <w:pPr>
        <w:pStyle w:val="BodyText"/>
        <w:spacing w:before="6"/>
        <w:rPr>
          <w:sz w:val="17"/>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1"/>
        </w:rPr>
      </w:pPr>
    </w:p>
    <w:p>
      <w:pPr>
        <w:spacing w:before="0"/>
        <w:ind w:left="73" w:right="0" w:firstLine="0"/>
        <w:jc w:val="left"/>
        <w:rPr>
          <w:sz w:val="12"/>
        </w:rPr>
      </w:pPr>
      <w:r>
        <w:rPr>
          <w:sz w:val="12"/>
        </w:rPr>
        <w:t>7.5</w:t>
      </w:r>
    </w:p>
    <w:p>
      <w:pPr>
        <w:pStyle w:val="BodyText"/>
        <w:spacing w:before="4"/>
        <w:rPr>
          <w:sz w:val="12"/>
        </w:rPr>
      </w:pPr>
    </w:p>
    <w:p>
      <w:pPr>
        <w:spacing w:before="0"/>
        <w:ind w:left="73" w:right="0" w:firstLine="0"/>
        <w:jc w:val="left"/>
        <w:rPr>
          <w:sz w:val="12"/>
        </w:rPr>
      </w:pPr>
      <w:r>
        <w:rPr>
          <w:sz w:val="12"/>
        </w:rPr>
        <w:t>5.0</w:t>
      </w:r>
    </w:p>
    <w:p>
      <w:pPr>
        <w:pStyle w:val="BodyText"/>
        <w:spacing w:before="7"/>
        <w:rPr>
          <w:sz w:val="10"/>
        </w:rPr>
      </w:pPr>
    </w:p>
    <w:p>
      <w:pPr>
        <w:spacing w:line="116" w:lineRule="exact" w:before="0"/>
        <w:ind w:left="73" w:right="0" w:firstLine="0"/>
        <w:jc w:val="left"/>
        <w:rPr>
          <w:sz w:val="12"/>
        </w:rPr>
      </w:pPr>
      <w:r>
        <w:rPr/>
        <w:pict>
          <v:group style="position:absolute;margin-left:49.5pt;margin-top:-13.398438pt;width:151pt;height:140.75pt;mso-position-horizontal-relative:page;mso-position-vertical-relative:paragraph;z-index:15967232" coordorigin="990,-268" coordsize="3020,2815">
            <v:shape style="position:absolute;left:1000;top:2442;width:3000;height:100" coordorigin="1000,2442" coordsize="3000,100" path="m3660,2542l3660,2442m3060,2542l3060,2442m2460,2542l2460,2442m1840,2542l1840,2442m1240,2542l1240,2442m1000,2542l4000,2542m1000,2542l1000,2502m1120,2542l1120,2502m1360,2542l1360,2502m1480,2542l1480,2502m1600,2542l1600,2502m1720,2542l1720,2502m1964,2542l1964,2502m2088,2542l2088,2502m2212,2542l2212,2502m2336,2542l2336,2502m2580,2542l2580,2502m2700,2542l2700,2502m2820,2542l2820,2502m2940,2542l2940,2502m3180,2542l3180,2502m3300,2542l3300,2502m3420,2542l3420,2502m3540,2542l3540,2502m3780,2542l3780,2502m3900,2542l3900,2502e" filled="false" stroked="true" strokeweight=".5pt" strokecolor="#000000">
              <v:path arrowok="t"/>
              <v:stroke dashstyle="solid"/>
            </v:shape>
            <v:shape style="position:absolute;left:1000;top:-258;width:3000;height:2680" coordorigin="1000,-258" coordsize="3000,2680" path="m1000,1502l1020,1242,1060,922,1080,162,1120,-258,1140,-178,1180,-198,1200,82,1240,262,1260,362,1300,742,1320,842,1360,982,1380,962,1420,822,1440,762,1480,742,1520,982,1540,1282,1580,1582,1560,1582,1600,1722,1620,1622,1660,1622,1700,1482,1720,1282,1760,1062,1780,822,1820,742,1840,862,1880,1422,1900,1902,1940,2102,1960,2422,2000,2282,2020,1942,2060,1962,2080,1942,2120,1882,2140,2122,2180,1902,2200,1562,2240,1382,2260,922,2300,922,2320,1082,2360,1222,2400,1162,2420,1222,2460,1002,2480,842,2520,1102,2540,1162,2580,1202,2600,1362,2640,1302,2660,1082,2700,1222,2720,1142,2760,962,2780,1062,2820,1082,2840,1082,2880,982,2900,1082,2940,902,2960,982,3000,1242,3020,1282,3100,1122,3120,1122,3160,1222,3180,1662,3220,1722,3240,1902,3280,2162,3300,2162,3340,2202,3360,2402,3400,1962,3420,1682,3460,1602,3480,1222,3520,1222,3540,1382,3580,1062,3600,962,3640,1022,3660,782,3700,782,3740,962,3760,982,3800,1202,3820,1602,3840,1582,3880,1602,3920,1742,3940,1482,3980,1342,4000,1242e" filled="false" stroked="true" strokeweight="1pt" strokecolor="#952e40">
              <v:path arrowok="t"/>
              <v:stroke dashstyle="solid"/>
            </v:shape>
            <v:shape style="position:absolute;left:990;top:-268;width:3020;height:2815" type="#_x0000_t202" filled="false" stroked="false">
              <v:textbox inset="0,0,0,0">
                <w:txbxContent>
                  <w:p>
                    <w:pPr>
                      <w:spacing w:line="240" w:lineRule="auto" w:before="0"/>
                      <w:rPr>
                        <w:sz w:val="18"/>
                      </w:rPr>
                    </w:pPr>
                  </w:p>
                  <w:p>
                    <w:pPr>
                      <w:spacing w:line="240" w:lineRule="auto" w:before="9"/>
                      <w:rPr>
                        <w:sz w:val="14"/>
                      </w:rPr>
                    </w:pPr>
                  </w:p>
                  <w:p>
                    <w:pPr>
                      <w:tabs>
                        <w:tab w:pos="3009" w:val="left" w:leader="none"/>
                      </w:tabs>
                      <w:spacing w:before="0"/>
                      <w:ind w:left="10" w:right="0" w:firstLine="0"/>
                      <w:jc w:val="left"/>
                      <w:rPr>
                        <w:sz w:val="16"/>
                      </w:rPr>
                    </w:pPr>
                    <w:r>
                      <w:rPr>
                        <w:sz w:val="16"/>
                        <w:u w:val="single"/>
                      </w:rPr>
                      <w:t> </w:t>
                      <w:tab/>
                    </w:r>
                  </w:p>
                </w:txbxContent>
              </v:textbox>
              <w10:wrap type="none"/>
            </v:shape>
            <w10:wrap type="none"/>
          </v:group>
        </w:pict>
      </w:r>
      <w:r>
        <w:rPr>
          <w:sz w:val="12"/>
        </w:rPr>
        <w:t>2.5</w:t>
      </w:r>
    </w:p>
    <w:p>
      <w:pPr>
        <w:pStyle w:val="Heading5"/>
        <w:spacing w:line="242" w:lineRule="auto" w:before="227"/>
        <w:ind w:left="180" w:right="255"/>
      </w:pPr>
      <w:r>
        <w:rPr/>
        <w:br w:type="column"/>
      </w:r>
      <w:r>
        <w:rPr>
          <w:color w:val="231F20"/>
        </w:rPr>
        <w:t>expectations reveals whether or not firms have been disappointed with their pricing outcome. Chart 4.4 shows that manufacturing firms are almost always disappointed, suggesting that they have unrealistic expectations. This measure of ‘price disappointment’ also tends to vary with the cycle, with disappointment</w:t>
      </w:r>
    </w:p>
    <w:p>
      <w:pPr>
        <w:spacing w:after="0" w:line="242" w:lineRule="auto"/>
        <w:sectPr>
          <w:type w:val="continuous"/>
          <w:pgSz w:w="11880" w:h="16840"/>
          <w:pgMar w:top="1200" w:bottom="280" w:left="620" w:right="620"/>
          <w:cols w:num="3" w:equalWidth="0">
            <w:col w:w="3590" w:space="40"/>
            <w:col w:w="264" w:space="926"/>
            <w:col w:w="5820"/>
          </w:cols>
        </w:sectPr>
      </w:pPr>
    </w:p>
    <w:p>
      <w:pPr>
        <w:pStyle w:val="BodyText"/>
        <w:spacing w:before="2"/>
      </w:pPr>
    </w:p>
    <w:p>
      <w:pPr>
        <w:pStyle w:val="BodyText"/>
        <w:spacing w:line="20" w:lineRule="exact"/>
        <w:ind w:left="15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2"/>
        <w:rPr>
          <w:sz w:val="19"/>
        </w:rPr>
      </w:pPr>
      <w:r>
        <w:rPr/>
        <w:pict>
          <v:shape style="position:absolute;margin-left:39pt;margin-top:13.25pt;width:5pt;height:.1pt;mso-position-horizontal-relative:page;mso-position-vertical-relative:paragraph;z-index:-15496192;mso-wrap-distance-left:0;mso-wrap-distance-right:0" coordorigin="780,265" coordsize="100,0" path="m880,265l780,265e" filled="false" stroked="true" strokeweight=".5pt" strokecolor="#000000">
            <v:path arrowok="t"/>
            <v:stroke dashstyle="solid"/>
            <w10:wrap type="topAndBottom"/>
          </v:shape>
        </w:pict>
      </w:r>
      <w:r>
        <w:rPr/>
        <w:pict>
          <v:shape style="position:absolute;margin-left:39pt;margin-top:27.25pt;width:5pt;height:.1pt;mso-position-horizontal-relative:page;mso-position-vertical-relative:paragraph;z-index:-15495680;mso-wrap-distance-left:0;mso-wrap-distance-right:0" coordorigin="780,545" coordsize="100,0" path="m880,545l780,545e" filled="false" stroked="true" strokeweight=".5pt" strokecolor="#000000">
            <v:path arrowok="t"/>
            <v:stroke dashstyle="solid"/>
            <w10:wrap type="topAndBottom"/>
          </v:shape>
        </w:pict>
      </w:r>
      <w:r>
        <w:rPr/>
        <w:pict>
          <v:shape style="position:absolute;margin-left:39pt;margin-top:40.25pt;width:5pt;height:.1pt;mso-position-horizontal-relative:page;mso-position-vertical-relative:paragraph;z-index:-15495168;mso-wrap-distance-left:0;mso-wrap-distance-right:0" coordorigin="780,805" coordsize="100,0" path="m880,805l780,805e" filled="false" stroked="true" strokeweight=".5pt" strokecolor="#000000">
            <v:path arrowok="t"/>
            <v:stroke dashstyle="solid"/>
            <w10:wrap type="topAndBottom"/>
          </v:shape>
        </w:pict>
      </w:r>
      <w:r>
        <w:rPr/>
        <w:pict>
          <v:shape style="position:absolute;margin-left:39pt;margin-top:54.25pt;width:5pt;height:.1pt;mso-position-horizontal-relative:page;mso-position-vertical-relative:paragraph;z-index:-15494656;mso-wrap-distance-left:0;mso-wrap-distance-right:0" coordorigin="780,1085" coordsize="100,0" path="m880,1085l780,1085e" filled="false" stroked="true" strokeweight=".5pt" strokecolor="#000000">
            <v:path arrowok="t"/>
            <v:stroke dashstyle="solid"/>
            <w10:wrap type="topAndBottom"/>
          </v:shape>
        </w:pict>
      </w:r>
      <w:r>
        <w:rPr/>
        <w:pict>
          <v:shape style="position:absolute;margin-left:39pt;margin-top:68.25pt;width:5pt;height:.1pt;mso-position-horizontal-relative:page;mso-position-vertical-relative:paragraph;z-index:-15494144;mso-wrap-distance-left:0;mso-wrap-distance-right:0" coordorigin="780,1365" coordsize="100,0" path="m880,1365l780,1365e" filled="false" stroked="true" strokeweight=".5pt" strokecolor="#000000">
            <v:path arrowok="t"/>
            <v:stroke dashstyle="solid"/>
            <w10:wrap type="topAndBottom"/>
          </v:shape>
        </w:pict>
      </w:r>
      <w:r>
        <w:rPr/>
        <w:pict>
          <v:shape style="position:absolute;margin-left:39pt;margin-top:82.25pt;width:5pt;height:.1pt;mso-position-horizontal-relative:page;mso-position-vertical-relative:paragraph;z-index:-15493632;mso-wrap-distance-left:0;mso-wrap-distance-right:0" coordorigin="780,1645" coordsize="100,0" path="m880,1645l780,1645e" filled="false" stroked="true" strokeweight=".5pt" strokecolor="#000000">
            <v:path arrowok="t"/>
            <v:stroke dashstyle="solid"/>
            <w10:wrap type="topAndBottom"/>
          </v:shape>
        </w:pict>
      </w:r>
      <w:r>
        <w:rPr/>
        <w:pict>
          <v:shape style="position:absolute;margin-left:39pt;margin-top:95.25pt;width:5pt;height:.1pt;mso-position-horizontal-relative:page;mso-position-vertical-relative:paragraph;z-index:-15493120;mso-wrap-distance-left:0;mso-wrap-distance-right:0" coordorigin="780,1905" coordsize="100,0" path="m880,1905l780,1905e" filled="false" stroked="true" strokeweight=".5pt" strokecolor="#000000">
            <v:path arrowok="t"/>
            <v:stroke dashstyle="solid"/>
            <w10:wrap type="topAndBottom"/>
          </v:shape>
        </w:pict>
      </w:r>
      <w:r>
        <w:rPr/>
        <w:pict>
          <v:shape style="position:absolute;margin-left:39pt;margin-top:109.25pt;width:5pt;height:.1pt;mso-position-horizontal-relative:page;mso-position-vertical-relative:paragraph;z-index:-15492608;mso-wrap-distance-left:0;mso-wrap-distance-right:0" coordorigin="780,2185" coordsize="100,0" path="m880,2185l780,2185e" filled="false" stroked="true" strokeweight=".5pt" strokecolor="#000000">
            <v:path arrowok="t"/>
            <v:stroke dashstyle="solid"/>
            <w10:wrap type="topAndBottom"/>
          </v:shape>
        </w:pict>
      </w: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pStyle w:val="BodyText"/>
        <w:spacing w:before="6"/>
        <w:rPr>
          <w:sz w:val="17"/>
        </w:rPr>
      </w:pPr>
    </w:p>
    <w:p>
      <w:pPr>
        <w:pStyle w:val="BodyText"/>
        <w:spacing w:before="9"/>
        <w:rPr>
          <w:sz w:val="15"/>
        </w:rPr>
      </w:pPr>
    </w:p>
    <w:p>
      <w:pPr>
        <w:pStyle w:val="BodyText"/>
        <w:spacing w:before="6"/>
        <w:rPr>
          <w:sz w:val="17"/>
        </w:rPr>
      </w:pPr>
    </w:p>
    <w:p>
      <w:pPr>
        <w:tabs>
          <w:tab w:pos="1209" w:val="left" w:leader="none"/>
          <w:tab w:pos="1809" w:val="left" w:leader="none"/>
          <w:tab w:pos="2416" w:val="left" w:leader="none"/>
          <w:tab w:pos="3009" w:val="left" w:leader="none"/>
        </w:tabs>
        <w:spacing w:before="0"/>
        <w:ind w:left="230" w:right="0" w:firstLine="0"/>
        <w:jc w:val="left"/>
        <w:rPr>
          <w:sz w:val="12"/>
        </w:rPr>
      </w:pPr>
      <w:r>
        <w:rPr>
          <w:sz w:val="12"/>
        </w:rPr>
        <w:t>1973    75</w:t>
        <w:tab/>
        <w:t>80</w:t>
        <w:tab/>
        <w:t>85</w:t>
        <w:tab/>
        <w:t>90</w:t>
        <w:tab/>
        <w:t>95</w:t>
      </w:r>
    </w:p>
    <w:p>
      <w:pPr>
        <w:spacing w:line="159" w:lineRule="exact" w:before="0"/>
        <w:ind w:left="230" w:right="0" w:firstLine="0"/>
        <w:jc w:val="left"/>
        <w:rPr>
          <w:sz w:val="16"/>
        </w:rPr>
      </w:pPr>
      <w:r>
        <w:rPr/>
        <w:br w:type="column"/>
      </w:r>
      <w:r>
        <w:rPr>
          <w:sz w:val="16"/>
          <w:u w:val="single"/>
        </w:rPr>
        <w:t>  </w:t>
      </w:r>
      <w:r>
        <w:rPr>
          <w:sz w:val="16"/>
        </w:rPr>
        <w:t>+</w:t>
      </w:r>
    </w:p>
    <w:p>
      <w:pPr>
        <w:spacing w:line="168" w:lineRule="auto" w:before="10"/>
        <w:ind w:left="320" w:right="0" w:firstLine="0"/>
        <w:jc w:val="left"/>
        <w:rPr>
          <w:sz w:val="12"/>
        </w:rPr>
      </w:pPr>
      <w:r>
        <w:rPr>
          <w:position w:val="-8"/>
          <w:sz w:val="16"/>
        </w:rPr>
        <w:t>_</w:t>
      </w:r>
      <w:r>
        <w:rPr>
          <w:spacing w:val="13"/>
          <w:position w:val="-8"/>
          <w:sz w:val="16"/>
        </w:rPr>
        <w:t> </w:t>
      </w:r>
      <w:r>
        <w:rPr>
          <w:sz w:val="12"/>
        </w:rPr>
        <w:t>0.0</w:t>
      </w:r>
    </w:p>
    <w:p>
      <w:pPr>
        <w:spacing w:before="80"/>
        <w:ind w:left="0" w:right="38" w:firstLine="0"/>
        <w:jc w:val="right"/>
        <w:rPr>
          <w:sz w:val="12"/>
        </w:rPr>
      </w:pPr>
      <w:r>
        <w:rPr/>
        <w:pict>
          <v:line style="position:absolute;mso-position-horizontal-relative:page;mso-position-vertical-relative:paragraph;z-index:15967744" from="210pt,7.101563pt" to="205pt,7.101563pt" stroked="true" strokeweight=".5pt" strokecolor="#000000">
            <v:stroke dashstyle="solid"/>
            <w10:wrap type="none"/>
          </v:line>
        </w:pict>
      </w:r>
      <w:r>
        <w:rPr>
          <w:sz w:val="12"/>
        </w:rPr>
        <w:t>2.5</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68256" from="210pt,3.101563pt" to="205pt,3.101563pt" stroked="true" strokeweight=".5pt" strokecolor="#000000">
            <v:stroke dashstyle="solid"/>
            <w10:wrap type="none"/>
          </v:line>
        </w:pict>
      </w:r>
      <w:r>
        <w:rPr>
          <w:sz w:val="12"/>
        </w:rPr>
        <w:t>5.0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968768" from="210pt,3.101563pt" to="205pt,3.101563pt" stroked="true" strokeweight=".5pt" strokecolor="#000000">
            <v:stroke dashstyle="solid"/>
            <w10:wrap type="none"/>
          </v:line>
        </w:pict>
      </w:r>
      <w:r>
        <w:rPr>
          <w:sz w:val="12"/>
        </w:rPr>
        <w:t>7.5</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69280" from="210pt,3.101563pt" to="205pt,3.101563pt" stroked="true" strokeweight=".5pt" strokecolor="#000000">
            <v:stroke dashstyle="solid"/>
            <w10:wrap type="none"/>
          </v:line>
        </w:pict>
      </w:r>
      <w:r>
        <w:rPr>
          <w:sz w:val="12"/>
        </w:rPr>
        <w:t>10.0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69792" from="210pt,3.101563pt" to="205pt,3.101563pt" stroked="true" strokeweight=".5pt" strokecolor="#000000">
            <v:stroke dashstyle="solid"/>
            <w10:wrap type="none"/>
          </v:line>
        </w:pict>
      </w:r>
      <w:r>
        <w:rPr>
          <w:sz w:val="12"/>
        </w:rPr>
        <w:t>12.5</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970304" from="210pt,4.101563pt" to="205pt,4.101563pt" stroked="true" strokeweight=".5pt" strokecolor="#000000">
            <v:stroke dashstyle="solid"/>
            <w10:wrap type="none"/>
          </v:line>
        </w:pict>
      </w:r>
      <w:r>
        <w:rPr>
          <w:sz w:val="12"/>
        </w:rPr>
        <w:t>15.0</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70816" from="210pt,3.101563pt" to="205pt,3.101563pt" stroked="true" strokeweight=".5pt" strokecolor="#000000">
            <v:stroke dashstyle="solid"/>
            <w10:wrap type="none"/>
          </v:line>
        </w:pict>
      </w:r>
      <w:r>
        <w:rPr>
          <w:sz w:val="12"/>
        </w:rPr>
        <w:t>17.5</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71328" from="210pt,3.101563pt" to="205pt,3.101563pt" stroked="true" strokeweight=".5pt" strokecolor="#000000">
            <v:stroke dashstyle="solid"/>
            <w10:wrap type="none"/>
          </v:line>
        </w:pict>
      </w:r>
      <w:r>
        <w:rPr>
          <w:sz w:val="12"/>
        </w:rPr>
        <w:t>20.0</w:t>
      </w:r>
    </w:p>
    <w:p>
      <w:pPr>
        <w:pStyle w:val="Heading5"/>
        <w:spacing w:line="242" w:lineRule="auto" w:before="8"/>
        <w:ind w:left="230" w:right="187"/>
      </w:pPr>
      <w:r>
        <w:rPr/>
        <w:br w:type="column"/>
      </w:r>
      <w:r>
        <w:rPr>
          <w:color w:val="231F20"/>
        </w:rPr>
        <w:t>rising during downturns. This happened in 1996, when manufacturing output growth was very slow. But price disappointment seems to have fallen during 1997, despite lower output price inflation. This may be a reflection of lower cost pressures in 1997 as the price of inputs and imported components fell. The balance of firms expecting to increase prices during the next four months in the latest CBI Survey was the lowest ever in a January survey.</w:t>
      </w:r>
    </w:p>
    <w:p>
      <w:pPr>
        <w:spacing w:after="0" w:line="242" w:lineRule="auto"/>
        <w:sectPr>
          <w:type w:val="continuous"/>
          <w:pgSz w:w="11880" w:h="16840"/>
          <w:pgMar w:top="1200" w:bottom="280" w:left="620" w:right="620"/>
          <w:cols w:num="3" w:equalWidth="0">
            <w:col w:w="3171" w:space="79"/>
            <w:col w:w="644" w:space="876"/>
            <w:col w:w="5870"/>
          </w:cols>
        </w:sectPr>
      </w:pPr>
    </w:p>
    <w:p>
      <w:pPr>
        <w:pStyle w:val="BodyText"/>
        <w:spacing w:before="10"/>
        <w:rPr>
          <w:sz w:val="13"/>
        </w:rPr>
      </w:pPr>
    </w:p>
    <w:p>
      <w:pPr>
        <w:spacing w:line="208" w:lineRule="auto" w:before="1"/>
        <w:ind w:left="420" w:right="698" w:hanging="240"/>
        <w:jc w:val="left"/>
        <w:rPr>
          <w:sz w:val="12"/>
        </w:rPr>
      </w:pPr>
      <w:r>
        <w:rPr>
          <w:color w:val="231F20"/>
          <w:sz w:val="12"/>
        </w:rPr>
        <w:t>(a) Four-quarter moving average of the balance of firms reporting increased prices during the past four months, minus the balance of firms in the previous survey expecting to increase prices </w:t>
      </w:r>
      <w:r>
        <w:rPr>
          <w:color w:val="231F20"/>
          <w:spacing w:val="-3"/>
          <w:sz w:val="12"/>
        </w:rPr>
        <w:t>during </w:t>
      </w:r>
      <w:r>
        <w:rPr>
          <w:color w:val="231F20"/>
          <w:sz w:val="12"/>
        </w:rPr>
        <w:t>the next four months.</w:t>
      </w:r>
    </w:p>
    <w:p>
      <w:pPr>
        <w:pStyle w:val="BodyText"/>
        <w:rPr>
          <w:sz w:val="12"/>
        </w:rPr>
      </w:pPr>
    </w:p>
    <w:p>
      <w:pPr>
        <w:pStyle w:val="BodyText"/>
        <w:rPr>
          <w:sz w:val="12"/>
        </w:rPr>
      </w:pPr>
    </w:p>
    <w:p>
      <w:pPr>
        <w:pStyle w:val="BodyText"/>
        <w:rPr>
          <w:sz w:val="12"/>
        </w:rPr>
      </w:pPr>
    </w:p>
    <w:p>
      <w:pPr>
        <w:pStyle w:val="Heading9"/>
        <w:spacing w:before="92"/>
      </w:pPr>
      <w:r>
        <w:rPr>
          <w:color w:val="0093C1"/>
        </w:rPr>
        <w:t>Table 4.C</w:t>
      </w:r>
    </w:p>
    <w:p>
      <w:pPr>
        <w:spacing w:line="249" w:lineRule="auto" w:before="10"/>
        <w:ind w:left="200" w:right="302" w:firstLine="0"/>
        <w:jc w:val="left"/>
        <w:rPr>
          <w:b/>
          <w:sz w:val="20"/>
        </w:rPr>
      </w:pPr>
      <w:r>
        <w:rPr>
          <w:b/>
          <w:color w:val="0093C1"/>
          <w:sz w:val="20"/>
        </w:rPr>
        <w:t>Rates of change of manufacturers’ costs and prices</w:t>
      </w:r>
    </w:p>
    <w:p>
      <w:pPr>
        <w:spacing w:before="98"/>
        <w:ind w:left="200" w:right="0" w:firstLine="0"/>
        <w:jc w:val="left"/>
        <w:rPr>
          <w:sz w:val="14"/>
        </w:rPr>
      </w:pPr>
      <w:r>
        <w:rPr>
          <w:color w:val="231F20"/>
          <w:sz w:val="14"/>
        </w:rPr>
        <w:t>Percentage changes in the periods shown, except where noted</w:t>
      </w:r>
    </w:p>
    <w:p>
      <w:pPr>
        <w:tabs>
          <w:tab w:pos="4259" w:val="left" w:leader="none"/>
        </w:tabs>
        <w:spacing w:line="146" w:lineRule="exact" w:before="119"/>
        <w:ind w:left="1639" w:right="0" w:firstLine="0"/>
        <w:jc w:val="left"/>
        <w:rPr>
          <w:sz w:val="14"/>
        </w:rPr>
      </w:pPr>
      <w:r>
        <w:rPr>
          <w:color w:val="231F20"/>
          <w:sz w:val="14"/>
        </w:rPr>
        <w:t>1996      1997    </w:t>
      </w:r>
      <w:r>
        <w:rPr>
          <w:color w:val="231F20"/>
          <w:spacing w:val="15"/>
          <w:sz w:val="14"/>
        </w:rPr>
        <w:t> </w:t>
      </w:r>
      <w:r>
        <w:rPr>
          <w:color w:val="231F20"/>
          <w:sz w:val="14"/>
          <w:u w:val="single" w:color="231F20"/>
        </w:rPr>
        <w:t>1997</w:t>
        <w:tab/>
      </w:r>
    </w:p>
    <w:p>
      <w:pPr>
        <w:pStyle w:val="BodyText"/>
        <w:spacing w:before="4"/>
        <w:rPr>
          <w:sz w:val="29"/>
        </w:rPr>
      </w:pPr>
      <w:r>
        <w:rPr/>
        <w:br w:type="column"/>
      </w:r>
      <w:r>
        <w:rPr>
          <w:sz w:val="29"/>
        </w:rPr>
      </w:r>
    </w:p>
    <w:p>
      <w:pPr>
        <w:spacing w:before="0"/>
        <w:ind w:left="180" w:right="0" w:firstLine="0"/>
        <w:jc w:val="left"/>
        <w:rPr>
          <w:i/>
          <w:sz w:val="24"/>
        </w:rPr>
      </w:pPr>
      <w:r>
        <w:rPr>
          <w:i/>
          <w:color w:val="009483"/>
          <w:sz w:val="24"/>
        </w:rPr>
        <w:t>Pricing in the manufacturing sector</w:t>
      </w:r>
    </w:p>
    <w:p>
      <w:pPr>
        <w:spacing w:line="280" w:lineRule="atLeast" w:before="160"/>
        <w:ind w:left="180" w:right="68" w:firstLine="0"/>
        <w:jc w:val="left"/>
        <w:rPr>
          <w:sz w:val="24"/>
        </w:rPr>
      </w:pPr>
      <w:r>
        <w:rPr>
          <w:color w:val="231F20"/>
          <w:sz w:val="24"/>
        </w:rPr>
        <w:t>Manufacturers’ margins on domestic sales probably widened in 1997, as weighted costs fell while output prices rose (see Table 4.C). By contrast, margins on export sales appear to have narrowed significantly since the start of 1996, as export prices have been cut by more than the fall in costs during this period. This reduction</w:t>
      </w:r>
    </w:p>
    <w:p>
      <w:pPr>
        <w:spacing w:after="0" w:line="280" w:lineRule="atLeast"/>
        <w:jc w:val="left"/>
        <w:rPr>
          <w:sz w:val="24"/>
        </w:rPr>
        <w:sectPr>
          <w:type w:val="continuous"/>
          <w:pgSz w:w="11880" w:h="16840"/>
          <w:pgMar w:top="1200" w:bottom="280" w:left="620" w:right="620"/>
          <w:cols w:num="2" w:equalWidth="0">
            <w:col w:w="4300" w:space="520"/>
            <w:col w:w="5820"/>
          </w:cols>
        </w:sectPr>
      </w:pPr>
    </w:p>
    <w:p>
      <w:pPr>
        <w:pStyle w:val="BodyText"/>
        <w:spacing w:before="2"/>
      </w:pPr>
    </w:p>
    <w:p>
      <w:pPr>
        <w:spacing w:line="85" w:lineRule="exact" w:before="0"/>
        <w:ind w:left="199" w:right="0" w:firstLine="0"/>
        <w:jc w:val="left"/>
        <w:rPr>
          <w:b/>
          <w:sz w:val="14"/>
        </w:rPr>
      </w:pPr>
      <w:r>
        <w:rPr>
          <w:b/>
          <w:color w:val="231F20"/>
          <w:sz w:val="14"/>
        </w:rPr>
        <w:t>Unit costs</w:t>
      </w:r>
    </w:p>
    <w:p>
      <w:pPr>
        <w:tabs>
          <w:tab w:pos="449" w:val="left" w:leader="none"/>
          <w:tab w:pos="689" w:val="left" w:leader="none"/>
          <w:tab w:pos="939" w:val="left" w:leader="none"/>
          <w:tab w:pos="1149" w:val="left" w:leader="none"/>
          <w:tab w:pos="1629" w:val="left" w:leader="none"/>
          <w:tab w:pos="2109" w:val="left" w:leader="none"/>
          <w:tab w:pos="2589" w:val="left" w:leader="none"/>
        </w:tabs>
        <w:spacing w:line="91" w:lineRule="exact" w:before="0"/>
        <w:ind w:left="199" w:right="0" w:firstLine="0"/>
        <w:jc w:val="left"/>
        <w:rPr>
          <w:sz w:val="14"/>
        </w:rPr>
      </w:pPr>
      <w:r>
        <w:rPr/>
        <w:br w:type="column"/>
      </w:r>
      <w:r>
        <w:rPr>
          <w:color w:val="231F20"/>
          <w:sz w:val="14"/>
          <w:u w:val="single" w:color="231F20"/>
        </w:rPr>
        <w:t> </w:t>
        <w:tab/>
      </w:r>
      <w:r>
        <w:rPr>
          <w:color w:val="231F20"/>
          <w:sz w:val="14"/>
        </w:rPr>
        <w:tab/>
      </w:r>
      <w:r>
        <w:rPr>
          <w:color w:val="231F20"/>
          <w:sz w:val="14"/>
          <w:u w:val="single" w:color="231F20"/>
        </w:rPr>
        <w:t> </w:t>
        <w:tab/>
      </w:r>
      <w:r>
        <w:rPr>
          <w:color w:val="231F20"/>
          <w:sz w:val="14"/>
        </w:rPr>
        <w:tab/>
      </w:r>
      <w:r>
        <w:rPr>
          <w:color w:val="231F20"/>
          <w:sz w:val="14"/>
          <w:u w:val="single" w:color="231F20"/>
        </w:rPr>
        <w:t>Q1</w:t>
      </w:r>
      <w:r>
        <w:rPr>
          <w:color w:val="231F20"/>
          <w:sz w:val="14"/>
        </w:rPr>
        <w:tab/>
        <w:t>Q2</w:t>
        <w:tab/>
        <w:t>Q3</w:t>
        <w:tab/>
        <w:t>Q4</w:t>
      </w:r>
    </w:p>
    <w:p>
      <w:pPr>
        <w:tabs>
          <w:tab w:pos="2097" w:val="left" w:leader="none"/>
          <w:tab w:pos="2587" w:val="left" w:leader="none"/>
        </w:tabs>
        <w:spacing w:line="20" w:lineRule="exact"/>
        <w:ind w:left="1627" w:right="-44" w:firstLine="0"/>
        <w:rPr>
          <w:sz w:val="2"/>
        </w:rPr>
      </w:pPr>
      <w:r>
        <w:rPr>
          <w:sz w:val="2"/>
        </w:rPr>
        <w:pict>
          <v:group style="width:9pt;height:.15pt;mso-position-horizontal-relative:char;mso-position-vertical-relative:line" coordorigin="0,0" coordsize="180,3">
            <v:line style="position:absolute" from="0,1" to="180,1" stroked="true" strokeweight=".125pt" strokecolor="#231f20">
              <v:stroke dashstyle="solid"/>
            </v:line>
          </v:group>
        </w:pict>
      </w:r>
      <w:r>
        <w:rPr>
          <w:sz w:val="2"/>
        </w:rPr>
      </w:r>
      <w:r>
        <w:rPr>
          <w:sz w:val="2"/>
        </w:rPr>
        <w:tab/>
      </w:r>
      <w:r>
        <w:rPr>
          <w:sz w:val="2"/>
        </w:rPr>
        <w:pict>
          <v:group style="width:9pt;height:.15pt;mso-position-horizontal-relative:char;mso-position-vertical-relative:line" coordorigin="0,0" coordsize="180,3">
            <v:line style="position:absolute" from="0,1" to="180,1" stroked="true" strokeweight=".125pt" strokecolor="#231f20">
              <v:stroke dashstyle="solid"/>
            </v:line>
          </v:group>
        </w:pict>
      </w:r>
      <w:r>
        <w:rPr>
          <w:sz w:val="2"/>
        </w:rPr>
      </w:r>
      <w:r>
        <w:rPr>
          <w:sz w:val="2"/>
        </w:rPr>
        <w:tab/>
      </w:r>
      <w:r>
        <w:rPr>
          <w:sz w:val="2"/>
        </w:rPr>
        <w:pict>
          <v:group style="width:9pt;height:.15pt;mso-position-horizontal-relative:char;mso-position-vertical-relative:line" coordorigin="0,0" coordsize="180,3">
            <v:line style="position:absolute" from="0,1" to="180,1" stroked="true" strokeweight=".125pt" strokecolor="#231f20">
              <v:stroke dashstyle="solid"/>
            </v:line>
          </v:group>
        </w:pict>
      </w:r>
      <w:r>
        <w:rPr>
          <w:sz w:val="2"/>
        </w:rPr>
      </w:r>
    </w:p>
    <w:p>
      <w:pPr>
        <w:pStyle w:val="Heading5"/>
        <w:spacing w:before="4"/>
        <w:ind w:left="199"/>
      </w:pPr>
      <w:r>
        <w:rPr/>
        <w:br w:type="column"/>
      </w:r>
      <w:r>
        <w:rPr>
          <w:color w:val="231F20"/>
        </w:rPr>
        <w:t>in margins on export sales partly explains why export</w:t>
      </w:r>
    </w:p>
    <w:p>
      <w:pPr>
        <w:spacing w:after="0"/>
        <w:sectPr>
          <w:type w:val="continuous"/>
          <w:pgSz w:w="11880" w:h="16840"/>
          <w:pgMar w:top="1200" w:bottom="280" w:left="620" w:right="620"/>
          <w:cols w:num="3" w:equalWidth="0">
            <w:col w:w="828" w:space="622"/>
            <w:col w:w="2801" w:space="549"/>
            <w:col w:w="5840"/>
          </w:cols>
        </w:sectPr>
      </w:pPr>
    </w:p>
    <w:p>
      <w:pPr>
        <w:tabs>
          <w:tab w:pos="1640" w:val="left" w:leader="none"/>
          <w:tab w:pos="2155" w:val="left" w:leader="none"/>
          <w:tab w:pos="2635" w:val="left" w:leader="none"/>
          <w:tab w:pos="3115" w:val="left" w:leader="none"/>
          <w:tab w:pos="3595" w:val="left" w:leader="none"/>
          <w:tab w:pos="4250" w:val="right" w:leader="none"/>
        </w:tabs>
        <w:spacing w:line="150" w:lineRule="exact" w:before="55"/>
        <w:ind w:left="199" w:right="0" w:firstLine="0"/>
        <w:jc w:val="left"/>
        <w:rPr>
          <w:sz w:val="14"/>
        </w:rPr>
      </w:pPr>
      <w:r>
        <w:rPr>
          <w:color w:val="231F20"/>
          <w:sz w:val="14"/>
        </w:rPr>
        <w:t>Unit labour costs</w:t>
        <w:tab/>
        <w:t>5.6</w:t>
        <w:tab/>
        <w:t>2.3</w:t>
        <w:tab/>
        <w:t>0.0</w:t>
        <w:tab/>
        <w:t>0.3</w:t>
        <w:tab/>
        <w:t>0.2</w:t>
        <w:tab/>
        <w:t>2.3</w:t>
      </w:r>
    </w:p>
    <w:p>
      <w:pPr>
        <w:spacing w:line="208" w:lineRule="auto" w:before="7"/>
        <w:ind w:left="269" w:right="2641" w:hanging="70"/>
        <w:jc w:val="left"/>
        <w:rPr>
          <w:sz w:val="14"/>
        </w:rPr>
      </w:pPr>
      <w:r>
        <w:rPr>
          <w:color w:val="231F20"/>
          <w:sz w:val="14"/>
        </w:rPr>
        <w:t>Materials and fuels (including semi-finished</w:t>
      </w:r>
    </w:p>
    <w:p>
      <w:pPr>
        <w:tabs>
          <w:tab w:pos="2120" w:val="left" w:leader="none"/>
          <w:tab w:pos="2600" w:val="left" w:leader="none"/>
          <w:tab w:pos="3080" w:val="left" w:leader="none"/>
          <w:tab w:pos="3560" w:val="left" w:leader="none"/>
          <w:tab w:pos="4040" w:val="left" w:leader="none"/>
        </w:tabs>
        <w:spacing w:line="208" w:lineRule="auto" w:before="0"/>
        <w:ind w:left="199" w:right="38" w:firstLine="70"/>
        <w:jc w:val="left"/>
        <w:rPr>
          <w:sz w:val="14"/>
        </w:rPr>
      </w:pPr>
      <w:r>
        <w:rPr>
          <w:color w:val="231F20"/>
          <w:sz w:val="14"/>
        </w:rPr>
        <w:t>manufactured imports) </w:t>
      </w:r>
      <w:r>
        <w:rPr>
          <w:color w:val="231F20"/>
          <w:spacing w:val="21"/>
          <w:sz w:val="14"/>
        </w:rPr>
        <w:t> </w:t>
      </w:r>
      <w:r>
        <w:rPr>
          <w:color w:val="231F20"/>
          <w:sz w:val="14"/>
        </w:rPr>
        <w:t>3.9</w:t>
        <w:tab/>
        <w:t>-6.7</w:t>
        <w:tab/>
        <w:t>-2.2</w:t>
        <w:tab/>
        <w:t>-1.6</w:t>
        <w:tab/>
        <w:t>-0.8</w:t>
        <w:tab/>
      </w:r>
      <w:r>
        <w:rPr>
          <w:color w:val="231F20"/>
          <w:spacing w:val="-5"/>
          <w:sz w:val="14"/>
        </w:rPr>
        <w:t>-1.0 </w:t>
      </w:r>
      <w:r>
        <w:rPr>
          <w:color w:val="231F20"/>
          <w:sz w:val="14"/>
        </w:rPr>
        <w:t>Imports of finished</w:t>
      </w:r>
    </w:p>
    <w:p>
      <w:pPr>
        <w:tabs>
          <w:tab w:pos="1639" w:val="left" w:leader="none"/>
          <w:tab w:pos="2120" w:val="left" w:leader="none"/>
          <w:tab w:pos="2600" w:val="left" w:leader="none"/>
          <w:tab w:pos="3080" w:val="left" w:leader="none"/>
          <w:tab w:pos="3560" w:val="left" w:leader="none"/>
          <w:tab w:pos="4250" w:val="right" w:leader="none"/>
        </w:tabs>
        <w:spacing w:line="133" w:lineRule="exact" w:before="0"/>
        <w:ind w:left="269" w:right="0" w:firstLine="0"/>
        <w:jc w:val="left"/>
        <w:rPr>
          <w:sz w:val="14"/>
        </w:rPr>
      </w:pPr>
      <w:r>
        <w:rPr>
          <w:color w:val="231F20"/>
          <w:sz w:val="14"/>
        </w:rPr>
        <w:t>manufactures</w:t>
        <w:tab/>
        <w:t>0.8</w:t>
        <w:tab/>
        <w:t>-4.9</w:t>
        <w:tab/>
        <w:t>-1.6</w:t>
        <w:tab/>
        <w:t>-2.2</w:t>
        <w:tab/>
        <w:t>-1.2</w:t>
        <w:tab/>
        <w:t>0.1</w:t>
      </w:r>
    </w:p>
    <w:p>
      <w:pPr>
        <w:tabs>
          <w:tab w:pos="1640" w:val="left" w:leader="none"/>
          <w:tab w:pos="2155" w:val="left" w:leader="none"/>
          <w:tab w:pos="2635" w:val="left" w:leader="none"/>
          <w:tab w:pos="3115" w:val="left" w:leader="none"/>
          <w:tab w:pos="3595" w:val="left" w:leader="none"/>
          <w:tab w:pos="4250" w:val="right" w:leader="none"/>
        </w:tabs>
        <w:spacing w:line="150" w:lineRule="exact" w:before="0"/>
        <w:ind w:left="199" w:right="0" w:firstLine="0"/>
        <w:jc w:val="left"/>
        <w:rPr>
          <w:sz w:val="14"/>
        </w:rPr>
      </w:pPr>
      <w:r>
        <w:rPr>
          <w:color w:val="231F20"/>
          <w:sz w:val="14"/>
        </w:rPr>
        <w:t>Services</w:t>
        <w:tab/>
        <w:t>2.7</w:t>
        <w:tab/>
        <w:t>2.6</w:t>
        <w:tab/>
        <w:t>0.3</w:t>
        <w:tab/>
        <w:t>0.7</w:t>
        <w:tab/>
        <w:t>0.8</w:t>
        <w:tab/>
        <w:t>0.6</w:t>
      </w:r>
    </w:p>
    <w:p>
      <w:pPr>
        <w:tabs>
          <w:tab w:pos="1639" w:val="left" w:leader="none"/>
          <w:tab w:pos="2119" w:val="left" w:leader="none"/>
          <w:tab w:pos="2600" w:val="left" w:leader="none"/>
          <w:tab w:pos="3080" w:val="left" w:leader="none"/>
          <w:tab w:pos="3595" w:val="left" w:leader="none"/>
          <w:tab w:pos="4250" w:val="right" w:leader="none"/>
        </w:tabs>
        <w:spacing w:before="119"/>
        <w:ind w:left="199" w:right="0" w:firstLine="0"/>
        <w:jc w:val="left"/>
        <w:rPr>
          <w:sz w:val="14"/>
        </w:rPr>
      </w:pPr>
      <w:r>
        <w:rPr>
          <w:b/>
          <w:color w:val="231F20"/>
          <w:sz w:val="14"/>
        </w:rPr>
        <w:t>Weighted costs</w:t>
        <w:tab/>
      </w:r>
      <w:r>
        <w:rPr>
          <w:color w:val="231F20"/>
          <w:sz w:val="14"/>
        </w:rPr>
        <w:t>2.3</w:t>
        <w:tab/>
        <w:t>-0.4</w:t>
        <w:tab/>
        <w:t>-0.6</w:t>
        <w:tab/>
        <w:t>-0.3</w:t>
        <w:tab/>
        <w:t>0.0</w:t>
        <w:tab/>
        <w:t>1.1</w:t>
      </w:r>
    </w:p>
    <w:p>
      <w:pPr>
        <w:tabs>
          <w:tab w:pos="1639" w:val="left" w:leader="none"/>
          <w:tab w:pos="2154" w:val="left" w:leader="none"/>
          <w:tab w:pos="2635" w:val="left" w:leader="none"/>
          <w:tab w:pos="3115" w:val="left" w:leader="none"/>
          <w:tab w:pos="3595" w:val="left" w:leader="none"/>
          <w:tab w:pos="4250" w:val="right" w:leader="none"/>
        </w:tabs>
        <w:spacing w:before="119"/>
        <w:ind w:left="199" w:right="0" w:firstLine="0"/>
        <w:jc w:val="left"/>
        <w:rPr>
          <w:sz w:val="14"/>
        </w:rPr>
      </w:pPr>
      <w:r>
        <w:rPr>
          <w:b/>
          <w:color w:val="231F20"/>
          <w:sz w:val="14"/>
        </w:rPr>
        <w:t>Output prices</w:t>
      </w:r>
      <w:r>
        <w:rPr>
          <w:b/>
          <w:color w:val="231F20"/>
          <w:spacing w:val="-1"/>
          <w:sz w:val="14"/>
        </w:rPr>
        <w:t> </w:t>
      </w:r>
      <w:r>
        <w:rPr>
          <w:color w:val="231F20"/>
          <w:sz w:val="12"/>
        </w:rPr>
        <w:t>(a)</w:t>
        <w:tab/>
      </w:r>
      <w:r>
        <w:rPr>
          <w:color w:val="231F20"/>
          <w:sz w:val="14"/>
        </w:rPr>
        <w:t>1.9</w:t>
        <w:tab/>
        <w:t>0.6</w:t>
        <w:tab/>
        <w:t>0.1</w:t>
        <w:tab/>
        <w:t>0.2</w:t>
        <w:tab/>
        <w:t>0.2</w:t>
        <w:tab/>
        <w:t>0.3</w:t>
      </w:r>
    </w:p>
    <w:p>
      <w:pPr>
        <w:spacing w:before="98"/>
        <w:ind w:left="200" w:right="0" w:firstLine="0"/>
        <w:jc w:val="left"/>
        <w:rPr>
          <w:sz w:val="12"/>
        </w:rPr>
      </w:pPr>
      <w:r>
        <w:rPr>
          <w:color w:val="231F20"/>
          <w:sz w:val="12"/>
        </w:rPr>
        <w:t>Sources: ONS and Bank of England.</w:t>
      </w:r>
    </w:p>
    <w:p>
      <w:pPr>
        <w:spacing w:before="102"/>
        <w:ind w:left="200" w:right="0" w:firstLine="0"/>
        <w:jc w:val="left"/>
        <w:rPr>
          <w:sz w:val="12"/>
        </w:rPr>
      </w:pPr>
      <w:r>
        <w:rPr>
          <w:color w:val="231F20"/>
          <w:sz w:val="12"/>
        </w:rPr>
        <w:t>(a) Domestic sales.</w:t>
      </w:r>
    </w:p>
    <w:p>
      <w:pPr>
        <w:pStyle w:val="BodyText"/>
        <w:rPr>
          <w:sz w:val="12"/>
        </w:rPr>
      </w:pPr>
    </w:p>
    <w:p>
      <w:pPr>
        <w:pStyle w:val="BodyText"/>
        <w:rPr>
          <w:sz w:val="12"/>
        </w:rPr>
      </w:pPr>
    </w:p>
    <w:p>
      <w:pPr>
        <w:pStyle w:val="BodyText"/>
        <w:spacing w:before="7"/>
        <w:rPr>
          <w:sz w:val="17"/>
        </w:rPr>
      </w:pPr>
    </w:p>
    <w:p>
      <w:pPr>
        <w:pStyle w:val="Heading9"/>
        <w:spacing w:line="249" w:lineRule="auto" w:before="0"/>
        <w:ind w:left="160" w:right="3245"/>
        <w:rPr>
          <w:b w:val="0"/>
          <w:sz w:val="12"/>
        </w:rPr>
      </w:pPr>
      <w:r>
        <w:rPr>
          <w:color w:val="0093C1"/>
        </w:rPr>
        <w:t>Chart 4.5 Inflation</w:t>
      </w:r>
      <w:r>
        <w:rPr>
          <w:b w:val="0"/>
          <w:color w:val="231F20"/>
          <w:position w:val="4"/>
          <w:sz w:val="12"/>
        </w:rPr>
        <w:t>(a)</w:t>
      </w:r>
    </w:p>
    <w:p>
      <w:pPr>
        <w:spacing w:before="112"/>
        <w:ind w:left="1810" w:right="0" w:firstLine="0"/>
        <w:jc w:val="left"/>
        <w:rPr>
          <w:sz w:val="12"/>
        </w:rPr>
      </w:pPr>
      <w:r>
        <w:rPr/>
        <w:pict>
          <v:line style="position:absolute;mso-position-horizontal-relative:page;mso-position-vertical-relative:paragraph;z-index:15975424" from="43pt,13.368555pt" to="38pt,13.368555pt" stroked="true" strokeweight=".5pt" strokecolor="#000000">
            <v:stroke dashstyle="solid"/>
            <w10:wrap type="none"/>
          </v:line>
        </w:pict>
      </w:r>
      <w:r>
        <w:rPr/>
        <w:pict>
          <v:group style="position:absolute;margin-left:47.5pt;margin-top:14.868555pt;width:152pt;height:119pt;mso-position-horizontal-relative:page;mso-position-vertical-relative:paragraph;z-index:15976960" coordorigin="950,297" coordsize="3040,2380">
            <v:shape style="position:absolute;left:960;top:1107;width:3020;height:1560" coordorigin="960,1107" coordsize="3020,1560" path="m960,1207l1000,1207,1060,1267,1100,1127,1140,1107,1180,1327,1260,1487,1300,1487,1340,1507,1380,1767,1440,1987,1480,2427,1520,2367,1560,2327,1600,2627,1640,2627,1680,2667,1720,2587,1780,2407,1820,2387,1860,2587,1900,2587,1940,2307,1980,2047,2060,2127,2100,1987,2160,2007,2200,1967,2240,2107,2280,2087,2320,2187,2360,2087,2400,1967,2440,1827,2500,1607,2580,1487,2620,1607,2660,1547,2700,1507,2740,1507,2800,1487,2840,1347,2880,1687,2920,1727,2960,1667,3000,1847,3040,1947,3080,1967,3120,2067,3160,2207,3220,2207,3260,2167,3300,2207,3340,2227,3380,1947,3420,1907,3460,2047,3500,1887,3560,1927,3600,1987,3640,2067,3680,1967,3720,1807,3760,1607,3800,1507,3840,1487,3880,1427,3940,1427,3980,1467e" filled="false" stroked="true" strokeweight="1pt" strokecolor="#0066a5">
              <v:path arrowok="t"/>
              <v:stroke dashstyle="solid"/>
            </v:shape>
            <v:shape style="position:absolute;left:960;top:407;width:3020;height:1880" coordorigin="960,407" coordsize="3020,1880" path="m960,447l1000,467,1060,407,1100,407,1140,627,1180,867,1220,1067,1260,1187,1340,1347,1380,1467,1440,1447,1480,1667,1520,1587,1560,1527,1600,1847,1640,1847,1680,1887,1720,1847,1780,1707,1820,1647,1860,1867,1900,2007,1940,1947,1980,1847,2020,1867,2060,2067,2100,2107,2160,2027,2200,2067,2240,2167,2280,2147,2320,2247,2360,2287,2400,2147,2440,2047,2500,1887,2540,1907,2580,1827,2620,1927,2660,1927,2700,1847,2740,1887,2800,1827,2840,1727,2880,1827,2920,1827,2960,1807,3000,1867,3040,1867,3080,1847,3120,1847,3160,1887,3220,1887,3260,1847,3300,1867,3340,1807,3380,1627,3420,1627,3460,1747,3500,1727,3560,1847,3600,1947,3640,2027,3680,2027,3720,1927,3760,1787,3800,1867,3840,1907,3880,1867,3940,1887,3980,1927e" filled="false" stroked="true" strokeweight="1pt" strokecolor="#ed1b2d">
              <v:path arrowok="t"/>
              <v:stroke dashstyle="solid"/>
            </v:shape>
            <v:shape style="position:absolute;left:960;top:307;width:3020;height:2360" coordorigin="960,307" coordsize="3020,2360" path="m960,347l1000,427,1060,307,1100,627,1140,807,1180,1047,1220,1227,1260,1507,1300,1567,1340,1647,1380,1807,1440,1767,1480,1987,1520,1847,1560,1827,1600,1787,1640,1807,1680,1907,1720,1867,1780,1607,1820,1547,1860,1847,1900,1987,1940,2187,1980,2067,2020,2147,2060,2347,2100,2447,2160,2467,2200,2427,2240,2567,2280,2567,2320,2647,2360,2667,2400,2567,2440,2387,2500,2347,2540,2347,2580,2287,2620,2247,2660,2187,2700,2147,2740,2147,2800,2047,2840,1967,2880,2087,2920,2087,2960,2047,3040,2047,3080,2027,3120,1987,3160,2107,3220,2107,3300,2067,3340,2007,3380,1807,3420,1767,3460,1947,3500,1907,3560,2007,3600,2127,3640,2307,3680,2307,3720,2167,3760,2167,3800,2227,3840,2267,3880,2167,3940,2207,3980,2187e" filled="false" stroked="true" strokeweight="1pt" strokecolor="#95459a">
              <v:path arrowok="t"/>
              <v:stroke dashstyle="solid"/>
            </v:shape>
            <v:shape style="position:absolute;left:2503;top:1350;width:294;height:473" type="#_x0000_t202" filled="false" stroked="false">
              <v:textbox inset="0,0,0,0">
                <w:txbxContent>
                  <w:p>
                    <w:pPr>
                      <w:spacing w:line="133" w:lineRule="exact" w:before="0"/>
                      <w:ind w:left="0" w:right="0" w:firstLine="0"/>
                      <w:jc w:val="left"/>
                      <w:rPr>
                        <w:sz w:val="12"/>
                      </w:rPr>
                    </w:pPr>
                    <w:r>
                      <w:rPr>
                        <w:sz w:val="12"/>
                      </w:rPr>
                      <w:t>RPI</w:t>
                    </w:r>
                  </w:p>
                  <w:p>
                    <w:pPr>
                      <w:spacing w:line="240" w:lineRule="auto" w:before="6"/>
                      <w:rPr>
                        <w:sz w:val="17"/>
                      </w:rPr>
                    </w:pPr>
                  </w:p>
                  <w:p>
                    <w:pPr>
                      <w:spacing w:before="0"/>
                      <w:ind w:left="0" w:right="0" w:firstLine="0"/>
                      <w:jc w:val="left"/>
                      <w:rPr>
                        <w:sz w:val="12"/>
                      </w:rPr>
                    </w:pPr>
                    <w:r>
                      <w:rPr>
                        <w:sz w:val="12"/>
                      </w:rPr>
                      <w:t>RPIX</w:t>
                    </w:r>
                  </w:p>
                </w:txbxContent>
              </v:textbox>
              <w10:wrap type="none"/>
            </v:shape>
            <v:shape style="position:absolute;left:2470;top:2370;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Percentage changes on a year earl</w:t>
      </w:r>
      <w:r>
        <w:rPr>
          <w:sz w:val="12"/>
          <w:u w:val="single"/>
        </w:rPr>
        <w:t>ier</w:t>
      </w:r>
      <w:r>
        <w:rPr>
          <w:sz w:val="12"/>
        </w:rPr>
        <w:t> </w:t>
      </w:r>
      <w:r>
        <w:rPr>
          <w:position w:val="-6"/>
          <w:sz w:val="12"/>
        </w:rPr>
        <w:t>6</w:t>
      </w:r>
    </w:p>
    <w:p>
      <w:pPr>
        <w:pStyle w:val="BodyText"/>
        <w:rPr>
          <w:sz w:val="20"/>
        </w:rPr>
      </w:pPr>
    </w:p>
    <w:p>
      <w:pPr>
        <w:spacing w:before="135"/>
        <w:ind w:left="0" w:right="610" w:firstLine="0"/>
        <w:jc w:val="right"/>
        <w:rPr>
          <w:sz w:val="12"/>
        </w:rPr>
      </w:pPr>
      <w:r>
        <w:rPr/>
        <w:pict>
          <v:line style="position:absolute;mso-position-horizontal-relative:page;mso-position-vertical-relative:paragraph;z-index:15974912" from="43pt,10.851563pt" to="38pt,10.851563pt" stroked="true" strokeweight=".5pt" strokecolor="#000000">
            <v:stroke dashstyle="solid"/>
            <w10:wrap type="none"/>
          </v:line>
        </w:pict>
      </w:r>
      <w:r>
        <w:rPr/>
        <w:pict>
          <v:line style="position:absolute;mso-position-horizontal-relative:page;mso-position-vertical-relative:paragraph;z-index:15980032" from="209pt,10.851563pt" to="204pt,10.851563pt" stroked="true" strokeweight=".5pt" strokecolor="#000000">
            <v:stroke dashstyle="solid"/>
            <w10:wrap type="none"/>
          </v:line>
        </w:pict>
      </w:r>
      <w:r>
        <w:rPr>
          <w:sz w:val="12"/>
        </w:rPr>
        <w:t>5</w:t>
      </w:r>
    </w:p>
    <w:p>
      <w:pPr>
        <w:pStyle w:val="BodyText"/>
        <w:rPr>
          <w:sz w:val="12"/>
        </w:rPr>
      </w:pPr>
    </w:p>
    <w:p>
      <w:pPr>
        <w:pStyle w:val="BodyText"/>
        <w:rPr>
          <w:sz w:val="12"/>
        </w:rPr>
      </w:pPr>
    </w:p>
    <w:p>
      <w:pPr>
        <w:spacing w:before="86"/>
        <w:ind w:left="0" w:right="610" w:firstLine="0"/>
        <w:jc w:val="right"/>
        <w:rPr>
          <w:sz w:val="12"/>
        </w:rPr>
      </w:pPr>
      <w:r>
        <w:rPr/>
        <w:pict>
          <v:line style="position:absolute;mso-position-horizontal-relative:page;mso-position-vertical-relative:paragraph;z-index:15974400" from="43pt,8.401563pt" to="38pt,8.401563pt" stroked="true" strokeweight=".5pt" strokecolor="#000000">
            <v:stroke dashstyle="solid"/>
            <w10:wrap type="none"/>
          </v:line>
        </w:pict>
      </w:r>
      <w:r>
        <w:rPr/>
        <w:pict>
          <v:line style="position:absolute;mso-position-horizontal-relative:page;mso-position-vertical-relative:paragraph;z-index:15979520" from="209pt,8.401563pt" to="204pt,8.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610" w:firstLine="0"/>
        <w:jc w:val="right"/>
        <w:rPr>
          <w:sz w:val="12"/>
        </w:rPr>
      </w:pPr>
      <w:r>
        <w:rPr/>
        <w:pict>
          <v:line style="position:absolute;mso-position-horizontal-relative:page;mso-position-vertical-relative:paragraph;z-index:15973888" from="43pt,8.401563pt" to="38pt,8.401563pt" stroked="true" strokeweight=".5pt" strokecolor="#000000">
            <v:stroke dashstyle="solid"/>
            <w10:wrap type="none"/>
          </v:line>
        </w:pict>
      </w:r>
      <w:r>
        <w:rPr/>
        <w:pict>
          <v:line style="position:absolute;mso-position-horizontal-relative:page;mso-position-vertical-relative:paragraph;z-index:15979008" from="209pt,8.401563pt" to="204pt,8.401563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11"/>
        <w:rPr>
          <w:sz w:val="10"/>
        </w:rPr>
      </w:pPr>
    </w:p>
    <w:p>
      <w:pPr>
        <w:spacing w:before="0"/>
        <w:ind w:left="0" w:right="610" w:firstLine="0"/>
        <w:jc w:val="right"/>
        <w:rPr>
          <w:sz w:val="12"/>
        </w:rPr>
      </w:pPr>
      <w:r>
        <w:rPr/>
        <w:pict>
          <v:line style="position:absolute;mso-position-horizontal-relative:page;mso-position-vertical-relative:paragraph;z-index:15973376" from="43pt,3.101563pt" to="38pt,3.101563pt" stroked="true" strokeweight=".5pt" strokecolor="#000000">
            <v:stroke dashstyle="solid"/>
            <w10:wrap type="none"/>
          </v:line>
        </w:pict>
      </w:r>
      <w:r>
        <w:rPr/>
        <w:pict>
          <v:line style="position:absolute;mso-position-horizontal-relative:page;mso-position-vertical-relative:paragraph;z-index:15978496" from="209pt,3.101563pt" to="204pt,3.101563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0" w:right="610" w:firstLine="0"/>
        <w:jc w:val="right"/>
        <w:rPr>
          <w:sz w:val="12"/>
        </w:rPr>
      </w:pPr>
      <w:r>
        <w:rPr/>
        <w:pict>
          <v:line style="position:absolute;mso-position-horizontal-relative:page;mso-position-vertical-relative:paragraph;z-index:15972864" from="43pt,7.401563pt" to="38pt,7.401563pt" stroked="true" strokeweight=".5pt" strokecolor="#000000">
            <v:stroke dashstyle="solid"/>
            <w10:wrap type="none"/>
          </v:line>
        </w:pict>
      </w:r>
      <w:r>
        <w:rPr/>
        <w:pict>
          <v:line style="position:absolute;mso-position-horizontal-relative:page;mso-position-vertical-relative:paragraph;z-index:15977984" from="209pt,7.401563pt" to="204pt,7.40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116" w:lineRule="exact" w:before="86"/>
        <w:ind w:left="3630" w:right="0" w:firstLine="0"/>
        <w:jc w:val="left"/>
        <w:rPr>
          <w:sz w:val="12"/>
        </w:rPr>
      </w:pPr>
      <w:r>
        <w:rPr/>
        <w:pict>
          <v:shape style="position:absolute;margin-left:48pt;margin-top:2.401562pt;width:151pt;height:5pt;mso-position-horizontal-relative:page;mso-position-vertical-relative:paragraph;z-index:15971840" coordorigin="960,48" coordsize="3020,100" path="m3500,148l3500,48m3000,148l3000,48m2500,148l2500,48m1980,148l1980,48m1480,148l1480,48m960,148l960,48m960,148l3980,148m1090,148l1090,88m1220,148l1220,88m1350,148l1350,88m1605,148l1605,88m1730,148l1730,88m1855,148l1855,88m2110,148l2110,88m2240,148l2240,88m2370,148l2370,88m2625,148l2625,88m2750,148l2750,88m2875,148l2875,88m3125,148l3125,88m3250,148l3250,88m3375,148l3375,88m3627,148l3627,88m3753,148l3753,88m3880,148l3880,88e" filled="false" stroked="true" strokeweight=".5pt" strokecolor="#000000">
            <v:path arrowok="t"/>
            <v:stroke dashstyle="solid"/>
            <w10:wrap type="none"/>
          </v:shape>
        </w:pict>
      </w:r>
      <w:r>
        <w:rPr/>
        <w:pict>
          <v:line style="position:absolute;mso-position-horizontal-relative:page;mso-position-vertical-relative:paragraph;z-index:15972352" from="43pt,7.401563pt" to="38pt,7.401563pt" stroked="true" strokeweight=".5pt" strokecolor="#000000">
            <v:stroke dashstyle="solid"/>
            <w10:wrap type="none"/>
          </v:line>
        </w:pict>
      </w:r>
      <w:r>
        <w:rPr/>
        <w:pict>
          <v:line style="position:absolute;mso-position-horizontal-relative:page;mso-position-vertical-relative:paragraph;z-index:15977472" from="209pt,7.401563pt" to="204pt,7.401563pt" stroked="true" strokeweight=".5pt" strokecolor="#000000">
            <v:stroke dashstyle="solid"/>
            <w10:wrap type="none"/>
          </v:line>
        </w:pict>
      </w:r>
      <w:r>
        <w:rPr>
          <w:sz w:val="12"/>
        </w:rPr>
        <w:t>0</w:t>
      </w:r>
    </w:p>
    <w:p>
      <w:pPr>
        <w:tabs>
          <w:tab w:pos="1049" w:val="left" w:leader="none"/>
          <w:tab w:pos="1549" w:val="left" w:leader="none"/>
          <w:tab w:pos="2069" w:val="left" w:leader="none"/>
          <w:tab w:pos="2569" w:val="left" w:leader="none"/>
          <w:tab w:pos="3089" w:val="left" w:leader="none"/>
        </w:tabs>
        <w:spacing w:line="116" w:lineRule="exact" w:before="0"/>
        <w:ind w:left="450" w:right="0" w:firstLine="0"/>
        <w:jc w:val="left"/>
        <w:rPr>
          <w:sz w:val="12"/>
        </w:rPr>
      </w:pPr>
      <w:r>
        <w:rPr>
          <w:sz w:val="12"/>
        </w:rPr>
        <w:t>1992</w:t>
        <w:tab/>
        <w:t>93</w:t>
        <w:tab/>
        <w:t>94</w:t>
        <w:tab/>
        <w:t>95</w:t>
        <w:tab/>
        <w:t>96</w:t>
        <w:tab/>
        <w:t>97</w:t>
      </w:r>
    </w:p>
    <w:p>
      <w:pPr>
        <w:spacing w:line="208" w:lineRule="auto" w:before="57"/>
        <w:ind w:left="150" w:right="839" w:firstLine="0"/>
        <w:jc w:val="left"/>
        <w:rPr>
          <w:sz w:val="12"/>
        </w:rPr>
      </w:pPr>
      <w:r>
        <w:rPr>
          <w:color w:val="231F20"/>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390" w:right="437"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Heading5"/>
        <w:spacing w:line="242" w:lineRule="auto"/>
        <w:ind w:left="150" w:right="209"/>
      </w:pPr>
      <w:r>
        <w:rPr/>
        <w:br w:type="column"/>
      </w:r>
      <w:r>
        <w:rPr>
          <w:color w:val="231F20"/>
        </w:rPr>
        <w:t>volumes have held up during the past 18 months while </w:t>
      </w:r>
      <w:hyperlink w:history="true" w:anchor="_bookmark9">
        <w:r>
          <w:rPr>
            <w:color w:val="231F20"/>
          </w:rPr>
          <w:t>sterling has risen (see Section 2).</w:t>
        </w:r>
      </w:hyperlink>
      <w:r>
        <w:rPr>
          <w:color w:val="231F20"/>
        </w:rPr>
        <w:t> Following sterling’s exit from the ERM in 1992, export margins widened considerably, and these wider margins were maintained until 1996. So it is difficult to know whether the recent cuts in export margins are sustainable.</w:t>
      </w:r>
    </w:p>
    <w:p>
      <w:pPr>
        <w:pStyle w:val="BodyText"/>
        <w:rPr>
          <w:sz w:val="26"/>
        </w:rPr>
      </w:pPr>
    </w:p>
    <w:p>
      <w:pPr>
        <w:pStyle w:val="ListParagraph"/>
        <w:numPr>
          <w:ilvl w:val="1"/>
          <w:numId w:val="22"/>
        </w:numPr>
        <w:tabs>
          <w:tab w:pos="3929" w:val="left" w:leader="none"/>
          <w:tab w:pos="3930" w:val="left" w:leader="none"/>
        </w:tabs>
        <w:spacing w:line="240" w:lineRule="auto" w:before="161" w:after="0"/>
        <w:ind w:left="3929" w:right="0" w:hanging="3780"/>
        <w:jc w:val="left"/>
        <w:rPr>
          <w:b/>
          <w:sz w:val="28"/>
        </w:rPr>
      </w:pPr>
      <w:r>
        <w:rPr>
          <w:b/>
          <w:color w:val="009483"/>
          <w:sz w:val="28"/>
          <w:u w:val="thick" w:color="0093C1"/>
        </w:rPr>
        <w:t>Retail prices</w:t>
      </w:r>
      <w:r>
        <w:rPr>
          <w:b/>
          <w:color w:val="009483"/>
          <w:spacing w:val="19"/>
          <w:sz w:val="28"/>
          <w:u w:val="thick" w:color="0093C1"/>
        </w:rPr>
        <w:t> </w:t>
      </w:r>
    </w:p>
    <w:p>
      <w:pPr>
        <w:pStyle w:val="BodyText"/>
        <w:spacing w:before="2"/>
        <w:rPr>
          <w:b/>
          <w:sz w:val="29"/>
        </w:rPr>
      </w:pPr>
    </w:p>
    <w:p>
      <w:pPr>
        <w:spacing w:line="242" w:lineRule="auto" w:before="0"/>
        <w:ind w:left="150" w:right="209" w:firstLine="0"/>
        <w:jc w:val="left"/>
        <w:rPr>
          <w:sz w:val="24"/>
        </w:rPr>
      </w:pPr>
      <w:r>
        <w:rPr>
          <w:color w:val="231F20"/>
          <w:sz w:val="24"/>
        </w:rPr>
        <w:t>Retail prices excluding mortgage interest payments (RPIX) rose by 2.7% in the twelve months to December (see Chart 4.5). Since the start of 1995, annual RPIX inflation has averaged 2.8%, and has never been more than </w:t>
      </w:r>
      <w:r>
        <w:rPr>
          <w:color w:val="231F20"/>
          <w:position w:val="8"/>
          <w:sz w:val="12"/>
        </w:rPr>
        <w:t>1</w:t>
      </w:r>
      <w:r>
        <w:rPr>
          <w:color w:val="231F20"/>
          <w:sz w:val="24"/>
        </w:rPr>
        <w:t>/</w:t>
      </w:r>
      <w:r>
        <w:rPr>
          <w:color w:val="231F20"/>
          <w:sz w:val="12"/>
        </w:rPr>
        <w:t>2 </w:t>
      </w:r>
      <w:r>
        <w:rPr>
          <w:color w:val="231F20"/>
          <w:sz w:val="24"/>
        </w:rPr>
        <w:t>percentage point away from its average rate.</w:t>
      </w:r>
    </w:p>
    <w:p>
      <w:pPr>
        <w:spacing w:line="242" w:lineRule="auto" w:before="7"/>
        <w:ind w:left="150" w:right="793" w:firstLine="0"/>
        <w:jc w:val="left"/>
        <w:rPr>
          <w:sz w:val="24"/>
        </w:rPr>
      </w:pPr>
      <w:r>
        <w:rPr>
          <w:color w:val="231F20"/>
          <w:sz w:val="24"/>
        </w:rPr>
        <w:t>Annual RPIX service price inflation was 2.9% in December, compared with goods price inflation </w:t>
      </w:r>
      <w:r>
        <w:rPr>
          <w:color w:val="231F20"/>
          <w:spacing w:val="-9"/>
          <w:sz w:val="24"/>
        </w:rPr>
        <w:t>of </w:t>
      </w:r>
      <w:r>
        <w:rPr>
          <w:color w:val="231F20"/>
          <w:sz w:val="24"/>
        </w:rPr>
        <w:t>2.1%.</w:t>
      </w:r>
    </w:p>
    <w:p>
      <w:pPr>
        <w:pStyle w:val="BodyText"/>
        <w:spacing w:before="4"/>
        <w:rPr>
          <w:sz w:val="33"/>
        </w:rPr>
      </w:pPr>
    </w:p>
    <w:p>
      <w:pPr>
        <w:spacing w:line="242" w:lineRule="auto" w:before="0"/>
        <w:ind w:left="150" w:right="209" w:firstLine="0"/>
        <w:jc w:val="left"/>
        <w:rPr>
          <w:sz w:val="24"/>
        </w:rPr>
      </w:pPr>
      <w:r>
        <w:rPr>
          <w:color w:val="231F20"/>
          <w:sz w:val="24"/>
        </w:rPr>
        <w:t>RPIY annual inflation, which also excludes excise duties, was 2.2% in December. The headline inflation rate (RPI) was 3.6% in the twelve months to December. Mortgage interest payments </w:t>
      </w:r>
      <w:r>
        <w:rPr>
          <w:color w:val="231F20"/>
          <w:spacing w:val="-3"/>
          <w:sz w:val="24"/>
        </w:rPr>
        <w:t>have </w:t>
      </w:r>
      <w:r>
        <w:rPr>
          <w:color w:val="231F20"/>
          <w:sz w:val="24"/>
        </w:rPr>
        <w:t>risen more quickly than other prices in the retail price index following the </w:t>
      </w:r>
      <w:r>
        <w:rPr>
          <w:color w:val="231F20"/>
          <w:spacing w:val="-3"/>
          <w:sz w:val="24"/>
        </w:rPr>
        <w:t>MPC’s </w:t>
      </w:r>
      <w:r>
        <w:rPr>
          <w:color w:val="231F20"/>
          <w:sz w:val="24"/>
        </w:rPr>
        <w:t>decisions to increase the </w:t>
      </w:r>
      <w:r>
        <w:rPr>
          <w:color w:val="231F20"/>
          <w:spacing w:val="-3"/>
          <w:sz w:val="24"/>
        </w:rPr>
        <w:t>Bank’s </w:t>
      </w:r>
      <w:r>
        <w:rPr>
          <w:color w:val="231F20"/>
          <w:sz w:val="24"/>
        </w:rPr>
        <w:t>repo rate </w:t>
      </w:r>
      <w:r>
        <w:rPr>
          <w:color w:val="231F20"/>
          <w:spacing w:val="-3"/>
          <w:sz w:val="24"/>
        </w:rPr>
        <w:t>during </w:t>
      </w:r>
      <w:r>
        <w:rPr>
          <w:color w:val="231F20"/>
          <w:sz w:val="24"/>
        </w:rPr>
        <w:t>1997.</w:t>
      </w:r>
    </w:p>
    <w:p>
      <w:pPr>
        <w:spacing w:after="0" w:line="242" w:lineRule="auto"/>
        <w:jc w:val="left"/>
        <w:rPr>
          <w:sz w:val="24"/>
        </w:rPr>
        <w:sectPr>
          <w:type w:val="continuous"/>
          <w:pgSz w:w="11880" w:h="16840"/>
          <w:pgMar w:top="1200" w:bottom="280" w:left="620" w:right="620"/>
          <w:cols w:num="2" w:equalWidth="0">
            <w:col w:w="4303" w:space="547"/>
            <w:col w:w="5790"/>
          </w:cols>
        </w:sectPr>
      </w:pPr>
    </w:p>
    <w:p>
      <w:pPr>
        <w:pStyle w:val="BodyText"/>
        <w:rPr>
          <w:sz w:val="20"/>
        </w:rPr>
      </w:pPr>
    </w:p>
    <w:p>
      <w:pPr>
        <w:spacing w:line="242" w:lineRule="auto" w:before="207"/>
        <w:ind w:left="4980" w:right="53" w:firstLine="0"/>
        <w:jc w:val="left"/>
        <w:rPr>
          <w:sz w:val="24"/>
        </w:rPr>
      </w:pPr>
      <w:bookmarkStart w:name="Other price indices" w:id="74"/>
      <w:bookmarkEnd w:id="74"/>
      <w:r>
        <w:rPr/>
      </w:r>
      <w:bookmarkStart w:name="_bookmark28" w:id="75"/>
      <w:bookmarkEnd w:id="75"/>
      <w:r>
        <w:rPr/>
      </w:r>
      <w:r>
        <w:rPr>
          <w:color w:val="231F20"/>
          <w:sz w:val="24"/>
        </w:rPr>
        <w:t>Annual RPIX inflation in 1997 Q4 was slightly higher than expected in the November </w:t>
      </w:r>
      <w:r>
        <w:rPr>
          <w:i/>
          <w:color w:val="231F20"/>
          <w:sz w:val="24"/>
        </w:rPr>
        <w:t>Report </w:t>
      </w:r>
      <w:r>
        <w:rPr>
          <w:color w:val="231F20"/>
          <w:sz w:val="24"/>
        </w:rPr>
        <w:t>central projection. And the outturn for RPIX inflation in 1997 Q4 was much higher than envisaged a year ago, in the February 1997 </w:t>
      </w:r>
      <w:r>
        <w:rPr>
          <w:i/>
          <w:color w:val="231F20"/>
          <w:sz w:val="24"/>
        </w:rPr>
        <w:t>Report</w:t>
      </w:r>
      <w:r>
        <w:rPr>
          <w:color w:val="231F20"/>
          <w:sz w:val="24"/>
        </w:rPr>
        <w:t>, when the central projection was around 2</w:t>
      </w:r>
      <w:r>
        <w:rPr>
          <w:color w:val="231F20"/>
          <w:position w:val="8"/>
          <w:sz w:val="12"/>
        </w:rPr>
        <w:t>1</w:t>
      </w:r>
      <w:r>
        <w:rPr>
          <w:color w:val="231F20"/>
          <w:sz w:val="24"/>
        </w:rPr>
        <w:t>/</w:t>
      </w:r>
      <w:r>
        <w:rPr>
          <w:color w:val="231F20"/>
          <w:sz w:val="12"/>
        </w:rPr>
        <w:t>4</w:t>
      </w:r>
      <w:r>
        <w:rPr>
          <w:color w:val="231F20"/>
          <w:sz w:val="24"/>
        </w:rPr>
        <w:t>%.</w:t>
      </w:r>
    </w:p>
    <w:p>
      <w:pPr>
        <w:spacing w:line="242" w:lineRule="auto" w:before="6"/>
        <w:ind w:left="4979" w:right="522" w:firstLine="0"/>
        <w:jc w:val="left"/>
        <w:rPr>
          <w:sz w:val="24"/>
        </w:rPr>
      </w:pPr>
      <w:r>
        <w:rPr>
          <w:color w:val="231F20"/>
          <w:sz w:val="24"/>
        </w:rPr>
        <w:t>This was partly because import prices, particularly of consumer goods, fell by less than earlier projected.</w:t>
      </w:r>
    </w:p>
    <w:p>
      <w:pPr>
        <w:spacing w:line="242" w:lineRule="auto" w:before="3"/>
        <w:ind w:left="4979" w:right="186" w:firstLine="0"/>
        <w:jc w:val="left"/>
        <w:rPr>
          <w:sz w:val="24"/>
        </w:rPr>
      </w:pPr>
      <w:r>
        <w:rPr>
          <w:color w:val="231F20"/>
          <w:sz w:val="24"/>
        </w:rPr>
        <w:t>Though the weighted costs of retail goods fell during 1997, retailers </w:t>
      </w:r>
      <w:r>
        <w:rPr>
          <w:color w:val="231F20"/>
          <w:spacing w:val="-3"/>
          <w:sz w:val="24"/>
        </w:rPr>
        <w:t>have </w:t>
      </w:r>
      <w:r>
        <w:rPr>
          <w:color w:val="231F20"/>
          <w:sz w:val="24"/>
        </w:rPr>
        <w:t>not fully passed on these cost reductions as lower prices. It is difficult to tell whether this delayed response reflects strong demand, or simply that retailers often delay pass-through of lower costs to prices.</w:t>
      </w:r>
      <w:r>
        <w:rPr>
          <w:color w:val="231F20"/>
          <w:position w:val="5"/>
          <w:sz w:val="16"/>
        </w:rPr>
        <w:t>(1)  </w:t>
      </w:r>
      <w:r>
        <w:rPr>
          <w:color w:val="231F20"/>
          <w:sz w:val="24"/>
        </w:rPr>
        <w:t>In the light of the higher-than-expected outturns during the past year, the MPC is reviewing the relationship between retail prices, costs and prices of domestically produced output, and import prices. The current projection incorporates a smaller overall effect </w:t>
      </w:r>
      <w:r>
        <w:rPr>
          <w:color w:val="231F20"/>
          <w:spacing w:val="-8"/>
          <w:sz w:val="24"/>
        </w:rPr>
        <w:t>of </w:t>
      </w:r>
      <w:r>
        <w:rPr>
          <w:color w:val="231F20"/>
          <w:sz w:val="24"/>
        </w:rPr>
        <w:t>lower import prices on retail prices, and a</w:t>
      </w:r>
      <w:r>
        <w:rPr>
          <w:color w:val="231F20"/>
          <w:spacing w:val="-4"/>
          <w:sz w:val="24"/>
        </w:rPr>
        <w:t> </w:t>
      </w:r>
      <w:r>
        <w:rPr>
          <w:color w:val="231F20"/>
          <w:sz w:val="24"/>
        </w:rPr>
        <w:t>faster</w:t>
      </w:r>
    </w:p>
    <w:p>
      <w:pPr>
        <w:spacing w:line="242" w:lineRule="auto" w:before="14"/>
        <w:ind w:left="4979" w:right="154" w:firstLine="0"/>
        <w:jc w:val="left"/>
        <w:rPr>
          <w:sz w:val="24"/>
        </w:rPr>
      </w:pPr>
      <w:r>
        <w:rPr>
          <w:color w:val="231F20"/>
          <w:sz w:val="24"/>
        </w:rPr>
        <w:t>feed-through of changes in domestically generated costs to retail prices than previously estimated. As a result, the current projection embodies a slightly higher profile for inflation in the next two years, relative to that in the November </w:t>
      </w:r>
      <w:r>
        <w:rPr>
          <w:i/>
          <w:color w:val="231F20"/>
          <w:sz w:val="24"/>
        </w:rPr>
        <w:t>Report</w:t>
      </w:r>
      <w:r>
        <w:rPr>
          <w:color w:val="231F20"/>
          <w:sz w:val="24"/>
        </w:rPr>
        <w:t>.</w:t>
      </w:r>
    </w:p>
    <w:p>
      <w:pPr>
        <w:pStyle w:val="BodyText"/>
        <w:spacing w:before="1"/>
        <w:rPr>
          <w:sz w:val="30"/>
        </w:rPr>
      </w:pPr>
    </w:p>
    <w:p>
      <w:pPr>
        <w:spacing w:line="242" w:lineRule="auto" w:before="0"/>
        <w:ind w:left="4979" w:right="150" w:firstLine="0"/>
        <w:jc w:val="left"/>
        <w:rPr>
          <w:sz w:val="24"/>
        </w:rPr>
      </w:pPr>
      <w:r>
        <w:rPr>
          <w:color w:val="231F20"/>
          <w:sz w:val="24"/>
        </w:rPr>
        <w:t>The pricing behaviour of retailers in the next two years will be affected by three main factors: first, any delayed response of retailers to the falls in import prices that </w:t>
      </w:r>
      <w:r>
        <w:rPr>
          <w:color w:val="231F20"/>
          <w:spacing w:val="-7"/>
          <w:sz w:val="24"/>
        </w:rPr>
        <w:t>have </w:t>
      </w:r>
      <w:r>
        <w:rPr>
          <w:color w:val="231F20"/>
          <w:sz w:val="24"/>
        </w:rPr>
        <w:t>already occurred; second, the further falls in import prices that are assumed in the </w:t>
      </w:r>
      <w:r>
        <w:rPr>
          <w:color w:val="231F20"/>
          <w:spacing w:val="-3"/>
          <w:sz w:val="24"/>
        </w:rPr>
        <w:t>MPC’s </w:t>
      </w:r>
      <w:r>
        <w:rPr>
          <w:color w:val="231F20"/>
          <w:sz w:val="24"/>
        </w:rPr>
        <w:t>central projection; and third, the growth rate of domestically generated inflation. Adjusting for the effect of lower import prices and changes in the terms of trade, which temporarily depress retail price inflation, domestically generated inflation is currently above the target level.</w:t>
      </w:r>
    </w:p>
    <w:p>
      <w:pPr>
        <w:pStyle w:val="BodyText"/>
        <w:spacing w:before="5"/>
        <w:rPr>
          <w:sz w:val="28"/>
        </w:rPr>
      </w:pPr>
    </w:p>
    <w:p>
      <w:pPr>
        <w:pStyle w:val="ListParagraph"/>
        <w:numPr>
          <w:ilvl w:val="1"/>
          <w:numId w:val="22"/>
        </w:numPr>
        <w:tabs>
          <w:tab w:pos="7974" w:val="left" w:leader="none"/>
          <w:tab w:pos="7975" w:val="left" w:leader="none"/>
          <w:tab w:pos="10499" w:val="left" w:leader="none"/>
        </w:tabs>
        <w:spacing w:line="240" w:lineRule="auto" w:before="88" w:after="0"/>
        <w:ind w:left="7974" w:right="0" w:hanging="2995"/>
        <w:jc w:val="left"/>
        <w:rPr>
          <w:b/>
          <w:sz w:val="28"/>
        </w:rPr>
      </w:pPr>
      <w:r>
        <w:rPr>
          <w:b/>
          <w:color w:val="009483"/>
          <w:sz w:val="28"/>
          <w:u w:val="thick" w:color="0093C1"/>
        </w:rPr>
        <w:t>Other price indices</w:t>
        <w:tab/>
      </w:r>
    </w:p>
    <w:p>
      <w:pPr>
        <w:pStyle w:val="BodyText"/>
        <w:spacing w:before="5"/>
        <w:rPr>
          <w:b/>
          <w:sz w:val="27"/>
        </w:rPr>
      </w:pPr>
    </w:p>
    <w:p>
      <w:pPr>
        <w:spacing w:line="242" w:lineRule="auto" w:before="0"/>
        <w:ind w:left="4979" w:right="146" w:firstLine="0"/>
        <w:jc w:val="left"/>
        <w:rPr>
          <w:sz w:val="24"/>
        </w:rPr>
      </w:pPr>
      <w:r>
        <w:rPr>
          <w:color w:val="231F20"/>
          <w:sz w:val="24"/>
        </w:rPr>
        <w:t>The UK Harmonised Index of Consumer Prices (H</w:t>
      </w:r>
      <w:r>
        <w:rPr>
          <w:color w:val="231F20"/>
          <w:sz w:val="20"/>
        </w:rPr>
        <w:t>ICP</w:t>
      </w:r>
      <w:r>
        <w:rPr>
          <w:color w:val="231F20"/>
          <w:sz w:val="24"/>
        </w:rPr>
        <w:t>) rose by 1.8% in the twelve months to December. H</w:t>
      </w:r>
      <w:r>
        <w:rPr>
          <w:color w:val="231F20"/>
          <w:sz w:val="20"/>
        </w:rPr>
        <w:t>ICP </w:t>
      </w:r>
      <w:r>
        <w:rPr>
          <w:color w:val="231F20"/>
          <w:sz w:val="24"/>
        </w:rPr>
        <w:t>annual inflation fluctuated between 1</w:t>
      </w:r>
      <w:r>
        <w:rPr>
          <w:color w:val="231F20"/>
          <w:position w:val="8"/>
          <w:sz w:val="12"/>
        </w:rPr>
        <w:t>1</w:t>
      </w:r>
      <w:r>
        <w:rPr>
          <w:color w:val="231F20"/>
          <w:sz w:val="24"/>
        </w:rPr>
        <w:t>/</w:t>
      </w:r>
      <w:r>
        <w:rPr>
          <w:color w:val="231F20"/>
          <w:sz w:val="12"/>
        </w:rPr>
        <w:t>2</w:t>
      </w:r>
      <w:r>
        <w:rPr>
          <w:color w:val="231F20"/>
          <w:sz w:val="24"/>
        </w:rPr>
        <w:t>%–2% throughout 1997, about </w:t>
      </w:r>
      <w:r>
        <w:rPr>
          <w:color w:val="231F20"/>
          <w:position w:val="8"/>
          <w:sz w:val="12"/>
        </w:rPr>
        <w:t>3</w:t>
      </w:r>
      <w:r>
        <w:rPr>
          <w:color w:val="231F20"/>
          <w:sz w:val="24"/>
        </w:rPr>
        <w:t>/</w:t>
      </w:r>
      <w:r>
        <w:rPr>
          <w:color w:val="231F20"/>
          <w:sz w:val="12"/>
        </w:rPr>
        <w:t>4 </w:t>
      </w:r>
      <w:r>
        <w:rPr>
          <w:color w:val="231F20"/>
          <w:sz w:val="24"/>
        </w:rPr>
        <w:t>percentage point lower than RPIX inflation during that period (because of differences in the coverage and construction of the indices). The H</w:t>
      </w:r>
      <w:r>
        <w:rPr>
          <w:color w:val="231F20"/>
          <w:sz w:val="20"/>
        </w:rPr>
        <w:t>ICP </w:t>
      </w:r>
      <w:r>
        <w:rPr>
          <w:color w:val="231F20"/>
          <w:sz w:val="24"/>
        </w:rPr>
        <w:t>inflation rate, the most directly comparable measure, was very similar in the United Kingdom to other EU Member States’ inflation rates, though UK inflation was</w:t>
      </w:r>
      <w:r>
        <w:rPr>
          <w:color w:val="231F20"/>
          <w:spacing w:val="-3"/>
          <w:sz w:val="24"/>
        </w:rPr>
        <w:t> </w:t>
      </w:r>
      <w:r>
        <w:rPr>
          <w:color w:val="231F20"/>
          <w:sz w:val="24"/>
        </w:rPr>
        <w:t>generally</w:t>
      </w:r>
    </w:p>
    <w:p>
      <w:pPr>
        <w:pStyle w:val="BodyText"/>
        <w:rPr>
          <w:sz w:val="20"/>
        </w:rPr>
      </w:pPr>
    </w:p>
    <w:p>
      <w:pPr>
        <w:pStyle w:val="BodyText"/>
        <w:spacing w:before="3"/>
        <w:rPr>
          <w:sz w:val="16"/>
        </w:rPr>
      </w:pPr>
      <w:r>
        <w:rPr/>
        <w:pict>
          <v:shape style="position:absolute;margin-left:281pt;margin-top:11.415713pt;width:275.75pt;height:.1pt;mso-position-horizontal-relative:page;mso-position-vertical-relative:paragraph;z-index:-15476736;mso-wrap-distance-left:0;mso-wrap-distance-right:0" coordorigin="5620,228" coordsize="5515,0" path="m5620,228l11135,228e" filled="false" stroked="true" strokeweight=".125pt" strokecolor="#231f20">
            <v:path arrowok="t"/>
            <v:stroke dashstyle="solid"/>
            <w10:wrap type="topAndBottom"/>
          </v:shape>
        </w:pict>
      </w:r>
    </w:p>
    <w:p>
      <w:pPr>
        <w:spacing w:line="208" w:lineRule="auto" w:before="0"/>
        <w:ind w:left="5260" w:right="672" w:hanging="240"/>
        <w:jc w:val="left"/>
        <w:rPr>
          <w:sz w:val="16"/>
        </w:rPr>
      </w:pPr>
      <w:r>
        <w:rPr>
          <w:color w:val="231F20"/>
          <w:sz w:val="16"/>
        </w:rPr>
        <w:t>(1) The Bank’s survey on price-setting behaviour by UK firms found that twice as many retailers cited changes in material costs as a reason for raising prices as cited them as a reason for lowering prices. See ‘How do UK companies set prices?’, Hall, S, Walsh, M, and Yates, T in the </w:t>
      </w:r>
      <w:r>
        <w:rPr>
          <w:i/>
          <w:color w:val="231F20"/>
          <w:sz w:val="16"/>
        </w:rPr>
        <w:t>Quarterly Bulletin</w:t>
      </w:r>
      <w:r>
        <w:rPr>
          <w:color w:val="231F20"/>
          <w:sz w:val="16"/>
        </w:rPr>
        <w:t>, May 1996, pages 180–92.</w:t>
      </w:r>
    </w:p>
    <w:p>
      <w:pPr>
        <w:spacing w:after="0" w:line="208" w:lineRule="auto"/>
        <w:jc w:val="left"/>
        <w:rPr>
          <w:sz w:val="16"/>
        </w:rPr>
        <w:sectPr>
          <w:pgSz w:w="11880" w:h="16840"/>
          <w:pgMar w:header="566" w:footer="597" w:top="760" w:bottom="780" w:left="620" w:right="620"/>
        </w:sectPr>
      </w:pPr>
    </w:p>
    <w:p>
      <w:pPr>
        <w:pStyle w:val="BodyText"/>
        <w:rPr>
          <w:sz w:val="20"/>
        </w:rPr>
      </w:pPr>
    </w:p>
    <w:p>
      <w:pPr>
        <w:spacing w:after="0"/>
        <w:rPr>
          <w:sz w:val="20"/>
        </w:rPr>
        <w:sectPr>
          <w:pgSz w:w="11880" w:h="16840"/>
          <w:pgMar w:header="566" w:footer="597" w:top="760" w:bottom="780" w:left="620" w:right="620"/>
        </w:sectPr>
      </w:pPr>
    </w:p>
    <w:p>
      <w:pPr>
        <w:pStyle w:val="BodyText"/>
        <w:spacing w:before="3"/>
        <w:rPr>
          <w:sz w:val="22"/>
        </w:rPr>
      </w:pPr>
    </w:p>
    <w:p>
      <w:pPr>
        <w:pStyle w:val="Heading9"/>
        <w:spacing w:before="0"/>
        <w:ind w:left="208"/>
      </w:pPr>
      <w:bookmarkStart w:name="Summary" w:id="76"/>
      <w:bookmarkEnd w:id="76"/>
      <w:r>
        <w:rPr>
          <w:b w:val="0"/>
        </w:rPr>
      </w:r>
      <w:bookmarkStart w:name="_bookmark29" w:id="77"/>
      <w:bookmarkEnd w:id="77"/>
      <w:r>
        <w:rPr>
          <w:b w:val="0"/>
        </w:rPr>
      </w:r>
      <w:r>
        <w:rPr>
          <w:color w:val="0093C1"/>
        </w:rPr>
        <w:t>Table 4.D</w:t>
      </w:r>
    </w:p>
    <w:p>
      <w:pPr>
        <w:spacing w:before="10"/>
        <w:ind w:left="208" w:right="0" w:firstLine="0"/>
        <w:jc w:val="left"/>
        <w:rPr>
          <w:b/>
          <w:sz w:val="20"/>
        </w:rPr>
      </w:pPr>
      <w:r>
        <w:rPr>
          <w:b/>
          <w:color w:val="0093C1"/>
          <w:sz w:val="20"/>
        </w:rPr>
        <w:t>Measures of annual inflation</w:t>
      </w:r>
    </w:p>
    <w:p>
      <w:pPr>
        <w:spacing w:before="106"/>
        <w:ind w:left="0" w:right="272" w:firstLine="0"/>
        <w:jc w:val="right"/>
        <w:rPr>
          <w:sz w:val="14"/>
        </w:rPr>
      </w:pPr>
      <w:r>
        <w:rPr>
          <w:color w:val="231F20"/>
          <w:sz w:val="14"/>
        </w:rPr>
        <w:t>Percentage changes in November 1997 on a year earlier</w:t>
      </w:r>
    </w:p>
    <w:p>
      <w:pPr>
        <w:tabs>
          <w:tab w:pos="1919" w:val="left" w:leader="none"/>
        </w:tabs>
        <w:spacing w:before="119"/>
        <w:ind w:left="0" w:right="198" w:firstLine="0"/>
        <w:jc w:val="right"/>
        <w:rPr>
          <w:sz w:val="14"/>
        </w:rPr>
      </w:pPr>
      <w:r>
        <w:rPr>
          <w:color w:val="231F20"/>
          <w:sz w:val="14"/>
          <w:u w:val="single" w:color="231F20"/>
        </w:rPr>
        <w:t>Consumer price inflation</w:t>
      </w:r>
      <w:r>
        <w:rPr>
          <w:color w:val="231F20"/>
          <w:spacing w:val="-1"/>
          <w:sz w:val="14"/>
          <w:u w:val="single" w:color="231F20"/>
        </w:rPr>
        <w:t> </w:t>
      </w:r>
      <w:r>
        <w:rPr>
          <w:color w:val="231F20"/>
          <w:sz w:val="12"/>
          <w:u w:val="single" w:color="231F20"/>
        </w:rPr>
        <w:t>(a</w:t>
      </w:r>
      <w:r>
        <w:rPr>
          <w:color w:val="231F20"/>
          <w:sz w:val="12"/>
        </w:rPr>
        <w:t>)</w:t>
        <w:tab/>
      </w:r>
      <w:r>
        <w:rPr>
          <w:color w:val="231F20"/>
          <w:sz w:val="14"/>
          <w:u w:val="single" w:color="231F20"/>
        </w:rPr>
        <w:t>HICP</w:t>
      </w:r>
    </w:p>
    <w:p>
      <w:pPr>
        <w:pStyle w:val="BodyText"/>
        <w:spacing w:before="10"/>
        <w:rPr>
          <w:sz w:val="10"/>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5"/>
        <w:gridCol w:w="1011"/>
        <w:gridCol w:w="771"/>
      </w:tblGrid>
      <w:tr>
        <w:trPr>
          <w:trHeight w:val="147" w:hRule="atLeast"/>
        </w:trPr>
        <w:tc>
          <w:tcPr>
            <w:tcW w:w="1375" w:type="dxa"/>
          </w:tcPr>
          <w:p>
            <w:pPr>
              <w:pStyle w:val="TableParagraph"/>
              <w:spacing w:line="128" w:lineRule="exact"/>
              <w:ind w:left="50"/>
              <w:rPr>
                <w:sz w:val="14"/>
              </w:rPr>
            </w:pPr>
            <w:r>
              <w:rPr>
                <w:color w:val="231F20"/>
                <w:sz w:val="14"/>
              </w:rPr>
              <w:t>Austria</w:t>
            </w:r>
          </w:p>
        </w:tc>
        <w:tc>
          <w:tcPr>
            <w:tcW w:w="1011" w:type="dxa"/>
          </w:tcPr>
          <w:p>
            <w:pPr>
              <w:pStyle w:val="TableParagraph"/>
              <w:spacing w:line="128" w:lineRule="exact"/>
              <w:ind w:left="115"/>
              <w:rPr>
                <w:sz w:val="14"/>
              </w:rPr>
            </w:pPr>
            <w:r>
              <w:rPr>
                <w:color w:val="231F20"/>
                <w:sz w:val="14"/>
              </w:rPr>
              <w:t>1.1</w:t>
            </w:r>
          </w:p>
        </w:tc>
        <w:tc>
          <w:tcPr>
            <w:tcW w:w="771" w:type="dxa"/>
          </w:tcPr>
          <w:p>
            <w:pPr>
              <w:pStyle w:val="TableParagraph"/>
              <w:spacing w:line="128" w:lineRule="exact"/>
              <w:ind w:right="49"/>
              <w:jc w:val="right"/>
              <w:rPr>
                <w:sz w:val="14"/>
              </w:rPr>
            </w:pPr>
            <w:r>
              <w:rPr>
                <w:color w:val="231F20"/>
                <w:sz w:val="14"/>
              </w:rPr>
              <w:t>1.1</w:t>
            </w:r>
          </w:p>
        </w:tc>
      </w:tr>
      <w:tr>
        <w:trPr>
          <w:trHeight w:val="140" w:hRule="atLeast"/>
        </w:trPr>
        <w:tc>
          <w:tcPr>
            <w:tcW w:w="1375" w:type="dxa"/>
          </w:tcPr>
          <w:p>
            <w:pPr>
              <w:pStyle w:val="TableParagraph"/>
              <w:spacing w:line="120" w:lineRule="exact"/>
              <w:ind w:left="50"/>
              <w:rPr>
                <w:sz w:val="14"/>
              </w:rPr>
            </w:pPr>
            <w:r>
              <w:rPr>
                <w:color w:val="231F20"/>
                <w:sz w:val="14"/>
              </w:rPr>
              <w:t>Belgium</w:t>
            </w:r>
          </w:p>
        </w:tc>
        <w:tc>
          <w:tcPr>
            <w:tcW w:w="1011" w:type="dxa"/>
          </w:tcPr>
          <w:p>
            <w:pPr>
              <w:pStyle w:val="TableParagraph"/>
              <w:spacing w:line="120" w:lineRule="exact"/>
              <w:ind w:left="114"/>
              <w:rPr>
                <w:sz w:val="14"/>
              </w:rPr>
            </w:pPr>
            <w:r>
              <w:rPr>
                <w:color w:val="231F20"/>
                <w:sz w:val="14"/>
              </w:rPr>
              <w:t>1.4</w:t>
            </w:r>
          </w:p>
        </w:tc>
        <w:tc>
          <w:tcPr>
            <w:tcW w:w="771" w:type="dxa"/>
          </w:tcPr>
          <w:p>
            <w:pPr>
              <w:pStyle w:val="TableParagraph"/>
              <w:spacing w:line="120" w:lineRule="exact"/>
              <w:ind w:right="50"/>
              <w:jc w:val="right"/>
              <w:rPr>
                <w:sz w:val="14"/>
              </w:rPr>
            </w:pPr>
            <w:r>
              <w:rPr>
                <w:color w:val="231F20"/>
                <w:sz w:val="14"/>
              </w:rPr>
              <w:t>1.3</w:t>
            </w:r>
          </w:p>
        </w:tc>
      </w:tr>
      <w:tr>
        <w:trPr>
          <w:trHeight w:val="140" w:hRule="atLeast"/>
        </w:trPr>
        <w:tc>
          <w:tcPr>
            <w:tcW w:w="1375" w:type="dxa"/>
          </w:tcPr>
          <w:p>
            <w:pPr>
              <w:pStyle w:val="TableParagraph"/>
              <w:spacing w:line="120" w:lineRule="exact"/>
              <w:ind w:left="50"/>
              <w:rPr>
                <w:sz w:val="14"/>
              </w:rPr>
            </w:pPr>
            <w:r>
              <w:rPr>
                <w:color w:val="231F20"/>
                <w:sz w:val="14"/>
              </w:rPr>
              <w:t>Denmark</w:t>
            </w:r>
          </w:p>
        </w:tc>
        <w:tc>
          <w:tcPr>
            <w:tcW w:w="1011" w:type="dxa"/>
          </w:tcPr>
          <w:p>
            <w:pPr>
              <w:pStyle w:val="TableParagraph"/>
              <w:spacing w:line="120" w:lineRule="exact"/>
              <w:ind w:left="115"/>
              <w:rPr>
                <w:sz w:val="14"/>
              </w:rPr>
            </w:pPr>
            <w:r>
              <w:rPr>
                <w:color w:val="231F20"/>
                <w:sz w:val="14"/>
              </w:rPr>
              <w:t>2.1</w:t>
            </w:r>
          </w:p>
        </w:tc>
        <w:tc>
          <w:tcPr>
            <w:tcW w:w="771" w:type="dxa"/>
          </w:tcPr>
          <w:p>
            <w:pPr>
              <w:pStyle w:val="TableParagraph"/>
              <w:spacing w:line="120" w:lineRule="exact"/>
              <w:ind w:right="49"/>
              <w:jc w:val="right"/>
              <w:rPr>
                <w:sz w:val="14"/>
              </w:rPr>
            </w:pPr>
            <w:r>
              <w:rPr>
                <w:color w:val="231F20"/>
                <w:sz w:val="14"/>
              </w:rPr>
              <w:t>1.7</w:t>
            </w:r>
          </w:p>
        </w:tc>
      </w:tr>
      <w:tr>
        <w:trPr>
          <w:trHeight w:val="140" w:hRule="atLeast"/>
        </w:trPr>
        <w:tc>
          <w:tcPr>
            <w:tcW w:w="1375" w:type="dxa"/>
          </w:tcPr>
          <w:p>
            <w:pPr>
              <w:pStyle w:val="TableParagraph"/>
              <w:spacing w:line="120" w:lineRule="exact"/>
              <w:ind w:left="50"/>
              <w:rPr>
                <w:sz w:val="14"/>
              </w:rPr>
            </w:pPr>
            <w:r>
              <w:rPr>
                <w:color w:val="231F20"/>
                <w:sz w:val="14"/>
              </w:rPr>
              <w:t>Finland</w:t>
            </w:r>
          </w:p>
        </w:tc>
        <w:tc>
          <w:tcPr>
            <w:tcW w:w="1011" w:type="dxa"/>
          </w:tcPr>
          <w:p>
            <w:pPr>
              <w:pStyle w:val="TableParagraph"/>
              <w:spacing w:line="120" w:lineRule="exact"/>
              <w:ind w:left="114"/>
              <w:rPr>
                <w:sz w:val="14"/>
              </w:rPr>
            </w:pPr>
            <w:r>
              <w:rPr>
                <w:color w:val="231F20"/>
                <w:sz w:val="14"/>
              </w:rPr>
              <w:t>1.9</w:t>
            </w:r>
          </w:p>
        </w:tc>
        <w:tc>
          <w:tcPr>
            <w:tcW w:w="771" w:type="dxa"/>
          </w:tcPr>
          <w:p>
            <w:pPr>
              <w:pStyle w:val="TableParagraph"/>
              <w:spacing w:line="120" w:lineRule="exact"/>
              <w:ind w:right="49"/>
              <w:jc w:val="right"/>
              <w:rPr>
                <w:sz w:val="14"/>
              </w:rPr>
            </w:pPr>
            <w:r>
              <w:rPr>
                <w:color w:val="231F20"/>
                <w:sz w:val="14"/>
              </w:rPr>
              <w:t>1.7</w:t>
            </w:r>
          </w:p>
        </w:tc>
      </w:tr>
      <w:tr>
        <w:trPr>
          <w:trHeight w:val="140" w:hRule="atLeast"/>
        </w:trPr>
        <w:tc>
          <w:tcPr>
            <w:tcW w:w="1375" w:type="dxa"/>
          </w:tcPr>
          <w:p>
            <w:pPr>
              <w:pStyle w:val="TableParagraph"/>
              <w:spacing w:line="120" w:lineRule="exact"/>
              <w:ind w:left="50"/>
              <w:rPr>
                <w:sz w:val="14"/>
              </w:rPr>
            </w:pPr>
            <w:r>
              <w:rPr>
                <w:color w:val="231F20"/>
                <w:sz w:val="14"/>
              </w:rPr>
              <w:t>France</w:t>
            </w:r>
          </w:p>
        </w:tc>
        <w:tc>
          <w:tcPr>
            <w:tcW w:w="1011" w:type="dxa"/>
          </w:tcPr>
          <w:p>
            <w:pPr>
              <w:pStyle w:val="TableParagraph"/>
              <w:spacing w:line="120" w:lineRule="exact"/>
              <w:ind w:left="115"/>
              <w:rPr>
                <w:sz w:val="14"/>
              </w:rPr>
            </w:pPr>
            <w:r>
              <w:rPr>
                <w:color w:val="231F20"/>
                <w:sz w:val="14"/>
              </w:rPr>
              <w:t>1.3</w:t>
            </w:r>
          </w:p>
        </w:tc>
        <w:tc>
          <w:tcPr>
            <w:tcW w:w="771" w:type="dxa"/>
          </w:tcPr>
          <w:p>
            <w:pPr>
              <w:pStyle w:val="TableParagraph"/>
              <w:spacing w:line="120" w:lineRule="exact"/>
              <w:ind w:right="49"/>
              <w:jc w:val="right"/>
              <w:rPr>
                <w:sz w:val="14"/>
              </w:rPr>
            </w:pPr>
            <w:r>
              <w:rPr>
                <w:color w:val="231F20"/>
                <w:sz w:val="14"/>
              </w:rPr>
              <w:t>1.4</w:t>
            </w:r>
          </w:p>
        </w:tc>
      </w:tr>
      <w:tr>
        <w:trPr>
          <w:trHeight w:val="140" w:hRule="atLeast"/>
        </w:trPr>
        <w:tc>
          <w:tcPr>
            <w:tcW w:w="1375" w:type="dxa"/>
          </w:tcPr>
          <w:p>
            <w:pPr>
              <w:pStyle w:val="TableParagraph"/>
              <w:spacing w:line="120" w:lineRule="exact"/>
              <w:ind w:left="50"/>
              <w:rPr>
                <w:sz w:val="14"/>
              </w:rPr>
            </w:pPr>
            <w:r>
              <w:rPr>
                <w:color w:val="231F20"/>
                <w:sz w:val="14"/>
              </w:rPr>
              <w:t>Germany</w:t>
            </w:r>
          </w:p>
        </w:tc>
        <w:tc>
          <w:tcPr>
            <w:tcW w:w="1011" w:type="dxa"/>
          </w:tcPr>
          <w:p>
            <w:pPr>
              <w:pStyle w:val="TableParagraph"/>
              <w:spacing w:line="120" w:lineRule="exact"/>
              <w:ind w:left="115"/>
              <w:rPr>
                <w:sz w:val="14"/>
              </w:rPr>
            </w:pPr>
            <w:r>
              <w:rPr>
                <w:color w:val="231F20"/>
                <w:sz w:val="14"/>
              </w:rPr>
              <w:t>1.9</w:t>
            </w:r>
          </w:p>
        </w:tc>
        <w:tc>
          <w:tcPr>
            <w:tcW w:w="771" w:type="dxa"/>
          </w:tcPr>
          <w:p>
            <w:pPr>
              <w:pStyle w:val="TableParagraph"/>
              <w:spacing w:line="120" w:lineRule="exact"/>
              <w:ind w:right="49"/>
              <w:jc w:val="right"/>
              <w:rPr>
                <w:sz w:val="14"/>
              </w:rPr>
            </w:pPr>
            <w:r>
              <w:rPr>
                <w:color w:val="231F20"/>
                <w:sz w:val="14"/>
              </w:rPr>
              <w:t>1.4</w:t>
            </w:r>
          </w:p>
        </w:tc>
      </w:tr>
      <w:tr>
        <w:trPr>
          <w:trHeight w:val="140" w:hRule="atLeast"/>
        </w:trPr>
        <w:tc>
          <w:tcPr>
            <w:tcW w:w="1375" w:type="dxa"/>
          </w:tcPr>
          <w:p>
            <w:pPr>
              <w:pStyle w:val="TableParagraph"/>
              <w:spacing w:line="120" w:lineRule="exact"/>
              <w:ind w:left="50"/>
              <w:rPr>
                <w:sz w:val="14"/>
              </w:rPr>
            </w:pPr>
            <w:r>
              <w:rPr>
                <w:color w:val="231F20"/>
                <w:sz w:val="14"/>
              </w:rPr>
              <w:t>Greece</w:t>
            </w:r>
          </w:p>
        </w:tc>
        <w:tc>
          <w:tcPr>
            <w:tcW w:w="1011" w:type="dxa"/>
          </w:tcPr>
          <w:p>
            <w:pPr>
              <w:pStyle w:val="TableParagraph"/>
              <w:spacing w:line="120" w:lineRule="exact"/>
              <w:ind w:left="115"/>
              <w:rPr>
                <w:sz w:val="14"/>
              </w:rPr>
            </w:pPr>
            <w:r>
              <w:rPr>
                <w:color w:val="231F20"/>
                <w:sz w:val="14"/>
              </w:rPr>
              <w:t>5.2</w:t>
            </w:r>
          </w:p>
        </w:tc>
        <w:tc>
          <w:tcPr>
            <w:tcW w:w="771" w:type="dxa"/>
          </w:tcPr>
          <w:p>
            <w:pPr>
              <w:pStyle w:val="TableParagraph"/>
              <w:spacing w:line="120" w:lineRule="exact"/>
              <w:ind w:right="49"/>
              <w:jc w:val="right"/>
              <w:rPr>
                <w:sz w:val="14"/>
              </w:rPr>
            </w:pPr>
            <w:r>
              <w:rPr>
                <w:color w:val="231F20"/>
                <w:sz w:val="14"/>
              </w:rPr>
              <w:t>5.0</w:t>
            </w:r>
          </w:p>
        </w:tc>
      </w:tr>
      <w:tr>
        <w:trPr>
          <w:trHeight w:val="140" w:hRule="atLeast"/>
        </w:trPr>
        <w:tc>
          <w:tcPr>
            <w:tcW w:w="1375" w:type="dxa"/>
          </w:tcPr>
          <w:p>
            <w:pPr>
              <w:pStyle w:val="TableParagraph"/>
              <w:spacing w:line="120" w:lineRule="exact"/>
              <w:ind w:left="50"/>
              <w:rPr>
                <w:sz w:val="14"/>
              </w:rPr>
            </w:pPr>
            <w:r>
              <w:rPr>
                <w:color w:val="231F20"/>
                <w:sz w:val="14"/>
              </w:rPr>
              <w:t>Irish Republic</w:t>
            </w:r>
          </w:p>
        </w:tc>
        <w:tc>
          <w:tcPr>
            <w:tcW w:w="1011" w:type="dxa"/>
          </w:tcPr>
          <w:p>
            <w:pPr>
              <w:pStyle w:val="TableParagraph"/>
              <w:spacing w:line="120" w:lineRule="exact"/>
              <w:ind w:left="115"/>
              <w:rPr>
                <w:sz w:val="14"/>
              </w:rPr>
            </w:pPr>
            <w:r>
              <w:rPr>
                <w:color w:val="231F20"/>
                <w:sz w:val="14"/>
              </w:rPr>
              <w:t>1.6</w:t>
            </w:r>
          </w:p>
        </w:tc>
        <w:tc>
          <w:tcPr>
            <w:tcW w:w="771" w:type="dxa"/>
          </w:tcPr>
          <w:p>
            <w:pPr>
              <w:pStyle w:val="TableParagraph"/>
              <w:spacing w:line="120" w:lineRule="exact"/>
              <w:ind w:right="49"/>
              <w:jc w:val="right"/>
              <w:rPr>
                <w:sz w:val="14"/>
              </w:rPr>
            </w:pPr>
            <w:r>
              <w:rPr>
                <w:color w:val="231F20"/>
                <w:sz w:val="14"/>
              </w:rPr>
              <w:t>1.1</w:t>
            </w:r>
          </w:p>
        </w:tc>
      </w:tr>
      <w:tr>
        <w:trPr>
          <w:trHeight w:val="140" w:hRule="atLeast"/>
        </w:trPr>
        <w:tc>
          <w:tcPr>
            <w:tcW w:w="1375" w:type="dxa"/>
          </w:tcPr>
          <w:p>
            <w:pPr>
              <w:pStyle w:val="TableParagraph"/>
              <w:spacing w:line="120" w:lineRule="exact"/>
              <w:ind w:left="50"/>
              <w:rPr>
                <w:sz w:val="14"/>
              </w:rPr>
            </w:pPr>
            <w:r>
              <w:rPr>
                <w:color w:val="231F20"/>
                <w:sz w:val="14"/>
              </w:rPr>
              <w:t>Italy</w:t>
            </w:r>
          </w:p>
        </w:tc>
        <w:tc>
          <w:tcPr>
            <w:tcW w:w="1011" w:type="dxa"/>
          </w:tcPr>
          <w:p>
            <w:pPr>
              <w:pStyle w:val="TableParagraph"/>
              <w:spacing w:line="120" w:lineRule="exact"/>
              <w:ind w:left="114"/>
              <w:rPr>
                <w:sz w:val="14"/>
              </w:rPr>
            </w:pPr>
            <w:r>
              <w:rPr>
                <w:color w:val="231F20"/>
                <w:sz w:val="14"/>
              </w:rPr>
              <w:t>1.6</w:t>
            </w:r>
          </w:p>
        </w:tc>
        <w:tc>
          <w:tcPr>
            <w:tcW w:w="771" w:type="dxa"/>
          </w:tcPr>
          <w:p>
            <w:pPr>
              <w:pStyle w:val="TableParagraph"/>
              <w:spacing w:line="120" w:lineRule="exact"/>
              <w:ind w:right="49"/>
              <w:jc w:val="right"/>
              <w:rPr>
                <w:sz w:val="14"/>
              </w:rPr>
            </w:pPr>
            <w:r>
              <w:rPr>
                <w:color w:val="231F20"/>
                <w:sz w:val="14"/>
              </w:rPr>
              <w:t>1.8</w:t>
            </w:r>
          </w:p>
        </w:tc>
      </w:tr>
      <w:tr>
        <w:trPr>
          <w:trHeight w:val="140" w:hRule="atLeast"/>
        </w:trPr>
        <w:tc>
          <w:tcPr>
            <w:tcW w:w="1375" w:type="dxa"/>
          </w:tcPr>
          <w:p>
            <w:pPr>
              <w:pStyle w:val="TableParagraph"/>
              <w:spacing w:line="120" w:lineRule="exact"/>
              <w:ind w:left="50"/>
              <w:rPr>
                <w:sz w:val="14"/>
              </w:rPr>
            </w:pPr>
            <w:r>
              <w:rPr>
                <w:color w:val="231F20"/>
                <w:sz w:val="14"/>
              </w:rPr>
              <w:t>Luxembourg</w:t>
            </w:r>
          </w:p>
        </w:tc>
        <w:tc>
          <w:tcPr>
            <w:tcW w:w="1011" w:type="dxa"/>
          </w:tcPr>
          <w:p>
            <w:pPr>
              <w:pStyle w:val="TableParagraph"/>
              <w:spacing w:line="120" w:lineRule="exact"/>
              <w:ind w:left="114"/>
              <w:rPr>
                <w:sz w:val="14"/>
              </w:rPr>
            </w:pPr>
            <w:r>
              <w:rPr>
                <w:color w:val="231F20"/>
                <w:sz w:val="14"/>
              </w:rPr>
              <w:t>n.a.</w:t>
            </w:r>
          </w:p>
        </w:tc>
        <w:tc>
          <w:tcPr>
            <w:tcW w:w="771" w:type="dxa"/>
          </w:tcPr>
          <w:p>
            <w:pPr>
              <w:pStyle w:val="TableParagraph"/>
              <w:spacing w:line="120" w:lineRule="exact"/>
              <w:ind w:right="50"/>
              <w:jc w:val="right"/>
              <w:rPr>
                <w:sz w:val="14"/>
              </w:rPr>
            </w:pPr>
            <w:r>
              <w:rPr>
                <w:color w:val="231F20"/>
                <w:sz w:val="14"/>
              </w:rPr>
              <w:t>1.5</w:t>
            </w:r>
          </w:p>
        </w:tc>
      </w:tr>
      <w:tr>
        <w:trPr>
          <w:trHeight w:val="140" w:hRule="atLeast"/>
        </w:trPr>
        <w:tc>
          <w:tcPr>
            <w:tcW w:w="1375" w:type="dxa"/>
          </w:tcPr>
          <w:p>
            <w:pPr>
              <w:pStyle w:val="TableParagraph"/>
              <w:spacing w:line="120" w:lineRule="exact"/>
              <w:ind w:left="50"/>
              <w:rPr>
                <w:sz w:val="14"/>
              </w:rPr>
            </w:pPr>
            <w:r>
              <w:rPr>
                <w:color w:val="231F20"/>
                <w:sz w:val="14"/>
              </w:rPr>
              <w:t>Netherlands</w:t>
            </w:r>
          </w:p>
        </w:tc>
        <w:tc>
          <w:tcPr>
            <w:tcW w:w="1011" w:type="dxa"/>
          </w:tcPr>
          <w:p>
            <w:pPr>
              <w:pStyle w:val="TableParagraph"/>
              <w:spacing w:line="120" w:lineRule="exact"/>
              <w:ind w:left="114"/>
              <w:rPr>
                <w:sz w:val="14"/>
              </w:rPr>
            </w:pPr>
            <w:r>
              <w:rPr>
                <w:color w:val="231F20"/>
                <w:sz w:val="14"/>
              </w:rPr>
              <w:t>2.5</w:t>
            </w:r>
          </w:p>
        </w:tc>
        <w:tc>
          <w:tcPr>
            <w:tcW w:w="771" w:type="dxa"/>
          </w:tcPr>
          <w:p>
            <w:pPr>
              <w:pStyle w:val="TableParagraph"/>
              <w:spacing w:line="120" w:lineRule="exact"/>
              <w:ind w:right="49"/>
              <w:jc w:val="right"/>
              <w:rPr>
                <w:sz w:val="14"/>
              </w:rPr>
            </w:pPr>
            <w:r>
              <w:rPr>
                <w:color w:val="231F20"/>
                <w:sz w:val="14"/>
              </w:rPr>
              <w:t>2.6</w:t>
            </w:r>
          </w:p>
        </w:tc>
      </w:tr>
      <w:tr>
        <w:trPr>
          <w:trHeight w:val="140" w:hRule="atLeast"/>
        </w:trPr>
        <w:tc>
          <w:tcPr>
            <w:tcW w:w="1375" w:type="dxa"/>
          </w:tcPr>
          <w:p>
            <w:pPr>
              <w:pStyle w:val="TableParagraph"/>
              <w:spacing w:line="120" w:lineRule="exact"/>
              <w:ind w:left="50"/>
              <w:rPr>
                <w:sz w:val="14"/>
              </w:rPr>
            </w:pPr>
            <w:r>
              <w:rPr>
                <w:color w:val="231F20"/>
                <w:sz w:val="14"/>
              </w:rPr>
              <w:t>Portugal</w:t>
            </w:r>
          </w:p>
        </w:tc>
        <w:tc>
          <w:tcPr>
            <w:tcW w:w="1011" w:type="dxa"/>
          </w:tcPr>
          <w:p>
            <w:pPr>
              <w:pStyle w:val="TableParagraph"/>
              <w:spacing w:line="120" w:lineRule="exact"/>
              <w:ind w:left="114"/>
              <w:rPr>
                <w:sz w:val="14"/>
              </w:rPr>
            </w:pPr>
            <w:r>
              <w:rPr>
                <w:color w:val="231F20"/>
                <w:sz w:val="14"/>
              </w:rPr>
              <w:t>2.1</w:t>
            </w:r>
          </w:p>
        </w:tc>
        <w:tc>
          <w:tcPr>
            <w:tcW w:w="771" w:type="dxa"/>
          </w:tcPr>
          <w:p>
            <w:pPr>
              <w:pStyle w:val="TableParagraph"/>
              <w:spacing w:line="120" w:lineRule="exact"/>
              <w:ind w:right="49"/>
              <w:jc w:val="right"/>
              <w:rPr>
                <w:sz w:val="14"/>
              </w:rPr>
            </w:pPr>
            <w:r>
              <w:rPr>
                <w:color w:val="231F20"/>
                <w:sz w:val="14"/>
              </w:rPr>
              <w:t>1.9</w:t>
            </w:r>
          </w:p>
        </w:tc>
      </w:tr>
      <w:tr>
        <w:trPr>
          <w:trHeight w:val="140" w:hRule="atLeast"/>
        </w:trPr>
        <w:tc>
          <w:tcPr>
            <w:tcW w:w="1375" w:type="dxa"/>
          </w:tcPr>
          <w:p>
            <w:pPr>
              <w:pStyle w:val="TableParagraph"/>
              <w:spacing w:line="120" w:lineRule="exact"/>
              <w:ind w:left="50"/>
              <w:rPr>
                <w:sz w:val="14"/>
              </w:rPr>
            </w:pPr>
            <w:r>
              <w:rPr>
                <w:color w:val="231F20"/>
                <w:sz w:val="14"/>
              </w:rPr>
              <w:t>Spain</w:t>
            </w:r>
          </w:p>
        </w:tc>
        <w:tc>
          <w:tcPr>
            <w:tcW w:w="1011" w:type="dxa"/>
          </w:tcPr>
          <w:p>
            <w:pPr>
              <w:pStyle w:val="TableParagraph"/>
              <w:spacing w:line="120" w:lineRule="exact"/>
              <w:ind w:left="115"/>
              <w:rPr>
                <w:sz w:val="14"/>
              </w:rPr>
            </w:pPr>
            <w:r>
              <w:rPr>
                <w:color w:val="231F20"/>
                <w:sz w:val="14"/>
              </w:rPr>
              <w:t>2.1</w:t>
            </w:r>
          </w:p>
        </w:tc>
        <w:tc>
          <w:tcPr>
            <w:tcW w:w="771" w:type="dxa"/>
          </w:tcPr>
          <w:p>
            <w:pPr>
              <w:pStyle w:val="TableParagraph"/>
              <w:spacing w:line="120" w:lineRule="exact"/>
              <w:ind w:right="49"/>
              <w:jc w:val="right"/>
              <w:rPr>
                <w:sz w:val="14"/>
              </w:rPr>
            </w:pPr>
            <w:r>
              <w:rPr>
                <w:color w:val="231F20"/>
                <w:sz w:val="14"/>
              </w:rPr>
              <w:t>1.9</w:t>
            </w:r>
          </w:p>
        </w:tc>
      </w:tr>
      <w:tr>
        <w:trPr>
          <w:trHeight w:val="140" w:hRule="atLeast"/>
        </w:trPr>
        <w:tc>
          <w:tcPr>
            <w:tcW w:w="1375" w:type="dxa"/>
          </w:tcPr>
          <w:p>
            <w:pPr>
              <w:pStyle w:val="TableParagraph"/>
              <w:spacing w:line="120" w:lineRule="exact"/>
              <w:ind w:left="50"/>
              <w:rPr>
                <w:sz w:val="14"/>
              </w:rPr>
            </w:pPr>
            <w:r>
              <w:rPr>
                <w:color w:val="231F20"/>
                <w:sz w:val="14"/>
              </w:rPr>
              <w:t>Sweden</w:t>
            </w:r>
          </w:p>
        </w:tc>
        <w:tc>
          <w:tcPr>
            <w:tcW w:w="1011" w:type="dxa"/>
          </w:tcPr>
          <w:p>
            <w:pPr>
              <w:pStyle w:val="TableParagraph"/>
              <w:spacing w:line="120" w:lineRule="exact"/>
              <w:ind w:left="115"/>
              <w:rPr>
                <w:sz w:val="14"/>
              </w:rPr>
            </w:pPr>
            <w:r>
              <w:rPr>
                <w:color w:val="231F20"/>
                <w:sz w:val="14"/>
              </w:rPr>
              <w:t>1.6</w:t>
            </w:r>
          </w:p>
        </w:tc>
        <w:tc>
          <w:tcPr>
            <w:tcW w:w="771" w:type="dxa"/>
          </w:tcPr>
          <w:p>
            <w:pPr>
              <w:pStyle w:val="TableParagraph"/>
              <w:spacing w:line="120" w:lineRule="exact"/>
              <w:ind w:right="49"/>
              <w:jc w:val="right"/>
              <w:rPr>
                <w:sz w:val="14"/>
              </w:rPr>
            </w:pPr>
            <w:r>
              <w:rPr>
                <w:color w:val="231F20"/>
                <w:sz w:val="14"/>
              </w:rPr>
              <w:t>2.7</w:t>
            </w:r>
          </w:p>
        </w:tc>
      </w:tr>
      <w:tr>
        <w:trPr>
          <w:trHeight w:val="147" w:hRule="atLeast"/>
        </w:trPr>
        <w:tc>
          <w:tcPr>
            <w:tcW w:w="1375" w:type="dxa"/>
          </w:tcPr>
          <w:p>
            <w:pPr>
              <w:pStyle w:val="TableParagraph"/>
              <w:spacing w:line="128" w:lineRule="exact"/>
              <w:ind w:left="50"/>
              <w:rPr>
                <w:sz w:val="14"/>
              </w:rPr>
            </w:pPr>
            <w:r>
              <w:rPr>
                <w:color w:val="231F20"/>
                <w:sz w:val="14"/>
              </w:rPr>
              <w:t>United Kingdom</w:t>
            </w:r>
          </w:p>
        </w:tc>
        <w:tc>
          <w:tcPr>
            <w:tcW w:w="1011" w:type="dxa"/>
          </w:tcPr>
          <w:p>
            <w:pPr>
              <w:pStyle w:val="TableParagraph"/>
              <w:spacing w:line="128" w:lineRule="exact"/>
              <w:ind w:left="115"/>
              <w:rPr>
                <w:sz w:val="12"/>
              </w:rPr>
            </w:pPr>
            <w:r>
              <w:rPr>
                <w:color w:val="231F20"/>
                <w:sz w:val="14"/>
              </w:rPr>
              <w:t>2.8 </w:t>
            </w:r>
            <w:r>
              <w:rPr>
                <w:color w:val="231F20"/>
                <w:sz w:val="12"/>
              </w:rPr>
              <w:t>(b)</w:t>
            </w:r>
          </w:p>
        </w:tc>
        <w:tc>
          <w:tcPr>
            <w:tcW w:w="771" w:type="dxa"/>
          </w:tcPr>
          <w:p>
            <w:pPr>
              <w:pStyle w:val="TableParagraph"/>
              <w:spacing w:line="128" w:lineRule="exact"/>
              <w:ind w:right="50"/>
              <w:jc w:val="right"/>
              <w:rPr>
                <w:sz w:val="14"/>
              </w:rPr>
            </w:pPr>
            <w:r>
              <w:rPr>
                <w:color w:val="231F20"/>
                <w:sz w:val="14"/>
              </w:rPr>
              <w:t>2.0</w:t>
            </w:r>
          </w:p>
        </w:tc>
      </w:tr>
      <w:tr>
        <w:trPr>
          <w:trHeight w:val="272" w:hRule="atLeast"/>
        </w:trPr>
        <w:tc>
          <w:tcPr>
            <w:tcW w:w="1375" w:type="dxa"/>
          </w:tcPr>
          <w:p>
            <w:pPr>
              <w:pStyle w:val="TableParagraph"/>
              <w:spacing w:line="133" w:lineRule="exact" w:before="119"/>
              <w:ind w:left="50"/>
              <w:rPr>
                <w:sz w:val="14"/>
              </w:rPr>
            </w:pPr>
            <w:r>
              <w:rPr>
                <w:color w:val="231F20"/>
                <w:sz w:val="14"/>
              </w:rPr>
              <w:t>Mean (unweighted)</w:t>
            </w:r>
          </w:p>
        </w:tc>
        <w:tc>
          <w:tcPr>
            <w:tcW w:w="1011" w:type="dxa"/>
          </w:tcPr>
          <w:p>
            <w:pPr>
              <w:pStyle w:val="TableParagraph"/>
              <w:spacing w:line="133" w:lineRule="exact" w:before="119"/>
              <w:ind w:left="115"/>
              <w:rPr>
                <w:sz w:val="14"/>
              </w:rPr>
            </w:pPr>
            <w:r>
              <w:rPr>
                <w:color w:val="231F20"/>
                <w:sz w:val="14"/>
              </w:rPr>
              <w:t>2.1</w:t>
            </w:r>
          </w:p>
        </w:tc>
        <w:tc>
          <w:tcPr>
            <w:tcW w:w="771" w:type="dxa"/>
          </w:tcPr>
          <w:p>
            <w:pPr>
              <w:pStyle w:val="TableParagraph"/>
              <w:spacing w:line="133" w:lineRule="exact" w:before="119"/>
              <w:ind w:right="49"/>
              <w:jc w:val="right"/>
              <w:rPr>
                <w:sz w:val="14"/>
              </w:rPr>
            </w:pPr>
            <w:r>
              <w:rPr>
                <w:color w:val="231F20"/>
                <w:sz w:val="14"/>
              </w:rPr>
              <w:t>1.9</w:t>
            </w:r>
          </w:p>
        </w:tc>
      </w:tr>
      <w:tr>
        <w:trPr>
          <w:trHeight w:val="147" w:hRule="atLeast"/>
        </w:trPr>
        <w:tc>
          <w:tcPr>
            <w:tcW w:w="1375" w:type="dxa"/>
          </w:tcPr>
          <w:p>
            <w:pPr>
              <w:pStyle w:val="TableParagraph"/>
              <w:spacing w:line="128" w:lineRule="exact"/>
              <w:ind w:left="50"/>
              <w:rPr>
                <w:sz w:val="14"/>
              </w:rPr>
            </w:pPr>
            <w:r>
              <w:rPr>
                <w:color w:val="231F20"/>
                <w:sz w:val="14"/>
              </w:rPr>
              <w:t>Median (unweighted)</w:t>
            </w:r>
          </w:p>
        </w:tc>
        <w:tc>
          <w:tcPr>
            <w:tcW w:w="1011" w:type="dxa"/>
          </w:tcPr>
          <w:p>
            <w:pPr>
              <w:pStyle w:val="TableParagraph"/>
              <w:spacing w:line="128" w:lineRule="exact"/>
              <w:ind w:left="115"/>
              <w:rPr>
                <w:sz w:val="14"/>
              </w:rPr>
            </w:pPr>
            <w:r>
              <w:rPr>
                <w:color w:val="231F20"/>
                <w:sz w:val="14"/>
              </w:rPr>
              <w:t>1.9</w:t>
            </w:r>
          </w:p>
        </w:tc>
        <w:tc>
          <w:tcPr>
            <w:tcW w:w="771" w:type="dxa"/>
          </w:tcPr>
          <w:p>
            <w:pPr>
              <w:pStyle w:val="TableParagraph"/>
              <w:spacing w:line="128" w:lineRule="exact"/>
              <w:ind w:right="49"/>
              <w:jc w:val="right"/>
              <w:rPr>
                <w:sz w:val="14"/>
              </w:rPr>
            </w:pPr>
            <w:r>
              <w:rPr>
                <w:color w:val="231F20"/>
                <w:sz w:val="14"/>
              </w:rPr>
              <w:t>1.7</w:t>
            </w:r>
          </w:p>
        </w:tc>
      </w:tr>
    </w:tbl>
    <w:p>
      <w:pPr>
        <w:spacing w:before="97"/>
        <w:ind w:left="208" w:right="0" w:firstLine="0"/>
        <w:jc w:val="left"/>
        <w:rPr>
          <w:sz w:val="12"/>
        </w:rPr>
      </w:pPr>
      <w:r>
        <w:rPr>
          <w:color w:val="231F20"/>
          <w:sz w:val="12"/>
        </w:rPr>
        <w:t>Sources: Eurostat, EMI and ONS.</w:t>
      </w:r>
    </w:p>
    <w:p>
      <w:pPr>
        <w:pStyle w:val="ListParagraph"/>
        <w:numPr>
          <w:ilvl w:val="0"/>
          <w:numId w:val="26"/>
        </w:numPr>
        <w:tabs>
          <w:tab w:pos="402" w:val="left" w:leader="none"/>
        </w:tabs>
        <w:spacing w:line="129" w:lineRule="exact" w:before="102" w:after="0"/>
        <w:ind w:left="401" w:right="0" w:hanging="194"/>
        <w:jc w:val="left"/>
        <w:rPr>
          <w:sz w:val="12"/>
        </w:rPr>
      </w:pPr>
      <w:r>
        <w:rPr>
          <w:color w:val="231F20"/>
          <w:sz w:val="12"/>
        </w:rPr>
        <w:t>Headline national measures.</w:t>
      </w:r>
    </w:p>
    <w:p>
      <w:pPr>
        <w:pStyle w:val="ListParagraph"/>
        <w:numPr>
          <w:ilvl w:val="0"/>
          <w:numId w:val="26"/>
        </w:numPr>
        <w:tabs>
          <w:tab w:pos="409" w:val="left" w:leader="none"/>
        </w:tabs>
        <w:spacing w:line="129" w:lineRule="exact" w:before="0" w:after="0"/>
        <w:ind w:left="408" w:right="0" w:hanging="201"/>
        <w:jc w:val="left"/>
        <w:rPr>
          <w:sz w:val="12"/>
        </w:rPr>
      </w:pPr>
      <w:r>
        <w:rPr>
          <w:color w:val="231F20"/>
          <w:sz w:val="12"/>
        </w:rPr>
        <w:t>RPIX.</w:t>
      </w:r>
    </w:p>
    <w:p>
      <w:pPr>
        <w:pStyle w:val="BodyText"/>
        <w:rPr>
          <w:sz w:val="12"/>
        </w:rPr>
      </w:pPr>
    </w:p>
    <w:p>
      <w:pPr>
        <w:pStyle w:val="BodyText"/>
        <w:rPr>
          <w:sz w:val="12"/>
        </w:rPr>
      </w:pPr>
    </w:p>
    <w:p>
      <w:pPr>
        <w:pStyle w:val="BodyText"/>
        <w:rPr>
          <w:sz w:val="12"/>
        </w:rPr>
      </w:pPr>
    </w:p>
    <w:p>
      <w:pPr>
        <w:pStyle w:val="Heading9"/>
        <w:spacing w:line="249" w:lineRule="auto" w:before="74"/>
        <w:ind w:left="208" w:right="1973"/>
      </w:pPr>
      <w:r>
        <w:rPr>
          <w:color w:val="0093C1"/>
        </w:rPr>
        <w:t>Table 4.E Annual inflation</w:t>
      </w:r>
    </w:p>
    <w:p>
      <w:pPr>
        <w:spacing w:before="97"/>
        <w:ind w:left="208" w:right="0" w:firstLine="0"/>
        <w:jc w:val="left"/>
        <w:rPr>
          <w:sz w:val="14"/>
        </w:rPr>
      </w:pPr>
      <w:r>
        <w:rPr>
          <w:color w:val="231F20"/>
          <w:sz w:val="14"/>
        </w:rPr>
        <w:t>Percentage increases in prices on a year earlier</w:t>
      </w:r>
    </w:p>
    <w:p>
      <w:pPr>
        <w:tabs>
          <w:tab w:pos="3309" w:val="left" w:leader="none"/>
        </w:tabs>
        <w:spacing w:line="150" w:lineRule="exact" w:before="119"/>
        <w:ind w:left="1168" w:right="0" w:firstLine="0"/>
        <w:jc w:val="left"/>
        <w:rPr>
          <w:sz w:val="14"/>
        </w:rPr>
      </w:pPr>
      <w:r>
        <w:rPr>
          <w:color w:val="231F20"/>
          <w:sz w:val="14"/>
          <w:u w:val="single" w:color="231F20"/>
        </w:rPr>
        <w:t>1997</w:t>
        <w:tab/>
      </w:r>
    </w:p>
    <w:p>
      <w:pPr>
        <w:tabs>
          <w:tab w:pos="1648" w:val="left" w:leader="none"/>
          <w:tab w:pos="2608" w:val="left" w:leader="none"/>
          <w:tab w:pos="3088" w:val="left" w:leader="none"/>
        </w:tabs>
        <w:spacing w:line="150" w:lineRule="exact" w:before="0"/>
        <w:ind w:left="1168" w:right="0" w:firstLine="0"/>
        <w:jc w:val="left"/>
        <w:rPr>
          <w:sz w:val="14"/>
        </w:rPr>
      </w:pPr>
      <w:r>
        <w:rPr>
          <w:color w:val="231F20"/>
          <w:sz w:val="14"/>
        </w:rPr>
        <w:t>Aug.</w:t>
        <w:tab/>
        <w:t>Sept.    </w:t>
      </w:r>
      <w:r>
        <w:rPr>
          <w:color w:val="231F20"/>
          <w:spacing w:val="21"/>
          <w:sz w:val="14"/>
        </w:rPr>
        <w:t> </w:t>
      </w:r>
      <w:r>
        <w:rPr>
          <w:color w:val="231F20"/>
          <w:sz w:val="14"/>
        </w:rPr>
        <w:t>Oct.</w:t>
        <w:tab/>
        <w:t>Nov.</w:t>
        <w:tab/>
        <w:t>Dec.</w:t>
      </w:r>
    </w:p>
    <w:p>
      <w:pPr>
        <w:pStyle w:val="BodyText"/>
        <w:spacing w:before="5"/>
        <w:rPr>
          <w:sz w:val="2"/>
        </w:rPr>
      </w:pP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200"/>
        <w:gridCol w:w="277"/>
        <w:gridCol w:w="211"/>
        <w:gridCol w:w="224"/>
        <w:gridCol w:w="256"/>
        <w:gridCol w:w="251"/>
        <w:gridCol w:w="228"/>
        <w:gridCol w:w="223"/>
      </w:tblGrid>
      <w:tr>
        <w:trPr>
          <w:trHeight w:val="242" w:hRule="atLeast"/>
        </w:trPr>
        <w:tc>
          <w:tcPr>
            <w:tcW w:w="1282" w:type="dxa"/>
            <w:tcBorders>
              <w:top w:val="single" w:sz="2" w:space="0" w:color="231F20"/>
            </w:tcBorders>
          </w:tcPr>
          <w:p>
            <w:pPr>
              <w:pStyle w:val="TableParagraph"/>
              <w:tabs>
                <w:tab w:pos="1184" w:val="right" w:leader="none"/>
              </w:tabs>
              <w:spacing w:line="133" w:lineRule="exact" w:before="89"/>
              <w:ind w:left="50"/>
              <w:rPr>
                <w:sz w:val="14"/>
              </w:rPr>
            </w:pPr>
            <w:r>
              <w:rPr>
                <w:color w:val="231F20"/>
                <w:sz w:val="14"/>
              </w:rPr>
              <w:t>HARP</w:t>
            </w:r>
            <w:r>
              <w:rPr>
                <w:color w:val="231F20"/>
                <w:spacing w:val="-1"/>
                <w:sz w:val="14"/>
              </w:rPr>
              <w:t> </w:t>
            </w:r>
            <w:r>
              <w:rPr>
                <w:color w:val="231F20"/>
                <w:sz w:val="12"/>
              </w:rPr>
              <w:t>(a)</w:t>
              <w:tab/>
            </w:r>
            <w:r>
              <w:rPr>
                <w:color w:val="231F20"/>
                <w:sz w:val="14"/>
              </w:rPr>
              <w:t>3.4</w:t>
            </w:r>
          </w:p>
        </w:tc>
        <w:tc>
          <w:tcPr>
            <w:tcW w:w="200" w:type="dxa"/>
          </w:tcPr>
          <w:p>
            <w:pPr>
              <w:pStyle w:val="TableParagraph"/>
              <w:rPr>
                <w:sz w:val="16"/>
              </w:rPr>
            </w:pPr>
          </w:p>
        </w:tc>
        <w:tc>
          <w:tcPr>
            <w:tcW w:w="277" w:type="dxa"/>
            <w:tcBorders>
              <w:top w:val="single" w:sz="2" w:space="0" w:color="231F20"/>
            </w:tcBorders>
          </w:tcPr>
          <w:p>
            <w:pPr>
              <w:pStyle w:val="TableParagraph"/>
              <w:spacing w:line="133" w:lineRule="exact" w:before="89"/>
              <w:ind w:left="8"/>
              <w:rPr>
                <w:sz w:val="14"/>
              </w:rPr>
            </w:pPr>
            <w:r>
              <w:rPr>
                <w:color w:val="231F20"/>
                <w:sz w:val="14"/>
              </w:rPr>
              <w:t>3.3</w:t>
            </w:r>
          </w:p>
        </w:tc>
        <w:tc>
          <w:tcPr>
            <w:tcW w:w="211" w:type="dxa"/>
          </w:tcPr>
          <w:p>
            <w:pPr>
              <w:pStyle w:val="TableParagraph"/>
              <w:rPr>
                <w:sz w:val="16"/>
              </w:rPr>
            </w:pPr>
          </w:p>
        </w:tc>
        <w:tc>
          <w:tcPr>
            <w:tcW w:w="224" w:type="dxa"/>
            <w:tcBorders>
              <w:top w:val="single" w:sz="2" w:space="0" w:color="231F20"/>
            </w:tcBorders>
          </w:tcPr>
          <w:p>
            <w:pPr>
              <w:pStyle w:val="TableParagraph"/>
              <w:spacing w:line="133" w:lineRule="exact" w:before="89"/>
              <w:ind w:right="46"/>
              <w:jc w:val="center"/>
              <w:rPr>
                <w:sz w:val="14"/>
              </w:rPr>
            </w:pPr>
            <w:r>
              <w:rPr>
                <w:color w:val="231F20"/>
                <w:sz w:val="14"/>
              </w:rPr>
              <w:t>3.2</w:t>
            </w:r>
          </w:p>
        </w:tc>
        <w:tc>
          <w:tcPr>
            <w:tcW w:w="256" w:type="dxa"/>
          </w:tcPr>
          <w:p>
            <w:pPr>
              <w:pStyle w:val="TableParagraph"/>
              <w:rPr>
                <w:sz w:val="16"/>
              </w:rPr>
            </w:pPr>
          </w:p>
        </w:tc>
        <w:tc>
          <w:tcPr>
            <w:tcW w:w="251" w:type="dxa"/>
            <w:tcBorders>
              <w:top w:val="single" w:sz="2" w:space="0" w:color="231F20"/>
            </w:tcBorders>
          </w:tcPr>
          <w:p>
            <w:pPr>
              <w:pStyle w:val="TableParagraph"/>
              <w:spacing w:line="133" w:lineRule="exact" w:before="89"/>
              <w:rPr>
                <w:sz w:val="14"/>
              </w:rPr>
            </w:pPr>
            <w:r>
              <w:rPr>
                <w:color w:val="231F20"/>
                <w:sz w:val="14"/>
              </w:rPr>
              <w:t>3.3</w:t>
            </w:r>
          </w:p>
        </w:tc>
        <w:tc>
          <w:tcPr>
            <w:tcW w:w="228" w:type="dxa"/>
          </w:tcPr>
          <w:p>
            <w:pPr>
              <w:pStyle w:val="TableParagraph"/>
              <w:rPr>
                <w:sz w:val="16"/>
              </w:rPr>
            </w:pPr>
          </w:p>
        </w:tc>
        <w:tc>
          <w:tcPr>
            <w:tcW w:w="223" w:type="dxa"/>
            <w:tcBorders>
              <w:top w:val="single" w:sz="2" w:space="0" w:color="231F20"/>
            </w:tcBorders>
          </w:tcPr>
          <w:p>
            <w:pPr>
              <w:pStyle w:val="TableParagraph"/>
              <w:spacing w:line="133" w:lineRule="exact" w:before="89"/>
              <w:ind w:right="43"/>
              <w:jc w:val="center"/>
              <w:rPr>
                <w:sz w:val="14"/>
              </w:rPr>
            </w:pPr>
            <w:r>
              <w:rPr>
                <w:color w:val="231F20"/>
                <w:sz w:val="14"/>
              </w:rPr>
              <w:t>2.8</w:t>
            </w:r>
          </w:p>
        </w:tc>
      </w:tr>
      <w:tr>
        <w:trPr>
          <w:trHeight w:val="140" w:hRule="atLeast"/>
        </w:trPr>
        <w:tc>
          <w:tcPr>
            <w:tcW w:w="1282" w:type="dxa"/>
          </w:tcPr>
          <w:p>
            <w:pPr>
              <w:pStyle w:val="TableParagraph"/>
              <w:tabs>
                <w:tab w:pos="1184" w:val="right" w:leader="none"/>
              </w:tabs>
              <w:spacing w:line="120" w:lineRule="exact"/>
              <w:ind w:left="50"/>
              <w:rPr>
                <w:sz w:val="14"/>
              </w:rPr>
            </w:pPr>
            <w:r>
              <w:rPr>
                <w:color w:val="231F20"/>
                <w:sz w:val="14"/>
              </w:rPr>
              <w:t>THARP</w:t>
            </w:r>
            <w:r>
              <w:rPr>
                <w:color w:val="231F20"/>
                <w:spacing w:val="-1"/>
                <w:sz w:val="14"/>
              </w:rPr>
              <w:t> </w:t>
            </w:r>
            <w:r>
              <w:rPr>
                <w:color w:val="231F20"/>
                <w:sz w:val="12"/>
              </w:rPr>
              <w:t>(a)</w:t>
              <w:tab/>
            </w:r>
            <w:r>
              <w:rPr>
                <w:color w:val="231F20"/>
                <w:sz w:val="14"/>
              </w:rPr>
              <w:t>2.9</w:t>
            </w:r>
          </w:p>
        </w:tc>
        <w:tc>
          <w:tcPr>
            <w:tcW w:w="200" w:type="dxa"/>
          </w:tcPr>
          <w:p>
            <w:pPr>
              <w:pStyle w:val="TableParagraph"/>
              <w:rPr>
                <w:sz w:val="8"/>
              </w:rPr>
            </w:pPr>
          </w:p>
        </w:tc>
        <w:tc>
          <w:tcPr>
            <w:tcW w:w="277" w:type="dxa"/>
          </w:tcPr>
          <w:p>
            <w:pPr>
              <w:pStyle w:val="TableParagraph"/>
              <w:spacing w:line="120" w:lineRule="exact"/>
              <w:ind w:left="8"/>
              <w:rPr>
                <w:sz w:val="14"/>
              </w:rPr>
            </w:pPr>
            <w:r>
              <w:rPr>
                <w:color w:val="231F20"/>
                <w:sz w:val="14"/>
              </w:rPr>
              <w:t>3.0</w:t>
            </w:r>
          </w:p>
        </w:tc>
        <w:tc>
          <w:tcPr>
            <w:tcW w:w="211" w:type="dxa"/>
          </w:tcPr>
          <w:p>
            <w:pPr>
              <w:pStyle w:val="TableParagraph"/>
              <w:rPr>
                <w:sz w:val="8"/>
              </w:rPr>
            </w:pPr>
          </w:p>
        </w:tc>
        <w:tc>
          <w:tcPr>
            <w:tcW w:w="224" w:type="dxa"/>
          </w:tcPr>
          <w:p>
            <w:pPr>
              <w:pStyle w:val="TableParagraph"/>
              <w:spacing w:line="120" w:lineRule="exact"/>
              <w:ind w:right="46"/>
              <w:jc w:val="center"/>
              <w:rPr>
                <w:sz w:val="14"/>
              </w:rPr>
            </w:pPr>
            <w:r>
              <w:rPr>
                <w:color w:val="231F20"/>
                <w:sz w:val="14"/>
              </w:rPr>
              <w:t>2.8</w:t>
            </w:r>
          </w:p>
        </w:tc>
        <w:tc>
          <w:tcPr>
            <w:tcW w:w="256" w:type="dxa"/>
          </w:tcPr>
          <w:p>
            <w:pPr>
              <w:pStyle w:val="TableParagraph"/>
              <w:rPr>
                <w:sz w:val="8"/>
              </w:rPr>
            </w:pPr>
          </w:p>
        </w:tc>
        <w:tc>
          <w:tcPr>
            <w:tcW w:w="251" w:type="dxa"/>
          </w:tcPr>
          <w:p>
            <w:pPr>
              <w:pStyle w:val="TableParagraph"/>
              <w:spacing w:line="120" w:lineRule="exact"/>
              <w:rPr>
                <w:sz w:val="14"/>
              </w:rPr>
            </w:pPr>
            <w:r>
              <w:rPr>
                <w:color w:val="231F20"/>
                <w:sz w:val="14"/>
              </w:rPr>
              <w:t>2.9</w:t>
            </w:r>
          </w:p>
        </w:tc>
        <w:tc>
          <w:tcPr>
            <w:tcW w:w="228" w:type="dxa"/>
          </w:tcPr>
          <w:p>
            <w:pPr>
              <w:pStyle w:val="TableParagraph"/>
              <w:rPr>
                <w:sz w:val="8"/>
              </w:rPr>
            </w:pPr>
          </w:p>
        </w:tc>
        <w:tc>
          <w:tcPr>
            <w:tcW w:w="223" w:type="dxa"/>
          </w:tcPr>
          <w:p>
            <w:pPr>
              <w:pStyle w:val="TableParagraph"/>
              <w:spacing w:line="120" w:lineRule="exact"/>
              <w:ind w:right="43"/>
              <w:jc w:val="center"/>
              <w:rPr>
                <w:sz w:val="14"/>
              </w:rPr>
            </w:pPr>
            <w:r>
              <w:rPr>
                <w:color w:val="231F20"/>
                <w:sz w:val="14"/>
              </w:rPr>
              <w:t>2.6</w:t>
            </w:r>
          </w:p>
        </w:tc>
      </w:tr>
      <w:tr>
        <w:trPr>
          <w:trHeight w:val="140" w:hRule="atLeast"/>
        </w:trPr>
        <w:tc>
          <w:tcPr>
            <w:tcW w:w="1282" w:type="dxa"/>
          </w:tcPr>
          <w:p>
            <w:pPr>
              <w:pStyle w:val="TableParagraph"/>
              <w:spacing w:line="120" w:lineRule="exact"/>
              <w:ind w:left="50"/>
              <w:rPr>
                <w:sz w:val="14"/>
              </w:rPr>
            </w:pPr>
            <w:r>
              <w:rPr>
                <w:color w:val="231F20"/>
                <w:sz w:val="14"/>
              </w:rPr>
              <w:t>Trimmed mean 2.5</w:t>
            </w:r>
          </w:p>
        </w:tc>
        <w:tc>
          <w:tcPr>
            <w:tcW w:w="200" w:type="dxa"/>
          </w:tcPr>
          <w:p>
            <w:pPr>
              <w:pStyle w:val="TableParagraph"/>
              <w:rPr>
                <w:sz w:val="8"/>
              </w:rPr>
            </w:pPr>
          </w:p>
        </w:tc>
        <w:tc>
          <w:tcPr>
            <w:tcW w:w="277" w:type="dxa"/>
          </w:tcPr>
          <w:p>
            <w:pPr>
              <w:pStyle w:val="TableParagraph"/>
              <w:spacing w:line="120" w:lineRule="exact"/>
              <w:ind w:left="8"/>
              <w:rPr>
                <w:sz w:val="14"/>
              </w:rPr>
            </w:pPr>
            <w:r>
              <w:rPr>
                <w:color w:val="231F20"/>
                <w:sz w:val="14"/>
              </w:rPr>
              <w:t>2.4</w:t>
            </w:r>
          </w:p>
        </w:tc>
        <w:tc>
          <w:tcPr>
            <w:tcW w:w="211" w:type="dxa"/>
          </w:tcPr>
          <w:p>
            <w:pPr>
              <w:pStyle w:val="TableParagraph"/>
              <w:rPr>
                <w:sz w:val="8"/>
              </w:rPr>
            </w:pPr>
          </w:p>
        </w:tc>
        <w:tc>
          <w:tcPr>
            <w:tcW w:w="224" w:type="dxa"/>
          </w:tcPr>
          <w:p>
            <w:pPr>
              <w:pStyle w:val="TableParagraph"/>
              <w:spacing w:line="120" w:lineRule="exact"/>
              <w:ind w:right="46"/>
              <w:jc w:val="center"/>
              <w:rPr>
                <w:sz w:val="14"/>
              </w:rPr>
            </w:pPr>
            <w:r>
              <w:rPr>
                <w:color w:val="231F20"/>
                <w:sz w:val="14"/>
              </w:rPr>
              <w:t>2.2</w:t>
            </w:r>
          </w:p>
        </w:tc>
        <w:tc>
          <w:tcPr>
            <w:tcW w:w="256" w:type="dxa"/>
          </w:tcPr>
          <w:p>
            <w:pPr>
              <w:pStyle w:val="TableParagraph"/>
              <w:rPr>
                <w:sz w:val="8"/>
              </w:rPr>
            </w:pPr>
          </w:p>
        </w:tc>
        <w:tc>
          <w:tcPr>
            <w:tcW w:w="251" w:type="dxa"/>
          </w:tcPr>
          <w:p>
            <w:pPr>
              <w:pStyle w:val="TableParagraph"/>
              <w:spacing w:line="120" w:lineRule="exact"/>
              <w:rPr>
                <w:sz w:val="14"/>
              </w:rPr>
            </w:pPr>
            <w:r>
              <w:rPr>
                <w:color w:val="231F20"/>
                <w:sz w:val="14"/>
              </w:rPr>
              <w:t>2.2</w:t>
            </w:r>
          </w:p>
        </w:tc>
        <w:tc>
          <w:tcPr>
            <w:tcW w:w="228" w:type="dxa"/>
          </w:tcPr>
          <w:p>
            <w:pPr>
              <w:pStyle w:val="TableParagraph"/>
              <w:rPr>
                <w:sz w:val="8"/>
              </w:rPr>
            </w:pPr>
          </w:p>
        </w:tc>
        <w:tc>
          <w:tcPr>
            <w:tcW w:w="223" w:type="dxa"/>
          </w:tcPr>
          <w:p>
            <w:pPr>
              <w:pStyle w:val="TableParagraph"/>
              <w:spacing w:line="120" w:lineRule="exact"/>
              <w:ind w:right="43"/>
              <w:jc w:val="center"/>
              <w:rPr>
                <w:sz w:val="14"/>
              </w:rPr>
            </w:pPr>
            <w:r>
              <w:rPr>
                <w:color w:val="231F20"/>
                <w:sz w:val="14"/>
              </w:rPr>
              <w:t>2.2</w:t>
            </w:r>
          </w:p>
        </w:tc>
      </w:tr>
      <w:tr>
        <w:trPr>
          <w:trHeight w:val="147" w:hRule="atLeast"/>
        </w:trPr>
        <w:tc>
          <w:tcPr>
            <w:tcW w:w="1282" w:type="dxa"/>
          </w:tcPr>
          <w:p>
            <w:pPr>
              <w:pStyle w:val="TableParagraph"/>
              <w:tabs>
                <w:tab w:pos="1184" w:val="right" w:leader="none"/>
              </w:tabs>
              <w:spacing w:line="128" w:lineRule="exact"/>
              <w:ind w:left="50"/>
              <w:rPr>
                <w:sz w:val="14"/>
              </w:rPr>
            </w:pPr>
            <w:r>
              <w:rPr>
                <w:color w:val="231F20"/>
                <w:sz w:val="14"/>
              </w:rPr>
              <w:t>Median</w:t>
              <w:tab/>
              <w:t>2.2</w:t>
            </w:r>
          </w:p>
        </w:tc>
        <w:tc>
          <w:tcPr>
            <w:tcW w:w="200" w:type="dxa"/>
          </w:tcPr>
          <w:p>
            <w:pPr>
              <w:pStyle w:val="TableParagraph"/>
              <w:rPr>
                <w:sz w:val="8"/>
              </w:rPr>
            </w:pPr>
          </w:p>
        </w:tc>
        <w:tc>
          <w:tcPr>
            <w:tcW w:w="277" w:type="dxa"/>
          </w:tcPr>
          <w:p>
            <w:pPr>
              <w:pStyle w:val="TableParagraph"/>
              <w:spacing w:line="128" w:lineRule="exact"/>
              <w:ind w:left="8"/>
              <w:rPr>
                <w:sz w:val="14"/>
              </w:rPr>
            </w:pPr>
            <w:r>
              <w:rPr>
                <w:color w:val="231F20"/>
                <w:sz w:val="14"/>
              </w:rPr>
              <w:t>2.2</w:t>
            </w:r>
          </w:p>
        </w:tc>
        <w:tc>
          <w:tcPr>
            <w:tcW w:w="211" w:type="dxa"/>
          </w:tcPr>
          <w:p>
            <w:pPr>
              <w:pStyle w:val="TableParagraph"/>
              <w:rPr>
                <w:sz w:val="8"/>
              </w:rPr>
            </w:pPr>
          </w:p>
        </w:tc>
        <w:tc>
          <w:tcPr>
            <w:tcW w:w="224" w:type="dxa"/>
          </w:tcPr>
          <w:p>
            <w:pPr>
              <w:pStyle w:val="TableParagraph"/>
              <w:spacing w:line="128" w:lineRule="exact"/>
              <w:ind w:right="46"/>
              <w:jc w:val="center"/>
              <w:rPr>
                <w:sz w:val="14"/>
              </w:rPr>
            </w:pPr>
            <w:r>
              <w:rPr>
                <w:color w:val="231F20"/>
                <w:sz w:val="14"/>
              </w:rPr>
              <w:t>2.4</w:t>
            </w:r>
          </w:p>
        </w:tc>
        <w:tc>
          <w:tcPr>
            <w:tcW w:w="256" w:type="dxa"/>
          </w:tcPr>
          <w:p>
            <w:pPr>
              <w:pStyle w:val="TableParagraph"/>
              <w:rPr>
                <w:sz w:val="8"/>
              </w:rPr>
            </w:pPr>
          </w:p>
        </w:tc>
        <w:tc>
          <w:tcPr>
            <w:tcW w:w="251" w:type="dxa"/>
          </w:tcPr>
          <w:p>
            <w:pPr>
              <w:pStyle w:val="TableParagraph"/>
              <w:spacing w:line="128" w:lineRule="exact"/>
              <w:rPr>
                <w:sz w:val="14"/>
              </w:rPr>
            </w:pPr>
            <w:r>
              <w:rPr>
                <w:color w:val="231F20"/>
                <w:sz w:val="14"/>
              </w:rPr>
              <w:t>2.3</w:t>
            </w:r>
          </w:p>
        </w:tc>
        <w:tc>
          <w:tcPr>
            <w:tcW w:w="228" w:type="dxa"/>
          </w:tcPr>
          <w:p>
            <w:pPr>
              <w:pStyle w:val="TableParagraph"/>
              <w:rPr>
                <w:sz w:val="8"/>
              </w:rPr>
            </w:pPr>
          </w:p>
        </w:tc>
        <w:tc>
          <w:tcPr>
            <w:tcW w:w="223" w:type="dxa"/>
          </w:tcPr>
          <w:p>
            <w:pPr>
              <w:pStyle w:val="TableParagraph"/>
              <w:spacing w:line="128" w:lineRule="exact"/>
              <w:ind w:right="43"/>
              <w:jc w:val="center"/>
              <w:rPr>
                <w:sz w:val="14"/>
              </w:rPr>
            </w:pPr>
            <w:r>
              <w:rPr>
                <w:color w:val="231F20"/>
                <w:sz w:val="14"/>
              </w:rPr>
              <w:t>2.3</w:t>
            </w:r>
          </w:p>
        </w:tc>
      </w:tr>
    </w:tbl>
    <w:p>
      <w:pPr>
        <w:spacing w:before="97"/>
        <w:ind w:left="208" w:right="0" w:firstLine="0"/>
        <w:jc w:val="left"/>
        <w:rPr>
          <w:sz w:val="12"/>
        </w:rPr>
      </w:pPr>
      <w:r>
        <w:rPr>
          <w:color w:val="231F20"/>
          <w:sz w:val="12"/>
        </w:rPr>
        <w:t>Sources: ONS and Bank calculations.</w:t>
      </w:r>
    </w:p>
    <w:p>
      <w:pPr>
        <w:pStyle w:val="BodyText"/>
        <w:spacing w:before="2"/>
        <w:rPr>
          <w:sz w:val="10"/>
        </w:rPr>
      </w:pPr>
    </w:p>
    <w:p>
      <w:pPr>
        <w:spacing w:line="208" w:lineRule="auto" w:before="0"/>
        <w:ind w:left="448" w:right="20" w:hanging="240"/>
        <w:jc w:val="left"/>
        <w:rPr>
          <w:sz w:val="12"/>
        </w:rPr>
      </w:pPr>
      <w:r>
        <w:rPr>
          <w:color w:val="231F20"/>
          <w:sz w:val="12"/>
        </w:rPr>
        <w:t>(a) These measures use the Halifax house price index. HARP and THARP using either the Nationwide house price index or the Bank’s new house price index would show higher inflation rates.</w:t>
      </w:r>
    </w:p>
    <w:p>
      <w:pPr>
        <w:pStyle w:val="BodyText"/>
        <w:spacing w:before="5"/>
        <w:rPr>
          <w:sz w:val="21"/>
        </w:rPr>
      </w:pPr>
      <w:r>
        <w:rPr/>
        <w:br w:type="column"/>
      </w:r>
      <w:r>
        <w:rPr>
          <w:sz w:val="21"/>
        </w:rPr>
      </w:r>
    </w:p>
    <w:p>
      <w:pPr>
        <w:pStyle w:val="Heading5"/>
        <w:spacing w:line="242" w:lineRule="auto" w:before="1"/>
        <w:ind w:left="208" w:right="190"/>
      </w:pPr>
      <w:r>
        <w:rPr>
          <w:color w:val="231F20"/>
        </w:rPr>
        <w:t>higher using headline national measures (see Table 4.D). H</w:t>
      </w:r>
      <w:r>
        <w:rPr>
          <w:color w:val="231F20"/>
          <w:sz w:val="20"/>
        </w:rPr>
        <w:t>ARP </w:t>
      </w:r>
      <w:r>
        <w:rPr>
          <w:color w:val="231F20"/>
        </w:rPr>
        <w:t>and T</w:t>
      </w:r>
      <w:r>
        <w:rPr>
          <w:color w:val="231F20"/>
          <w:sz w:val="20"/>
        </w:rPr>
        <w:t>HARP </w:t>
      </w:r>
      <w:r>
        <w:rPr>
          <w:color w:val="231F20"/>
        </w:rPr>
        <w:t>inflation, which contain a measure of owner-occupied costs, continue to exceed their counterparts of RPIX and RPIY (see Table 4.E).</w:t>
      </w:r>
    </w:p>
    <w:p>
      <w:pPr>
        <w:pStyle w:val="BodyText"/>
        <w:spacing w:before="8"/>
        <w:rPr>
          <w:sz w:val="24"/>
        </w:rPr>
      </w:pPr>
    </w:p>
    <w:p>
      <w:pPr>
        <w:spacing w:line="242" w:lineRule="auto" w:before="1"/>
        <w:ind w:left="208" w:right="168" w:firstLine="0"/>
        <w:jc w:val="left"/>
        <w:rPr>
          <w:sz w:val="24"/>
        </w:rPr>
      </w:pPr>
      <w:r>
        <w:rPr>
          <w:color w:val="231F20"/>
          <w:sz w:val="24"/>
        </w:rPr>
        <w:t>The GDP deflator measures the price of domestic value added. Measured at factor cost, it rose by 2.4% in the year to 1997 Q3, slightly lower than the equivalent RPIX inflation rate. The ONS has started to publish an experimental final expenditure price index (F</w:t>
      </w:r>
      <w:r>
        <w:rPr>
          <w:color w:val="231F20"/>
          <w:sz w:val="20"/>
        </w:rPr>
        <w:t>EPI</w:t>
      </w:r>
      <w:r>
        <w:rPr>
          <w:color w:val="231F20"/>
          <w:sz w:val="24"/>
        </w:rPr>
        <w:t>).</w:t>
      </w:r>
    </w:p>
    <w:p>
      <w:pPr>
        <w:spacing w:line="242" w:lineRule="auto" w:before="6"/>
        <w:ind w:left="208" w:right="178" w:firstLine="0"/>
        <w:jc w:val="left"/>
        <w:rPr>
          <w:sz w:val="24"/>
        </w:rPr>
      </w:pPr>
      <w:r>
        <w:rPr>
          <w:color w:val="231F20"/>
          <w:sz w:val="24"/>
        </w:rPr>
        <w:t>Unlike the GDP deflator, it is affected by import price changes. Because import prices fell in the past year, the F</w:t>
      </w:r>
      <w:r>
        <w:rPr>
          <w:color w:val="231F20"/>
          <w:sz w:val="20"/>
        </w:rPr>
        <w:t>EPI </w:t>
      </w:r>
      <w:r>
        <w:rPr>
          <w:color w:val="231F20"/>
          <w:sz w:val="24"/>
        </w:rPr>
        <w:t>rose by less than the GDP deflator (2.1%, compared with 2.4%, in the year to 1997 Q3).</w:t>
      </w:r>
    </w:p>
    <w:p>
      <w:pPr>
        <w:pStyle w:val="BodyText"/>
        <w:spacing w:before="6"/>
        <w:rPr>
          <w:sz w:val="28"/>
        </w:rPr>
      </w:pPr>
    </w:p>
    <w:p>
      <w:pPr>
        <w:pStyle w:val="ListParagraph"/>
        <w:numPr>
          <w:ilvl w:val="1"/>
          <w:numId w:val="22"/>
        </w:numPr>
        <w:tabs>
          <w:tab w:pos="4306" w:val="left" w:leader="none"/>
          <w:tab w:pos="4307" w:val="left" w:leader="none"/>
          <w:tab w:pos="5728" w:val="left" w:leader="none"/>
        </w:tabs>
        <w:spacing w:line="240" w:lineRule="auto" w:before="0" w:after="0"/>
        <w:ind w:left="4306" w:right="0" w:hanging="4099"/>
        <w:jc w:val="left"/>
        <w:rPr>
          <w:b/>
          <w:sz w:val="28"/>
        </w:rPr>
      </w:pPr>
      <w:r>
        <w:rPr>
          <w:b/>
          <w:color w:val="009483"/>
          <w:sz w:val="28"/>
          <w:u w:val="thick" w:color="0093C1"/>
        </w:rPr>
        <w:t>Summary</w:t>
        <w:tab/>
      </w:r>
    </w:p>
    <w:p>
      <w:pPr>
        <w:pStyle w:val="BodyText"/>
        <w:spacing w:before="10"/>
        <w:rPr>
          <w:b/>
          <w:sz w:val="23"/>
        </w:rPr>
      </w:pPr>
    </w:p>
    <w:p>
      <w:pPr>
        <w:spacing w:line="242" w:lineRule="auto" w:before="1"/>
        <w:ind w:left="208" w:right="190" w:firstLine="0"/>
        <w:jc w:val="left"/>
        <w:rPr>
          <w:sz w:val="24"/>
        </w:rPr>
      </w:pPr>
      <w:r>
        <w:rPr>
          <w:color w:val="231F20"/>
          <w:sz w:val="24"/>
        </w:rPr>
        <w:t>Since mid 1996, import prices have fallen by less than sterling has appreciated, but adjustment still seems to be taking place. Commodity prices have fallen in the past three months, and these have been reflected in lower input prices to the manufacturing sector. Retail price inflation in 1997 was higher than expected in previous </w:t>
      </w:r>
      <w:r>
        <w:rPr>
          <w:i/>
          <w:color w:val="231F20"/>
          <w:sz w:val="24"/>
        </w:rPr>
        <w:t>Reports, </w:t>
      </w:r>
      <w:r>
        <w:rPr>
          <w:color w:val="231F20"/>
          <w:sz w:val="24"/>
        </w:rPr>
        <w:t>reflecting the lower-than-expected falls in import prices and a rise in retail goods prices relative to costs. Both of these were probably related to the strong growth of UK demand last year. Price pressures in the service sector are stronger than in the goods sector.</w:t>
      </w:r>
    </w:p>
    <w:p>
      <w:pPr>
        <w:pStyle w:val="BodyText"/>
        <w:spacing w:before="6"/>
        <w:rPr>
          <w:sz w:val="25"/>
        </w:rPr>
      </w:pPr>
    </w:p>
    <w:p>
      <w:pPr>
        <w:spacing w:line="242" w:lineRule="auto" w:before="0"/>
        <w:ind w:left="208" w:right="315" w:firstLine="0"/>
        <w:jc w:val="left"/>
        <w:rPr>
          <w:sz w:val="24"/>
        </w:rPr>
      </w:pPr>
      <w:r>
        <w:rPr>
          <w:color w:val="231F20"/>
          <w:sz w:val="24"/>
        </w:rPr>
        <w:t>The central projection assumes that import prices fall further during 1998, and that this feeds through to retail goods prices after a delay. This effect is assumed to outweigh the influence of domestically generated inflation in 1998, so RPIX inflation is projected to fall.</w:t>
      </w:r>
    </w:p>
    <w:p>
      <w:pPr>
        <w:spacing w:after="0" w:line="242" w:lineRule="auto"/>
        <w:jc w:val="left"/>
        <w:rPr>
          <w:sz w:val="24"/>
        </w:rPr>
        <w:sectPr>
          <w:type w:val="continuous"/>
          <w:pgSz w:w="11880" w:h="16840"/>
          <w:pgMar w:top="1200" w:bottom="280" w:left="620" w:right="620"/>
          <w:cols w:num="2" w:equalWidth="0">
            <w:col w:w="3608" w:space="1143"/>
            <w:col w:w="5889"/>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75712;mso-wrap-distance-left:0;mso-wrap-distance-right:0" type="#_x0000_t202" filled="true" fillcolor="#b5dad6" stroked="false">
            <v:textbox inset="0,0,0,0">
              <w:txbxContent>
                <w:p>
                  <w:pPr>
                    <w:tabs>
                      <w:tab w:pos="9739" w:val="left" w:leader="none"/>
                    </w:tabs>
                    <w:spacing w:before="51"/>
                    <w:ind w:left="260" w:right="0" w:firstLine="0"/>
                    <w:jc w:val="left"/>
                    <w:rPr>
                      <w:b/>
                      <w:sz w:val="72"/>
                    </w:rPr>
                  </w:pPr>
                  <w:bookmarkStart w:name="Monetary policy since the November Repor" w:id="78"/>
                  <w:bookmarkEnd w:id="78"/>
                  <w:r>
                    <w:rPr/>
                  </w:r>
                  <w:bookmarkStart w:name="_bookmark30" w:id="79"/>
                  <w:bookmarkEnd w:id="79"/>
                  <w:r>
                    <w:rPr/>
                  </w:r>
                  <w:r>
                    <w:rPr>
                      <w:b/>
                      <w:color w:val="009483"/>
                      <w:sz w:val="48"/>
                    </w:rPr>
                    <w:t>Monetary policy since the</w:t>
                  </w:r>
                  <w:r>
                    <w:rPr>
                      <w:b/>
                      <w:color w:val="009483"/>
                      <w:spacing w:val="-5"/>
                      <w:sz w:val="48"/>
                    </w:rPr>
                    <w:t> </w:t>
                  </w:r>
                  <w:r>
                    <w:rPr>
                      <w:b/>
                      <w:color w:val="009483"/>
                      <w:sz w:val="48"/>
                    </w:rPr>
                    <w:t>November</w:t>
                  </w:r>
                  <w:r>
                    <w:rPr>
                      <w:b/>
                      <w:color w:val="009483"/>
                      <w:spacing w:val="-3"/>
                      <w:sz w:val="48"/>
                    </w:rPr>
                    <w:t> </w:t>
                  </w:r>
                  <w:r>
                    <w:rPr>
                      <w:b/>
                      <w:i/>
                      <w:color w:val="009483"/>
                      <w:sz w:val="48"/>
                    </w:rPr>
                    <w:t>Report</w:t>
                    <w:tab/>
                  </w:r>
                  <w:r>
                    <w:rPr>
                      <w:b/>
                      <w:color w:val="009483"/>
                      <w:sz w:val="72"/>
                    </w:rPr>
                    <w:t>5</w:t>
                  </w:r>
                </w:p>
              </w:txbxContent>
            </v:textbox>
            <v:fill type="solid"/>
            <w10:wrap type="topAndBottom"/>
          </v:shape>
        </w:pict>
      </w:r>
    </w:p>
    <w:p>
      <w:pPr>
        <w:pStyle w:val="BodyText"/>
        <w:rPr>
          <w:sz w:val="20"/>
        </w:rPr>
      </w:pPr>
    </w:p>
    <w:p>
      <w:pPr>
        <w:pStyle w:val="BodyText"/>
        <w:rPr>
          <w:sz w:val="20"/>
        </w:rPr>
      </w:pPr>
    </w:p>
    <w:p>
      <w:pPr>
        <w:spacing w:line="242" w:lineRule="auto" w:before="231"/>
        <w:ind w:left="4999" w:right="201" w:firstLine="0"/>
        <w:jc w:val="left"/>
        <w:rPr>
          <w:sz w:val="24"/>
        </w:rPr>
      </w:pPr>
      <w:r>
        <w:rPr>
          <w:color w:val="231F20"/>
          <w:sz w:val="24"/>
        </w:rPr>
        <w:t>This section provides a summary of the economic news and the monetary policy decisions taken by the MPC since the November </w:t>
      </w:r>
      <w:r>
        <w:rPr>
          <w:i/>
          <w:color w:val="231F20"/>
          <w:sz w:val="24"/>
        </w:rPr>
        <w:t>Report</w:t>
      </w:r>
      <w:r>
        <w:rPr>
          <w:color w:val="231F20"/>
          <w:sz w:val="24"/>
        </w:rPr>
        <w:t>, and leads in to the new </w:t>
      </w:r>
      <w:hyperlink w:history="true" w:anchor="_bookmark31">
        <w:r>
          <w:rPr>
            <w:color w:val="231F20"/>
            <w:sz w:val="24"/>
          </w:rPr>
          <w:t>projection for inflation in Section 6.</w:t>
        </w:r>
      </w:hyperlink>
      <w:r>
        <w:rPr>
          <w:color w:val="231F20"/>
          <w:sz w:val="24"/>
        </w:rPr>
        <w:t> The minutes of the November, December and January MPC meetings are attached as an Annex to this </w:t>
      </w:r>
      <w:r>
        <w:rPr>
          <w:i/>
          <w:color w:val="231F20"/>
          <w:sz w:val="24"/>
        </w:rPr>
        <w:t>Report</w:t>
      </w:r>
      <w:r>
        <w:rPr>
          <w:color w:val="231F20"/>
          <w:sz w:val="24"/>
        </w:rPr>
        <w:t>. The Bank of England’s official dealing rate—the repo rate—has remained unchanged since the November </w:t>
      </w:r>
      <w:r>
        <w:rPr>
          <w:i/>
          <w:color w:val="231F20"/>
          <w:sz w:val="24"/>
        </w:rPr>
        <w:t>Report </w:t>
      </w:r>
      <w:r>
        <w:rPr>
          <w:color w:val="231F20"/>
          <w:sz w:val="24"/>
        </w:rPr>
        <w:t>was published, at 7.25%.</w:t>
      </w:r>
    </w:p>
    <w:p>
      <w:pPr>
        <w:pStyle w:val="BodyText"/>
        <w:spacing w:before="10"/>
        <w:rPr>
          <w:sz w:val="28"/>
        </w:rPr>
      </w:pPr>
    </w:p>
    <w:p>
      <w:pPr>
        <w:spacing w:line="242" w:lineRule="auto" w:before="0"/>
        <w:ind w:left="4999" w:right="141" w:firstLine="0"/>
        <w:jc w:val="left"/>
        <w:rPr>
          <w:sz w:val="24"/>
        </w:rPr>
      </w:pPr>
      <w:r>
        <w:rPr>
          <w:color w:val="231F20"/>
          <w:sz w:val="24"/>
        </w:rPr>
        <w:t>At the time of the November </w:t>
      </w:r>
      <w:r>
        <w:rPr>
          <w:i/>
          <w:color w:val="231F20"/>
          <w:sz w:val="24"/>
        </w:rPr>
        <w:t>Report</w:t>
      </w:r>
      <w:r>
        <w:rPr>
          <w:color w:val="231F20"/>
          <w:sz w:val="24"/>
        </w:rPr>
        <w:t>, the MPC</w:t>
      </w:r>
      <w:r>
        <w:rPr>
          <w:color w:val="231F20"/>
          <w:spacing w:val="-25"/>
          <w:sz w:val="24"/>
        </w:rPr>
        <w:t> </w:t>
      </w:r>
      <w:r>
        <w:rPr>
          <w:color w:val="231F20"/>
          <w:sz w:val="24"/>
        </w:rPr>
        <w:t>concluded that inflation and output growth had both turned out higher than projected. Net exports had held up surprisingly well in the face of the appreciation of sterling, and the expected reduction in output growth had not materialised. The most likely interpretation was that the impact on net trade had been deferred, and that output growth would be lower in 1998. There was still uncertainty about the output gap and thus about the rate of demand growth that could be sustained without leading to a rise in inflation. But the continued rapid growth of broad </w:t>
      </w:r>
      <w:r>
        <w:rPr>
          <w:color w:val="231F20"/>
          <w:spacing w:val="-4"/>
          <w:sz w:val="24"/>
        </w:rPr>
        <w:t>money, </w:t>
      </w:r>
      <w:r>
        <w:rPr>
          <w:color w:val="231F20"/>
          <w:sz w:val="24"/>
        </w:rPr>
        <w:t>domestic demand and output meant that the balance of risks to inflation was still on the upside. For those reasons, the Committee</w:t>
      </w:r>
      <w:r>
        <w:rPr>
          <w:color w:val="231F20"/>
          <w:spacing w:val="-3"/>
          <w:sz w:val="24"/>
        </w:rPr>
        <w:t> </w:t>
      </w:r>
      <w:r>
        <w:rPr>
          <w:color w:val="231F20"/>
          <w:sz w:val="24"/>
        </w:rPr>
        <w:t>decided</w:t>
      </w:r>
    </w:p>
    <w:p>
      <w:pPr>
        <w:spacing w:line="242" w:lineRule="auto" w:before="18"/>
        <w:ind w:left="5000" w:right="201" w:firstLine="0"/>
        <w:jc w:val="left"/>
        <w:rPr>
          <w:sz w:val="24"/>
        </w:rPr>
      </w:pPr>
      <w:r>
        <w:rPr>
          <w:color w:val="231F20"/>
          <w:sz w:val="24"/>
        </w:rPr>
        <w:t>in November to raise interest rates by </w:t>
      </w:r>
      <w:r>
        <w:rPr>
          <w:color w:val="231F20"/>
          <w:position w:val="8"/>
          <w:sz w:val="12"/>
        </w:rPr>
        <w:t>1</w:t>
      </w:r>
      <w:r>
        <w:rPr>
          <w:color w:val="231F20"/>
          <w:sz w:val="24"/>
        </w:rPr>
        <w:t>/</w:t>
      </w:r>
      <w:r>
        <w:rPr>
          <w:color w:val="231F20"/>
          <w:sz w:val="12"/>
        </w:rPr>
        <w:t>4 </w:t>
      </w:r>
      <w:r>
        <w:rPr>
          <w:color w:val="231F20"/>
          <w:sz w:val="24"/>
        </w:rPr>
        <w:t>percentage point.</w:t>
      </w:r>
    </w:p>
    <w:p>
      <w:pPr>
        <w:pStyle w:val="BodyText"/>
        <w:spacing w:before="10"/>
        <w:rPr>
          <w:sz w:val="21"/>
        </w:rPr>
      </w:pPr>
    </w:p>
    <w:p>
      <w:pPr>
        <w:spacing w:after="0"/>
        <w:rPr>
          <w:sz w:val="21"/>
        </w:rPr>
        <w:sectPr>
          <w:headerReference w:type="default" r:id="rId80"/>
          <w:footerReference w:type="default" r:id="rId81"/>
          <w:footerReference w:type="even" r:id="rId82"/>
          <w:pgSz w:w="11880" w:h="16840"/>
          <w:pgMar w:header="0" w:footer="617" w:top="780" w:bottom="800" w:left="620" w:right="620"/>
          <w:pgNumType w:start="37"/>
        </w:sectPr>
      </w:pPr>
    </w:p>
    <w:p>
      <w:pPr>
        <w:pStyle w:val="Heading9"/>
        <w:spacing w:before="177"/>
      </w:pPr>
      <w:r>
        <w:rPr>
          <w:color w:val="0093C1"/>
        </w:rPr>
        <w:t>Table 5.A</w:t>
      </w:r>
    </w:p>
    <w:p>
      <w:pPr>
        <w:spacing w:before="10"/>
        <w:ind w:left="200" w:right="0" w:firstLine="0"/>
        <w:jc w:val="left"/>
        <w:rPr>
          <w:sz w:val="12"/>
        </w:rPr>
      </w:pPr>
      <w:r>
        <w:rPr>
          <w:b/>
          <w:color w:val="0093C1"/>
          <w:sz w:val="20"/>
        </w:rPr>
        <w:t>Contributions to GDP growth in 1997 Q3</w:t>
      </w:r>
      <w:r>
        <w:rPr>
          <w:color w:val="231F20"/>
          <w:position w:val="4"/>
          <w:sz w:val="12"/>
        </w:rPr>
        <w:t>(a)</w:t>
      </w:r>
    </w:p>
    <w:p>
      <w:pPr>
        <w:spacing w:before="106"/>
        <w:ind w:left="200" w:right="0" w:firstLine="0"/>
        <w:jc w:val="left"/>
        <w:rPr>
          <w:sz w:val="14"/>
        </w:rPr>
      </w:pPr>
      <w:r>
        <w:rPr>
          <w:color w:val="231F20"/>
          <w:sz w:val="14"/>
        </w:rPr>
        <w:t>Percentage points, unless stated</w:t>
      </w:r>
    </w:p>
    <w:p>
      <w:pPr>
        <w:tabs>
          <w:tab w:pos="3043" w:val="left" w:leader="none"/>
        </w:tabs>
        <w:spacing w:before="119"/>
        <w:ind w:left="1858" w:right="0" w:firstLine="0"/>
        <w:jc w:val="left"/>
        <w:rPr>
          <w:sz w:val="14"/>
        </w:rPr>
      </w:pPr>
      <w:r>
        <w:rPr>
          <w:color w:val="231F20"/>
          <w:sz w:val="14"/>
          <w:u w:val="single" w:color="231F20"/>
        </w:rPr>
        <w:t>December MPC</w:t>
      </w:r>
      <w:r>
        <w:rPr>
          <w:color w:val="231F20"/>
          <w:sz w:val="14"/>
        </w:rPr>
        <w:tab/>
      </w:r>
      <w:r>
        <w:rPr>
          <w:color w:val="231F20"/>
          <w:sz w:val="14"/>
          <w:u w:val="single" w:color="231F20"/>
        </w:rPr>
        <w:t>January MPC</w:t>
      </w:r>
    </w:p>
    <w:p>
      <w:pPr>
        <w:tabs>
          <w:tab w:pos="2185" w:val="left" w:leader="none"/>
          <w:tab w:pos="3385" w:val="left" w:leader="none"/>
        </w:tabs>
        <w:spacing w:line="150" w:lineRule="exact" w:before="59"/>
        <w:ind w:left="200" w:right="0" w:firstLine="0"/>
        <w:jc w:val="left"/>
        <w:rPr>
          <w:b/>
          <w:sz w:val="14"/>
        </w:rPr>
      </w:pPr>
      <w:r>
        <w:rPr>
          <w:b/>
          <w:color w:val="231F20"/>
          <w:sz w:val="14"/>
        </w:rPr>
        <w:t>Domestic demand</w:t>
        <w:tab/>
        <w:t>0.7</w:t>
        <w:tab/>
        <w:t>1.0</w:t>
      </w:r>
    </w:p>
    <w:p>
      <w:pPr>
        <w:tabs>
          <w:tab w:pos="2196" w:val="left" w:leader="none"/>
          <w:tab w:pos="3559" w:val="right" w:leader="none"/>
        </w:tabs>
        <w:spacing w:line="140" w:lineRule="exact" w:before="0"/>
        <w:ind w:left="340" w:right="0" w:firstLine="0"/>
        <w:jc w:val="left"/>
        <w:rPr>
          <w:sz w:val="14"/>
        </w:rPr>
      </w:pPr>
      <w:r>
        <w:rPr>
          <w:color w:val="231F20"/>
          <w:sz w:val="14"/>
        </w:rPr>
        <w:t>Private consumption</w:t>
        <w:tab/>
        <w:t>0.9</w:t>
        <w:tab/>
        <w:t>0.5</w:t>
      </w:r>
    </w:p>
    <w:p>
      <w:pPr>
        <w:tabs>
          <w:tab w:pos="2196" w:val="left" w:leader="none"/>
          <w:tab w:pos="3559" w:val="right" w:leader="none"/>
        </w:tabs>
        <w:spacing w:line="140" w:lineRule="exact" w:before="0"/>
        <w:ind w:left="340" w:right="0" w:firstLine="0"/>
        <w:jc w:val="left"/>
        <w:rPr>
          <w:sz w:val="14"/>
        </w:rPr>
      </w:pPr>
      <w:r>
        <w:rPr>
          <w:color w:val="231F20"/>
          <w:sz w:val="14"/>
        </w:rPr>
        <w:t>Public consumption</w:t>
        <w:tab/>
        <w:t>0.0</w:t>
        <w:tab/>
        <w:t>0.3</w:t>
      </w:r>
    </w:p>
    <w:p>
      <w:pPr>
        <w:tabs>
          <w:tab w:pos="2150" w:val="left" w:leader="none"/>
          <w:tab w:pos="3338" w:val="left" w:leader="none"/>
        </w:tabs>
        <w:spacing w:line="140" w:lineRule="exact" w:before="0"/>
        <w:ind w:left="340" w:right="0" w:firstLine="0"/>
        <w:jc w:val="left"/>
        <w:rPr>
          <w:sz w:val="14"/>
        </w:rPr>
      </w:pPr>
      <w:r>
        <w:rPr>
          <w:color w:val="231F20"/>
          <w:sz w:val="14"/>
        </w:rPr>
        <w:t>Investment</w:t>
        <w:tab/>
        <w:t>-0.2</w:t>
        <w:tab/>
        <w:t>-0.1</w:t>
      </w:r>
    </w:p>
    <w:p>
      <w:pPr>
        <w:tabs>
          <w:tab w:pos="2196" w:val="left" w:leader="none"/>
          <w:tab w:pos="3559" w:val="right" w:leader="none"/>
        </w:tabs>
        <w:spacing w:line="140" w:lineRule="exact" w:before="0"/>
        <w:ind w:left="340" w:right="0" w:firstLine="0"/>
        <w:jc w:val="left"/>
        <w:rPr>
          <w:sz w:val="14"/>
        </w:rPr>
      </w:pPr>
      <w:r>
        <w:rPr>
          <w:color w:val="231F20"/>
          <w:sz w:val="14"/>
        </w:rPr>
        <w:t>Stockbuilding</w:t>
        <w:tab/>
        <w:t>0.1</w:t>
        <w:tab/>
        <w:t>0.3</w:t>
      </w:r>
    </w:p>
    <w:p>
      <w:pPr>
        <w:tabs>
          <w:tab w:pos="2184" w:val="left" w:leader="none"/>
          <w:tab w:pos="3559" w:val="right" w:leader="none"/>
        </w:tabs>
        <w:spacing w:line="140" w:lineRule="exact" w:before="0"/>
        <w:ind w:left="200" w:right="0" w:firstLine="0"/>
        <w:jc w:val="left"/>
        <w:rPr>
          <w:b/>
          <w:sz w:val="14"/>
        </w:rPr>
      </w:pPr>
      <w:r>
        <w:rPr>
          <w:b/>
          <w:color w:val="231F20"/>
          <w:sz w:val="14"/>
        </w:rPr>
        <w:t>Net exports</w:t>
        <w:tab/>
        <w:t>0.2</w:t>
        <w:tab/>
        <w:t>0.1</w:t>
      </w:r>
    </w:p>
    <w:p>
      <w:pPr>
        <w:tabs>
          <w:tab w:pos="2184" w:val="left" w:leader="none"/>
          <w:tab w:pos="3559" w:val="right" w:leader="none"/>
        </w:tabs>
        <w:spacing w:line="150" w:lineRule="exact" w:before="0"/>
        <w:ind w:left="200" w:right="0" w:firstLine="0"/>
        <w:jc w:val="left"/>
        <w:rPr>
          <w:b/>
          <w:sz w:val="14"/>
        </w:rPr>
      </w:pPr>
      <w:r>
        <w:rPr>
          <w:b/>
          <w:color w:val="231F20"/>
          <w:sz w:val="14"/>
        </w:rPr>
        <w:t>GDP</w:t>
      </w:r>
      <w:r>
        <w:rPr>
          <w:b/>
          <w:color w:val="231F20"/>
          <w:spacing w:val="-2"/>
          <w:sz w:val="14"/>
        </w:rPr>
        <w:t> </w:t>
      </w:r>
      <w:r>
        <w:rPr>
          <w:color w:val="231F20"/>
          <w:sz w:val="12"/>
        </w:rPr>
        <w:t>(b)</w:t>
        <w:tab/>
      </w:r>
      <w:r>
        <w:rPr>
          <w:b/>
          <w:color w:val="231F20"/>
          <w:sz w:val="14"/>
        </w:rPr>
        <w:t>0.9</w:t>
        <w:tab/>
        <w:t>0.8</w:t>
      </w:r>
    </w:p>
    <w:p>
      <w:pPr>
        <w:pStyle w:val="ListParagraph"/>
        <w:numPr>
          <w:ilvl w:val="0"/>
          <w:numId w:val="27"/>
        </w:numPr>
        <w:tabs>
          <w:tab w:pos="440" w:val="left" w:leader="none"/>
        </w:tabs>
        <w:spacing w:line="208" w:lineRule="auto" w:before="112" w:after="0"/>
        <w:ind w:left="440" w:right="38" w:hanging="240"/>
        <w:jc w:val="left"/>
        <w:rPr>
          <w:sz w:val="12"/>
        </w:rPr>
      </w:pPr>
      <w:r>
        <w:rPr>
          <w:color w:val="231F20"/>
          <w:sz w:val="12"/>
        </w:rPr>
        <w:t>Numbers in this table relate to data available at the time of the </w:t>
      </w:r>
      <w:r>
        <w:rPr>
          <w:color w:val="231F20"/>
          <w:spacing w:val="-3"/>
          <w:sz w:val="12"/>
        </w:rPr>
        <w:t>December </w:t>
      </w:r>
      <w:r>
        <w:rPr>
          <w:color w:val="231F20"/>
          <w:sz w:val="12"/>
        </w:rPr>
        <w:t>and January MPC meetings. Contributions may not sum to total because of rounding, and because the statistical discrepancy and the factor cost adjustment have been omitted from the table.</w:t>
      </w:r>
    </w:p>
    <w:p>
      <w:pPr>
        <w:pStyle w:val="ListParagraph"/>
        <w:numPr>
          <w:ilvl w:val="0"/>
          <w:numId w:val="27"/>
        </w:numPr>
        <w:tabs>
          <w:tab w:pos="441" w:val="left" w:leader="none"/>
        </w:tabs>
        <w:spacing w:line="123" w:lineRule="exact" w:before="0" w:after="0"/>
        <w:ind w:left="440" w:right="0" w:hanging="241"/>
        <w:jc w:val="left"/>
        <w:rPr>
          <w:sz w:val="12"/>
        </w:rPr>
      </w:pPr>
      <w:r>
        <w:rPr>
          <w:color w:val="231F20"/>
          <w:sz w:val="12"/>
        </w:rPr>
        <w:t>Percentage change on previous quarter.</w:t>
      </w:r>
    </w:p>
    <w:p>
      <w:pPr>
        <w:pStyle w:val="Heading5"/>
        <w:spacing w:line="242" w:lineRule="auto" w:before="90"/>
        <w:ind w:left="200" w:right="193"/>
      </w:pPr>
      <w:r>
        <w:rPr/>
        <w:br w:type="column"/>
      </w:r>
      <w:r>
        <w:rPr>
          <w:color w:val="231F20"/>
        </w:rPr>
        <w:t>At its meeting on 3–4 December, the Committee discussed the first estimate by the ONS of the expenditure breakdown of the Q3 GDP figures (see Table 5.A). This showed some signs that net exports were weakening, once allowance had been made for </w:t>
      </w:r>
      <w:hyperlink w:history="true" w:anchor="_bookmark9">
        <w:r>
          <w:rPr>
            <w:color w:val="231F20"/>
          </w:rPr>
          <w:t>erratic items (see Section</w:t>
        </w:r>
      </w:hyperlink>
      <w:r>
        <w:rPr>
          <w:color w:val="231F20"/>
        </w:rPr>
        <w:t> 2). The implications of the financial crisis in East Asia were considered. Asian countries had been an important source of growth in G7 exports in recent years, and it was possible that a slowdown in Asia would, together with sterling’s continuing appreciation, bring about a fall in the United Kingdom’s net exports in 1998—possibly more than expected at the time of the November </w:t>
      </w:r>
      <w:r>
        <w:rPr>
          <w:i/>
          <w:color w:val="231F20"/>
        </w:rPr>
        <w:t>Report</w:t>
      </w:r>
      <w:r>
        <w:rPr>
          <w:color w:val="231F20"/>
        </w:rPr>
        <w:t>.</w:t>
      </w:r>
    </w:p>
    <w:p>
      <w:pPr>
        <w:spacing w:line="242" w:lineRule="auto" w:before="357"/>
        <w:ind w:left="200" w:right="0" w:firstLine="0"/>
        <w:jc w:val="left"/>
        <w:rPr>
          <w:sz w:val="24"/>
        </w:rPr>
      </w:pPr>
      <w:r>
        <w:rPr>
          <w:color w:val="231F20"/>
          <w:sz w:val="24"/>
        </w:rPr>
        <w:t>Asian turbulence also raised the threat of global financial instability. Some of the affected countries had implemented major changes of economic policy, and the IMF appeared to have reached agreement with Korea on</w:t>
      </w:r>
    </w:p>
    <w:p>
      <w:pPr>
        <w:spacing w:after="0" w:line="242" w:lineRule="auto"/>
        <w:jc w:val="left"/>
        <w:rPr>
          <w:sz w:val="24"/>
        </w:rPr>
        <w:sectPr>
          <w:type w:val="continuous"/>
          <w:pgSz w:w="11880" w:h="16840"/>
          <w:pgMar w:top="1200" w:bottom="280" w:left="620" w:right="620"/>
          <w:cols w:num="2" w:equalWidth="0">
            <w:col w:w="3989" w:space="811"/>
            <w:col w:w="5840"/>
          </w:cols>
        </w:sectPr>
      </w:pPr>
    </w:p>
    <w:p>
      <w:pPr>
        <w:pStyle w:val="BodyText"/>
        <w:rPr>
          <w:sz w:val="26"/>
        </w:rPr>
      </w:pPr>
    </w:p>
    <w:p>
      <w:pPr>
        <w:spacing w:line="242" w:lineRule="auto" w:before="161"/>
        <w:ind w:left="4997" w:right="293" w:firstLine="0"/>
        <w:jc w:val="left"/>
        <w:rPr>
          <w:sz w:val="24"/>
        </w:rPr>
      </w:pPr>
      <w:r>
        <w:rPr>
          <w:color w:val="231F20"/>
          <w:sz w:val="24"/>
        </w:rPr>
        <w:t>the conditions for its support. The situation needed careful monitoring, but at that time the Committee judged that the changing external environment did not of itself require or prevent a change in UK monetary policy.</w:t>
      </w:r>
    </w:p>
    <w:p>
      <w:pPr>
        <w:pStyle w:val="BodyText"/>
        <w:spacing w:before="4"/>
        <w:rPr>
          <w:sz w:val="28"/>
        </w:rPr>
      </w:pPr>
    </w:p>
    <w:p>
      <w:pPr>
        <w:spacing w:line="242" w:lineRule="auto" w:before="0"/>
        <w:ind w:left="4997" w:right="0" w:firstLine="0"/>
        <w:jc w:val="left"/>
        <w:rPr>
          <w:sz w:val="24"/>
        </w:rPr>
      </w:pPr>
      <w:r>
        <w:rPr>
          <w:color w:val="231F20"/>
          <w:sz w:val="24"/>
        </w:rPr>
        <w:t>The first estimate for UK consumption growth in Q3 was below the central projection in the November </w:t>
      </w:r>
      <w:r>
        <w:rPr>
          <w:i/>
          <w:color w:val="231F20"/>
          <w:sz w:val="24"/>
        </w:rPr>
        <w:t>Report</w:t>
      </w:r>
      <w:r>
        <w:rPr>
          <w:color w:val="231F20"/>
          <w:sz w:val="24"/>
        </w:rPr>
        <w:t>.</w:t>
      </w:r>
    </w:p>
    <w:p>
      <w:pPr>
        <w:spacing w:line="242" w:lineRule="auto" w:before="3"/>
        <w:ind w:left="4997" w:right="293" w:firstLine="0"/>
        <w:jc w:val="left"/>
        <w:rPr>
          <w:sz w:val="24"/>
        </w:rPr>
      </w:pPr>
      <w:r>
        <w:rPr>
          <w:color w:val="231F20"/>
          <w:sz w:val="24"/>
        </w:rPr>
        <w:t>The Committee noted two developments that might suggest consumption growth had peaked. First, consumer confidence had fallen back, albeit from a relatively high level. Second, the three-month growth rate of retail sales had slowed. But the Committee agreed that they would need to see further evidence of lower consumption growth in order to conclude that policy was on course to achieve the inflation target.</w:t>
      </w:r>
    </w:p>
    <w:p>
      <w:pPr>
        <w:pStyle w:val="BodyText"/>
        <w:spacing w:before="8"/>
        <w:rPr>
          <w:sz w:val="28"/>
        </w:rPr>
      </w:pPr>
    </w:p>
    <w:p>
      <w:pPr>
        <w:spacing w:line="242" w:lineRule="auto" w:before="0"/>
        <w:ind w:left="4997" w:right="164" w:firstLine="0"/>
        <w:jc w:val="left"/>
        <w:rPr>
          <w:sz w:val="24"/>
        </w:rPr>
      </w:pPr>
      <w:r>
        <w:rPr>
          <w:color w:val="231F20"/>
          <w:sz w:val="24"/>
        </w:rPr>
        <w:t>The Committee identified a range of possible views on the outlook for inflation. One was that the level of activity was already above trend. In that case, output growth would need to slow sharply to avoid a marked increase in inflation, and policy might need to be tightened soon if there were no clear evidence of a slowdown in the economy. Another view was that the economy was close to but not clearly above capacity, though still growing above trend. The economy was therefore delicately poised. Retail price inflation remained stubbornly high. But domestic demand should </w:t>
      </w:r>
      <w:r>
        <w:rPr>
          <w:color w:val="231F20"/>
          <w:spacing w:val="-5"/>
          <w:sz w:val="24"/>
        </w:rPr>
        <w:t>slow, </w:t>
      </w:r>
      <w:r>
        <w:rPr>
          <w:color w:val="231F20"/>
          <w:sz w:val="24"/>
        </w:rPr>
        <w:t>given the tightening of monetary and fiscal </w:t>
      </w:r>
      <w:r>
        <w:rPr>
          <w:color w:val="231F20"/>
          <w:spacing w:val="-3"/>
          <w:sz w:val="24"/>
        </w:rPr>
        <w:t>policy. </w:t>
      </w:r>
      <w:r>
        <w:rPr>
          <w:color w:val="231F20"/>
          <w:sz w:val="24"/>
        </w:rPr>
        <w:t>A further view was that recent data were encouraging </w:t>
      </w:r>
      <w:r>
        <w:rPr>
          <w:color w:val="231F20"/>
          <w:spacing w:val="-6"/>
          <w:sz w:val="24"/>
        </w:rPr>
        <w:t>for </w:t>
      </w:r>
      <w:r>
        <w:rPr>
          <w:color w:val="231F20"/>
          <w:sz w:val="24"/>
        </w:rPr>
        <w:t>the inflation outlook. Growth could peak in Q4, as the MPC had projected. Recent developments in Asia could mean that the slowdown in 1998 was more pronounced than assumed in the November projections. And sterling might not depreciate in line with interest rate differentials as assumed in</w:t>
      </w:r>
      <w:r>
        <w:rPr>
          <w:color w:val="231F20"/>
          <w:spacing w:val="-1"/>
          <w:sz w:val="24"/>
        </w:rPr>
        <w:t> </w:t>
      </w:r>
      <w:r>
        <w:rPr>
          <w:color w:val="231F20"/>
          <w:spacing w:val="-3"/>
          <w:sz w:val="24"/>
        </w:rPr>
        <w:t>November.</w:t>
      </w:r>
    </w:p>
    <w:p>
      <w:pPr>
        <w:pStyle w:val="BodyText"/>
        <w:spacing w:before="10"/>
        <w:rPr>
          <w:sz w:val="29"/>
        </w:rPr>
      </w:pPr>
    </w:p>
    <w:p>
      <w:pPr>
        <w:spacing w:line="242" w:lineRule="auto" w:before="1"/>
        <w:ind w:left="4997" w:right="202" w:firstLine="0"/>
        <w:jc w:val="left"/>
        <w:rPr>
          <w:sz w:val="24"/>
        </w:rPr>
      </w:pPr>
      <w:r>
        <w:rPr>
          <w:color w:val="231F20"/>
          <w:sz w:val="24"/>
        </w:rPr>
        <w:t>The MPC agreed that such uncertainty about where the economy was in relation to capacity made the policy judgment very difficult. There had been relatively little news in the last month’s data that helped resolve this question, given that the Committee had already </w:t>
      </w:r>
      <w:r>
        <w:rPr>
          <w:color w:val="231F20"/>
          <w:spacing w:val="-4"/>
          <w:sz w:val="24"/>
        </w:rPr>
        <w:t>expected </w:t>
      </w:r>
      <w:r>
        <w:rPr>
          <w:color w:val="231F20"/>
          <w:sz w:val="24"/>
        </w:rPr>
        <w:t>a strong fourth quarter. So there was a case for waiting to see further developments. The Committee voted unanimously to leave the </w:t>
      </w:r>
      <w:r>
        <w:rPr>
          <w:color w:val="231F20"/>
          <w:spacing w:val="-3"/>
          <w:sz w:val="24"/>
        </w:rPr>
        <w:t>Bank’s </w:t>
      </w:r>
      <w:r>
        <w:rPr>
          <w:color w:val="231F20"/>
          <w:sz w:val="24"/>
        </w:rPr>
        <w:t>official dealing rate unchanged.</w:t>
      </w:r>
    </w:p>
    <w:p>
      <w:pPr>
        <w:pStyle w:val="BodyText"/>
        <w:spacing w:before="9"/>
        <w:rPr>
          <w:sz w:val="28"/>
        </w:rPr>
      </w:pPr>
    </w:p>
    <w:p>
      <w:pPr>
        <w:spacing w:line="242" w:lineRule="auto" w:before="0"/>
        <w:ind w:left="4997" w:right="201" w:firstLine="0"/>
        <w:jc w:val="left"/>
        <w:rPr>
          <w:sz w:val="24"/>
        </w:rPr>
      </w:pPr>
      <w:r>
        <w:rPr>
          <w:color w:val="231F20"/>
          <w:sz w:val="24"/>
        </w:rPr>
        <w:t>At its meeting on 7–8 January, the MPC considered the revisions to GDP (see Table 5.A). Some components of the third-quarter National Accounts were difficult to understand, for example the rise in government final</w:t>
      </w:r>
    </w:p>
    <w:p>
      <w:pPr>
        <w:spacing w:after="0" w:line="242" w:lineRule="auto"/>
        <w:jc w:val="left"/>
        <w:rPr>
          <w:sz w:val="24"/>
        </w:rPr>
        <w:sectPr>
          <w:headerReference w:type="even" r:id="rId83"/>
          <w:headerReference w:type="default" r:id="rId84"/>
          <w:pgSz w:w="11880" w:h="16840"/>
          <w:pgMar w:header="586" w:footer="597" w:top="780" w:bottom="780" w:left="620" w:right="620"/>
        </w:sectPr>
      </w:pPr>
    </w:p>
    <w:p>
      <w:pPr>
        <w:pStyle w:val="BodyText"/>
        <w:rPr>
          <w:sz w:val="20"/>
        </w:rPr>
      </w:pPr>
    </w:p>
    <w:p>
      <w:pPr>
        <w:pStyle w:val="BodyText"/>
        <w:spacing w:before="10"/>
        <w:rPr>
          <w:sz w:val="20"/>
        </w:rPr>
      </w:pPr>
    </w:p>
    <w:p>
      <w:pPr>
        <w:spacing w:line="242" w:lineRule="auto" w:before="0"/>
        <w:ind w:left="4982" w:right="212" w:firstLine="0"/>
        <w:jc w:val="left"/>
        <w:rPr>
          <w:sz w:val="24"/>
        </w:rPr>
      </w:pPr>
      <w:r>
        <w:rPr>
          <w:color w:val="231F20"/>
          <w:sz w:val="24"/>
        </w:rPr>
        <w:t>consumption was difficult to reconcile with data on total government outlays. And private consumption was revised down significantly. Retail sales had bounced back in October, which was likely to support consumption in the fourth quarter. The Bank’s regional Agencies suggested that retail sales had been below expectation in the first three weeks of December, but reports of sales immediately before Christmas suggested that demand had strengthened.</w:t>
      </w:r>
    </w:p>
    <w:p>
      <w:pPr>
        <w:pStyle w:val="BodyText"/>
        <w:spacing w:before="9"/>
        <w:rPr>
          <w:sz w:val="28"/>
        </w:rPr>
      </w:pPr>
    </w:p>
    <w:p>
      <w:pPr>
        <w:spacing w:line="242" w:lineRule="auto" w:before="0"/>
        <w:ind w:left="4982" w:right="187" w:firstLine="0"/>
        <w:jc w:val="left"/>
        <w:rPr>
          <w:sz w:val="24"/>
        </w:rPr>
      </w:pPr>
      <w:r>
        <w:rPr>
          <w:color w:val="231F20"/>
          <w:sz w:val="24"/>
        </w:rPr>
        <w:t>Output growth in Q3 had been revised down to 0.8%, compared with the 1.0% figure published prior to the release of the November </w:t>
      </w:r>
      <w:r>
        <w:rPr>
          <w:i/>
          <w:color w:val="231F20"/>
          <w:sz w:val="24"/>
        </w:rPr>
        <w:t>Report</w:t>
      </w:r>
      <w:r>
        <w:rPr>
          <w:color w:val="231F20"/>
          <w:sz w:val="24"/>
        </w:rPr>
        <w:t>. The central projection in that </w:t>
      </w:r>
      <w:r>
        <w:rPr>
          <w:i/>
          <w:color w:val="231F20"/>
          <w:sz w:val="24"/>
        </w:rPr>
        <w:t>Report </w:t>
      </w:r>
      <w:r>
        <w:rPr>
          <w:color w:val="231F20"/>
          <w:sz w:val="24"/>
        </w:rPr>
        <w:t>had been for further strong growth in the fourth quarter before a marked slowdown to below trend in 1998 Q1. It was not clear whether the Q3 data represented an earlier-than-expected slowdown, or a temporary fall in growth influenced by the death of Diana, Princess of Wales.</w:t>
      </w:r>
    </w:p>
    <w:p>
      <w:pPr>
        <w:pStyle w:val="BodyText"/>
        <w:spacing w:before="10"/>
        <w:rPr>
          <w:sz w:val="28"/>
        </w:rPr>
      </w:pPr>
    </w:p>
    <w:p>
      <w:pPr>
        <w:spacing w:line="242" w:lineRule="auto" w:before="0"/>
        <w:ind w:left="4982" w:right="293" w:firstLine="0"/>
        <w:jc w:val="left"/>
        <w:rPr>
          <w:sz w:val="24"/>
        </w:rPr>
      </w:pPr>
      <w:r>
        <w:rPr>
          <w:color w:val="231F20"/>
          <w:sz w:val="24"/>
        </w:rPr>
        <w:t>The MPC discussed the likely impact of Asian turbulence. Overall, the downside risks seemed to have increased during the past month. It was agreed that Asian developments would need to be considered carefully in the preparation of the February </w:t>
      </w:r>
      <w:r>
        <w:rPr>
          <w:i/>
          <w:color w:val="231F20"/>
          <w:sz w:val="24"/>
        </w:rPr>
        <w:t>Report</w:t>
      </w:r>
      <w:r>
        <w:rPr>
          <w:color w:val="231F20"/>
          <w:sz w:val="24"/>
        </w:rPr>
        <w:t>.</w:t>
      </w:r>
    </w:p>
    <w:p>
      <w:pPr>
        <w:pStyle w:val="BodyText"/>
        <w:spacing w:before="4"/>
        <w:rPr>
          <w:sz w:val="28"/>
        </w:rPr>
      </w:pPr>
    </w:p>
    <w:p>
      <w:pPr>
        <w:spacing w:line="242" w:lineRule="auto" w:before="0"/>
        <w:ind w:left="4982" w:right="519" w:firstLine="0"/>
        <w:jc w:val="left"/>
        <w:rPr>
          <w:sz w:val="24"/>
        </w:rPr>
      </w:pPr>
      <w:r>
        <w:rPr>
          <w:color w:val="231F20"/>
          <w:sz w:val="24"/>
        </w:rPr>
        <w:t>In discussion of the output gap, the MPC noted the difficulties in estimating potential output. Surveys of capacity utilisation and skill shortages were of great value as indicators of the output gap. Because of the uncertainty of output gap estimates, it was important to monitor cost and price indices, even though they were lagging indicators of the gap. The underlying rate of inflation might be well above the inflation target. The exchange rate appreciation could have been passed through, but its effect offset by upward pressure on inflation resulting from the strength of domestic demand.</w:t>
      </w:r>
    </w:p>
    <w:p>
      <w:pPr>
        <w:pStyle w:val="BodyText"/>
        <w:spacing w:before="5"/>
        <w:rPr>
          <w:sz w:val="27"/>
        </w:rPr>
      </w:pPr>
    </w:p>
    <w:p>
      <w:pPr>
        <w:spacing w:line="242" w:lineRule="auto" w:before="0"/>
        <w:ind w:left="4982" w:right="194" w:firstLine="0"/>
        <w:jc w:val="both"/>
        <w:rPr>
          <w:sz w:val="24"/>
        </w:rPr>
      </w:pPr>
      <w:r>
        <w:rPr>
          <w:color w:val="231F20"/>
          <w:spacing w:val="-5"/>
          <w:sz w:val="24"/>
        </w:rPr>
        <w:t>Views </w:t>
      </w:r>
      <w:r>
        <w:rPr>
          <w:color w:val="231F20"/>
          <w:sz w:val="24"/>
        </w:rPr>
        <w:t>about the appropriate level of interest rates </w:t>
      </w:r>
      <w:r>
        <w:rPr>
          <w:color w:val="231F20"/>
          <w:spacing w:val="-3"/>
          <w:sz w:val="24"/>
        </w:rPr>
        <w:t>ranged </w:t>
      </w:r>
      <w:r>
        <w:rPr>
          <w:color w:val="231F20"/>
          <w:sz w:val="24"/>
        </w:rPr>
        <w:t>across a spectrum. At one end was the view that interest rates should be raised immediately for four reasons.</w:t>
      </w:r>
    </w:p>
    <w:p>
      <w:pPr>
        <w:spacing w:line="242" w:lineRule="auto" w:before="4"/>
        <w:ind w:left="4982" w:right="293" w:firstLine="0"/>
        <w:jc w:val="left"/>
        <w:rPr>
          <w:sz w:val="24"/>
        </w:rPr>
      </w:pPr>
      <w:r>
        <w:rPr>
          <w:color w:val="231F20"/>
          <w:sz w:val="24"/>
        </w:rPr>
        <w:t>First, it seemed likely that the relationship between output growth and inflation during the next two years would be less favourable than had been assumed in the November projection. Second, it seemed implausible that any substantial output gap remained. Third, recent wage settlements and reports of skill shortages were a matter of concern, and an immediate move in interest rates would send a clear and early signal to the labour market of the MPC’s determination to achieve the</w:t>
      </w:r>
    </w:p>
    <w:p>
      <w:pPr>
        <w:spacing w:after="0" w:line="242" w:lineRule="auto"/>
        <w:jc w:val="left"/>
        <w:rPr>
          <w:sz w:val="24"/>
        </w:rPr>
        <w:sectPr>
          <w:footerReference w:type="default" r:id="rId85"/>
          <w:footerReference w:type="even" r:id="rId86"/>
          <w:pgSz w:w="11880" w:h="16840"/>
          <w:pgMar w:footer="617" w:header="586" w:top="780" w:bottom="800" w:left="620" w:right="620"/>
          <w:pgNumType w:start="39"/>
        </w:sectPr>
      </w:pPr>
    </w:p>
    <w:p>
      <w:pPr>
        <w:pStyle w:val="BodyText"/>
        <w:rPr>
          <w:sz w:val="20"/>
        </w:rPr>
      </w:pPr>
    </w:p>
    <w:p>
      <w:pPr>
        <w:pStyle w:val="BodyText"/>
        <w:spacing w:before="10"/>
        <w:rPr>
          <w:sz w:val="20"/>
        </w:rPr>
      </w:pPr>
    </w:p>
    <w:p>
      <w:pPr>
        <w:spacing w:line="242" w:lineRule="auto" w:before="0"/>
        <w:ind w:left="5000" w:right="201" w:firstLine="0"/>
        <w:jc w:val="left"/>
        <w:rPr>
          <w:sz w:val="24"/>
        </w:rPr>
      </w:pPr>
      <w:r>
        <w:rPr>
          <w:color w:val="231F20"/>
          <w:sz w:val="24"/>
        </w:rPr>
        <w:t>inflation target. Fourth, concerns were expressed about the buoyancy of asset prices.</w:t>
      </w:r>
    </w:p>
    <w:p>
      <w:pPr>
        <w:pStyle w:val="BodyText"/>
        <w:spacing w:before="3"/>
        <w:rPr>
          <w:sz w:val="26"/>
        </w:rPr>
      </w:pPr>
    </w:p>
    <w:p>
      <w:pPr>
        <w:spacing w:line="242" w:lineRule="auto" w:before="0"/>
        <w:ind w:left="5000" w:right="155" w:firstLine="0"/>
        <w:jc w:val="left"/>
        <w:rPr>
          <w:sz w:val="24"/>
        </w:rPr>
      </w:pPr>
      <w:r>
        <w:rPr>
          <w:color w:val="231F20"/>
          <w:sz w:val="24"/>
        </w:rPr>
        <w:t>Another view was that, though those arguments had much force, there was still considerable uncertainty about their implications for future inflation. There was, therefore, a strong case for waiting another month until a full analysis could be made of the extent of any required rise in interest rates in the context of the February </w:t>
      </w:r>
      <w:r>
        <w:rPr>
          <w:i/>
          <w:color w:val="231F20"/>
          <w:sz w:val="24"/>
        </w:rPr>
        <w:t>Report</w:t>
      </w:r>
      <w:r>
        <w:rPr>
          <w:color w:val="231F20"/>
          <w:sz w:val="24"/>
        </w:rPr>
        <w:t>.</w:t>
      </w:r>
    </w:p>
    <w:p>
      <w:pPr>
        <w:pStyle w:val="BodyText"/>
        <w:spacing w:before="10"/>
        <w:rPr>
          <w:sz w:val="26"/>
        </w:rPr>
      </w:pPr>
    </w:p>
    <w:p>
      <w:pPr>
        <w:spacing w:line="242" w:lineRule="auto" w:before="0"/>
        <w:ind w:left="5000" w:right="261" w:firstLine="0"/>
        <w:jc w:val="left"/>
        <w:rPr>
          <w:sz w:val="24"/>
        </w:rPr>
      </w:pPr>
      <w:r>
        <w:rPr>
          <w:color w:val="231F20"/>
          <w:sz w:val="24"/>
        </w:rPr>
        <w:t>A third view was that there was little or no presumption that interest rates should rise. Developments in Asia, as well as slowing domestic demand, suggested the possibility of an earlier turning-point in GDP growth than implied by the central projection in the November </w:t>
      </w:r>
      <w:r>
        <w:rPr>
          <w:i/>
          <w:color w:val="231F20"/>
          <w:sz w:val="24"/>
        </w:rPr>
        <w:t>Report</w:t>
      </w:r>
      <w:r>
        <w:rPr>
          <w:color w:val="231F20"/>
          <w:sz w:val="24"/>
        </w:rPr>
        <w:t>. The risks from developments in Asia appeared to be on the downside. The output gap was difficult to measure and did not provide a clear signal to policy.</w:t>
      </w:r>
    </w:p>
    <w:p>
      <w:pPr>
        <w:pStyle w:val="BodyText"/>
        <w:rPr>
          <w:sz w:val="27"/>
        </w:rPr>
      </w:pPr>
    </w:p>
    <w:p>
      <w:pPr>
        <w:spacing w:line="242" w:lineRule="auto" w:before="0"/>
        <w:ind w:left="5000" w:right="154" w:firstLine="0"/>
        <w:jc w:val="left"/>
        <w:rPr>
          <w:sz w:val="24"/>
        </w:rPr>
      </w:pPr>
      <w:r>
        <w:rPr>
          <w:color w:val="231F20"/>
          <w:sz w:val="24"/>
        </w:rPr>
        <w:t>On the balance of arguments set out above, a majority of the MPC voted to leave the repo rate unchanged, with a minority preferring an immediate increase in interest rates.</w:t>
      </w:r>
    </w:p>
    <w:p>
      <w:pPr>
        <w:pStyle w:val="BodyText"/>
        <w:spacing w:before="6"/>
        <w:rPr>
          <w:sz w:val="26"/>
        </w:rPr>
      </w:pPr>
    </w:p>
    <w:p>
      <w:pPr>
        <w:spacing w:line="242" w:lineRule="auto" w:before="0"/>
        <w:ind w:left="5000" w:right="154" w:firstLine="0"/>
        <w:jc w:val="left"/>
        <w:rPr>
          <w:sz w:val="24"/>
        </w:rPr>
      </w:pPr>
      <w:r>
        <w:rPr>
          <w:color w:val="231F20"/>
          <w:sz w:val="24"/>
        </w:rPr>
        <w:t>At the time of the February MPC meeting, the first estimate of GDP growth in the fourth quarter showed a rise of only 0.5%. This was substantially weaker than expected at the time of the November </w:t>
      </w:r>
      <w:r>
        <w:rPr>
          <w:i/>
          <w:color w:val="231F20"/>
          <w:sz w:val="24"/>
        </w:rPr>
        <w:t>Report</w:t>
      </w:r>
      <w:r>
        <w:rPr>
          <w:color w:val="231F20"/>
          <w:sz w:val="24"/>
        </w:rPr>
        <w:t>. No breakdown of the expenditure components would be available until late February, but monthly data suggested a strong negative contribution from net exports.</w:t>
      </w:r>
    </w:p>
    <w:p>
      <w:pPr>
        <w:pStyle w:val="BodyText"/>
        <w:spacing w:before="10"/>
        <w:rPr>
          <w:sz w:val="26"/>
        </w:rPr>
      </w:pPr>
    </w:p>
    <w:p>
      <w:pPr>
        <w:spacing w:line="242" w:lineRule="auto" w:before="0"/>
        <w:ind w:left="5000" w:right="201" w:firstLine="0"/>
        <w:jc w:val="left"/>
        <w:rPr>
          <w:sz w:val="24"/>
        </w:rPr>
      </w:pPr>
      <w:r>
        <w:rPr>
          <w:color w:val="231F20"/>
          <w:sz w:val="24"/>
        </w:rPr>
        <w:t>The Labour Force Survey (LFS) suggested that the labour market had continued to tighten in the autumn. The LFS measures of both short and long-term unemployment had fallen significantly, and hours worked had increased. Whole-economy underlying average earnings growth had picked up to 4</w:t>
      </w:r>
      <w:r>
        <w:rPr>
          <w:color w:val="231F20"/>
          <w:position w:val="8"/>
          <w:sz w:val="12"/>
        </w:rPr>
        <w:t>3</w:t>
      </w:r>
      <w:r>
        <w:rPr>
          <w:color w:val="231F20"/>
          <w:sz w:val="24"/>
        </w:rPr>
        <w:t>/</w:t>
      </w:r>
      <w:r>
        <w:rPr>
          <w:color w:val="231F20"/>
          <w:sz w:val="12"/>
        </w:rPr>
        <w:t>4</w:t>
      </w:r>
      <w:r>
        <w:rPr>
          <w:color w:val="231F20"/>
          <w:sz w:val="24"/>
        </w:rPr>
        <w:t>% in November. The increase was broadly in line with that expected at the time of the November </w:t>
      </w:r>
      <w:r>
        <w:rPr>
          <w:i/>
          <w:color w:val="231F20"/>
          <w:sz w:val="24"/>
        </w:rPr>
        <w:t>Report</w:t>
      </w:r>
      <w:r>
        <w:rPr>
          <w:color w:val="231F20"/>
          <w:sz w:val="24"/>
        </w:rPr>
        <w:t>. RPIX inflation in December was higher than anticipated. But input and output price inflation were, if anything, lower than expected.</w:t>
      </w:r>
    </w:p>
    <w:p>
      <w:pPr>
        <w:pStyle w:val="BodyText"/>
        <w:rPr>
          <w:sz w:val="29"/>
        </w:rPr>
      </w:pPr>
    </w:p>
    <w:p>
      <w:pPr>
        <w:spacing w:line="242" w:lineRule="auto" w:before="0"/>
        <w:ind w:left="5000" w:right="201" w:firstLine="0"/>
        <w:jc w:val="left"/>
        <w:rPr>
          <w:sz w:val="24"/>
        </w:rPr>
      </w:pPr>
      <w:r>
        <w:rPr>
          <w:color w:val="231F20"/>
          <w:sz w:val="24"/>
        </w:rPr>
        <w:t>There were some tentative signs in the latest data that broad money and credit growth was slowing down, particularly borrowing by industrial and commercial companies. The nominal effective exchange rate had risen further since the previous MPC. But asset prices had also risen further.</w:t>
      </w:r>
    </w:p>
    <w:p>
      <w:pPr>
        <w:spacing w:after="0" w:line="242" w:lineRule="auto"/>
        <w:jc w:val="left"/>
        <w:rPr>
          <w:sz w:val="24"/>
        </w:rPr>
        <w:sectPr>
          <w:pgSz w:w="11880" w:h="16840"/>
          <w:pgMar w:header="586" w:footer="597" w:top="780" w:bottom="780" w:left="620" w:right="620"/>
        </w:sectPr>
      </w:pPr>
    </w:p>
    <w:p>
      <w:pPr>
        <w:pStyle w:val="BodyText"/>
        <w:rPr>
          <w:sz w:val="20"/>
        </w:rPr>
      </w:pPr>
    </w:p>
    <w:p>
      <w:pPr>
        <w:spacing w:line="242" w:lineRule="auto" w:before="230"/>
        <w:ind w:left="4990" w:right="330" w:firstLine="0"/>
        <w:jc w:val="left"/>
        <w:rPr>
          <w:sz w:val="24"/>
        </w:rPr>
      </w:pPr>
      <w:r>
        <w:rPr>
          <w:color w:val="231F20"/>
          <w:sz w:val="24"/>
        </w:rPr>
        <w:t>At the February MPC meeting, which took place on 4–5 February, the Committee decided to leave the repo rate unchanged at 7.25%.</w:t>
      </w:r>
    </w:p>
    <w:p>
      <w:pPr>
        <w:spacing w:after="0" w:line="242" w:lineRule="auto"/>
        <w:jc w:val="left"/>
        <w:rPr>
          <w:sz w:val="24"/>
        </w:rPr>
        <w:sectPr>
          <w:pgSz w:w="11880" w:h="16840"/>
          <w:pgMar w:header="586" w:footer="617" w:top="780" w:bottom="800" w:left="620" w:right="620"/>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474688;mso-wrap-distance-left:0;mso-wrap-distance-right:0" type="#_x0000_t202" filled="true" fillcolor="#b5dad6" stroked="false">
            <v:textbox inset="0,0,0,0">
              <w:txbxContent>
                <w:p>
                  <w:pPr>
                    <w:tabs>
                      <w:tab w:pos="5562" w:val="left" w:leader="none"/>
                    </w:tabs>
                    <w:spacing w:before="51"/>
                    <w:ind w:left="260" w:right="0" w:firstLine="0"/>
                    <w:jc w:val="left"/>
                    <w:rPr>
                      <w:b/>
                      <w:sz w:val="48"/>
                    </w:rPr>
                  </w:pPr>
                  <w:bookmarkStart w:name="Prospects for inflation" w:id="80"/>
                  <w:bookmarkEnd w:id="80"/>
                  <w:r>
                    <w:rPr/>
                  </w:r>
                  <w:bookmarkStart w:name="The inflation projection assumptions" w:id="81"/>
                  <w:bookmarkEnd w:id="81"/>
                  <w:r>
                    <w:rPr/>
                  </w:r>
                  <w:bookmarkStart w:name="_bookmark31" w:id="82"/>
                  <w:bookmarkEnd w:id="82"/>
                  <w:r>
                    <w:rPr/>
                  </w:r>
                  <w:r>
                    <w:rPr>
                      <w:b/>
                      <w:color w:val="009483"/>
                      <w:sz w:val="72"/>
                    </w:rPr>
                    <w:t>6</w:t>
                    <w:tab/>
                  </w:r>
                  <w:r>
                    <w:rPr>
                      <w:b/>
                      <w:color w:val="009483"/>
                      <w:sz w:val="48"/>
                    </w:rPr>
                    <w:t>Prospects </w:t>
                  </w:r>
                  <w:r>
                    <w:rPr>
                      <w:b/>
                      <w:color w:val="009483"/>
                      <w:spacing w:val="-4"/>
                      <w:sz w:val="48"/>
                    </w:rPr>
                    <w:t>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rPr>
          <w:sz w:val="20"/>
        </w:rPr>
      </w:pPr>
    </w:p>
    <w:p>
      <w:pPr>
        <w:tabs>
          <w:tab w:pos="5891" w:val="left" w:leader="none"/>
        </w:tabs>
        <w:spacing w:before="219"/>
        <w:ind w:left="5000" w:right="0" w:firstLine="0"/>
        <w:jc w:val="left"/>
        <w:rPr>
          <w:b/>
          <w:sz w:val="28"/>
        </w:rPr>
      </w:pPr>
      <w:r>
        <w:rPr>
          <w:b/>
          <w:color w:val="009483"/>
          <w:sz w:val="28"/>
          <w:u w:val="thick" w:color="0093C1"/>
        </w:rPr>
        <w:t>6.1</w:t>
        <w:tab/>
        <w:t>The inflation projection</w:t>
      </w:r>
      <w:r>
        <w:rPr>
          <w:b/>
          <w:color w:val="009483"/>
          <w:spacing w:val="-3"/>
          <w:sz w:val="28"/>
          <w:u w:val="thick" w:color="0093C1"/>
        </w:rPr>
        <w:t> </w:t>
      </w:r>
      <w:r>
        <w:rPr>
          <w:b/>
          <w:color w:val="009483"/>
          <w:sz w:val="28"/>
          <w:u w:val="thick" w:color="0093C1"/>
        </w:rPr>
        <w:t>assumptions</w:t>
      </w:r>
      <w:r>
        <w:rPr>
          <w:b/>
          <w:color w:val="009483"/>
          <w:spacing w:val="-12"/>
          <w:sz w:val="28"/>
          <w:u w:val="thick" w:color="0093C1"/>
        </w:rPr>
        <w:t> </w:t>
      </w:r>
    </w:p>
    <w:p>
      <w:pPr>
        <w:spacing w:line="242" w:lineRule="auto" w:before="264"/>
        <w:ind w:left="5000" w:right="385" w:firstLine="0"/>
        <w:jc w:val="left"/>
        <w:rPr>
          <w:sz w:val="24"/>
        </w:rPr>
      </w:pPr>
      <w:r>
        <w:rPr>
          <w:color w:val="231F20"/>
          <w:sz w:val="24"/>
        </w:rPr>
        <w:t>The projection for inflation is based on the assumption that official interest rates will remain unchanged at 7.25% during the next two years. The projection was agreed by the Monetary Policy Committee (MPC) on 5 February. In addition, for the first time, a</w:t>
      </w:r>
      <w:r>
        <w:rPr>
          <w:color w:val="231F20"/>
          <w:spacing w:val="-14"/>
          <w:sz w:val="24"/>
        </w:rPr>
        <w:t> </w:t>
      </w:r>
      <w:r>
        <w:rPr>
          <w:color w:val="231F20"/>
          <w:sz w:val="24"/>
        </w:rPr>
        <w:t>new</w:t>
      </w:r>
    </w:p>
    <w:p>
      <w:pPr>
        <w:spacing w:line="242" w:lineRule="auto" w:before="6"/>
        <w:ind w:left="5000" w:right="145" w:firstLine="0"/>
        <w:jc w:val="left"/>
        <w:rPr>
          <w:sz w:val="24"/>
        </w:rPr>
      </w:pPr>
      <w:r>
        <w:rPr>
          <w:color w:val="231F20"/>
          <w:sz w:val="24"/>
        </w:rPr>
        <w:t>projection is presented under the assumption that official interest rates follow market expectations over the next two years.</w:t>
      </w:r>
    </w:p>
    <w:p>
      <w:pPr>
        <w:pStyle w:val="BodyText"/>
        <w:spacing w:before="2"/>
        <w:rPr>
          <w:sz w:val="21"/>
        </w:rPr>
      </w:pPr>
    </w:p>
    <w:p>
      <w:pPr>
        <w:spacing w:line="242" w:lineRule="auto" w:before="1"/>
        <w:ind w:left="5000" w:right="188" w:firstLine="0"/>
        <w:jc w:val="left"/>
        <w:rPr>
          <w:sz w:val="24"/>
        </w:rPr>
      </w:pPr>
      <w:r>
        <w:rPr>
          <w:color w:val="231F20"/>
          <w:sz w:val="24"/>
        </w:rPr>
        <w:t>A key feature of the projections in the November </w:t>
      </w:r>
      <w:r>
        <w:rPr>
          <w:i/>
          <w:color w:val="231F20"/>
          <w:sz w:val="24"/>
        </w:rPr>
        <w:t>Report </w:t>
      </w:r>
      <w:r>
        <w:rPr>
          <w:color w:val="231F20"/>
          <w:sz w:val="24"/>
        </w:rPr>
        <w:t>was the marked slowdown in GDP growth. That reflected two main factors. First, the central projection implied a slowdown in domestic demand because of earlier monetary and fiscal policy tightening, and slower consumption growth once the initial impact of windfall gains had worn off. Second, and more importantly, the projection implied a slowdown in external demand following sterling’s appreciation. There are now signs that both factors are beginning to materialise. And since the November </w:t>
      </w:r>
      <w:r>
        <w:rPr>
          <w:i/>
          <w:color w:val="231F20"/>
          <w:sz w:val="24"/>
        </w:rPr>
        <w:t>Report </w:t>
      </w:r>
      <w:r>
        <w:rPr>
          <w:color w:val="231F20"/>
          <w:sz w:val="24"/>
        </w:rPr>
        <w:t>there have been further developments in Asia, which are likely to lead to a greater slowdown in external trade.</w:t>
      </w:r>
    </w:p>
    <w:p>
      <w:pPr>
        <w:pStyle w:val="BodyText"/>
        <w:spacing w:before="6"/>
        <w:rPr>
          <w:sz w:val="20"/>
        </w:rPr>
      </w:pPr>
    </w:p>
    <w:p>
      <w:pPr>
        <w:spacing w:line="242" w:lineRule="auto" w:before="0"/>
        <w:ind w:left="5000" w:right="190" w:firstLine="0"/>
        <w:jc w:val="left"/>
        <w:rPr>
          <w:sz w:val="24"/>
        </w:rPr>
      </w:pPr>
      <w:r>
        <w:rPr>
          <w:color w:val="231F20"/>
          <w:sz w:val="24"/>
        </w:rPr>
        <w:t>The </w:t>
      </w:r>
      <w:r>
        <w:rPr>
          <w:color w:val="231F20"/>
          <w:spacing w:val="-3"/>
          <w:sz w:val="24"/>
        </w:rPr>
        <w:t>MPC’s </w:t>
      </w:r>
      <w:r>
        <w:rPr>
          <w:color w:val="231F20"/>
          <w:sz w:val="24"/>
        </w:rPr>
        <w:t>assumptions about activity and inflation in overseas economies—and the impact of the Asian turbulence on the world economy—start from the projections made by the O</w:t>
      </w:r>
      <w:r>
        <w:rPr>
          <w:color w:val="231F20"/>
          <w:sz w:val="20"/>
        </w:rPr>
        <w:t>ECD </w:t>
      </w:r>
      <w:hyperlink w:history="true" w:anchor="_bookmark9">
        <w:r>
          <w:rPr>
            <w:color w:val="231F20"/>
            <w:sz w:val="24"/>
          </w:rPr>
          <w:t>and IMF (see Section</w:t>
        </w:r>
      </w:hyperlink>
      <w:r>
        <w:rPr>
          <w:color w:val="231F20"/>
          <w:sz w:val="24"/>
        </w:rPr>
        <w:t> 2). The central projection assumes that the impact of the Asian crisis will be to reduce the level of world GDP by up to 1 percentage point, and the level of GDP in the major six overseas economies by around half a percentage point.  Those estimates reflect both direct and indirect effects, as well as the policy response in other countries. The impact on UK net exports is expected to be just under half a percentage point of </w:t>
      </w:r>
      <w:r>
        <w:rPr>
          <w:color w:val="231F20"/>
          <w:spacing w:val="-6"/>
          <w:sz w:val="24"/>
        </w:rPr>
        <w:t>GDP </w:t>
      </w:r>
      <w:r>
        <w:rPr>
          <w:color w:val="231F20"/>
          <w:sz w:val="24"/>
        </w:rPr>
        <w:t>during the next two years, broadly similar to that expected in other European economies, but slightly less than in the United States and much less than in Japan.</w:t>
      </w:r>
    </w:p>
    <w:p>
      <w:pPr>
        <w:spacing w:line="242" w:lineRule="auto" w:before="19"/>
        <w:ind w:left="5000" w:right="488" w:firstLine="0"/>
        <w:jc w:val="left"/>
        <w:rPr>
          <w:sz w:val="24"/>
        </w:rPr>
      </w:pPr>
      <w:r>
        <w:rPr>
          <w:color w:val="231F20"/>
          <w:sz w:val="24"/>
        </w:rPr>
        <w:t>Uncertainty about the prospects for world trade is greater than usual, and that has been reflected in the projections. The weaker level of world activity will result in lower world prices which, in turn, will be reflected in the prices of goods and services imported into the United Kingdom and, eventually, in RPIX.</w:t>
      </w:r>
    </w:p>
    <w:p>
      <w:pPr>
        <w:spacing w:after="0" w:line="242" w:lineRule="auto"/>
        <w:jc w:val="left"/>
        <w:rPr>
          <w:sz w:val="24"/>
        </w:rPr>
        <w:sectPr>
          <w:headerReference w:type="even" r:id="rId87"/>
          <w:footerReference w:type="even" r:id="rId88"/>
          <w:footerReference w:type="default" r:id="rId89"/>
          <w:pgSz w:w="11880" w:h="16840"/>
          <w:pgMar w:header="0" w:footer="597" w:top="760" w:bottom="780" w:left="620" w:right="620"/>
          <w:pgNumType w:start="42"/>
        </w:sectPr>
      </w:pPr>
    </w:p>
    <w:p>
      <w:pPr>
        <w:pStyle w:val="BodyText"/>
        <w:rPr>
          <w:sz w:val="20"/>
        </w:rPr>
      </w:pPr>
    </w:p>
    <w:p>
      <w:pPr>
        <w:spacing w:line="242" w:lineRule="auto" w:before="207"/>
        <w:ind w:left="4965" w:right="154" w:firstLine="0"/>
        <w:jc w:val="left"/>
        <w:rPr>
          <w:sz w:val="24"/>
        </w:rPr>
      </w:pPr>
      <w:bookmarkStart w:name="The medium-term inflation projection" w:id="83"/>
      <w:bookmarkEnd w:id="83"/>
      <w:r>
        <w:rPr/>
      </w:r>
      <w:bookmarkStart w:name="_bookmark32" w:id="84"/>
      <w:bookmarkEnd w:id="84"/>
      <w:r>
        <w:rPr/>
      </w:r>
      <w:r>
        <w:rPr>
          <w:color w:val="231F20"/>
          <w:sz w:val="24"/>
        </w:rPr>
        <w:t>The projection takes account of the anticipated monetary policy accommodation in the industrialised world. The market expectation of short-term interest rates in the G3 at the end of 1998 has fallen by almost 50 basis points during the past three months. This fall at the short end of the yield curve will be expansionary. Once the effects of the Asian crisis have been taken into account, the central projection for GDP growth in the major six overseas economies</w:t>
      </w:r>
      <w:r>
        <w:rPr>
          <w:color w:val="231F20"/>
          <w:position w:val="5"/>
          <w:sz w:val="16"/>
        </w:rPr>
        <w:t>(1) </w:t>
      </w:r>
      <w:r>
        <w:rPr>
          <w:color w:val="231F20"/>
          <w:sz w:val="24"/>
        </w:rPr>
        <w:t>in 1998 and 1999 is broadly the same as in 1997.</w:t>
      </w:r>
    </w:p>
    <w:p>
      <w:pPr>
        <w:pStyle w:val="BodyText"/>
        <w:spacing w:before="11"/>
        <w:rPr>
          <w:sz w:val="28"/>
        </w:rPr>
      </w:pPr>
    </w:p>
    <w:p>
      <w:pPr>
        <w:spacing w:line="242" w:lineRule="auto" w:before="0"/>
        <w:ind w:left="4965" w:right="253" w:firstLine="0"/>
        <w:jc w:val="left"/>
        <w:rPr>
          <w:sz w:val="24"/>
        </w:rPr>
      </w:pPr>
      <w:r>
        <w:rPr>
          <w:color w:val="231F20"/>
          <w:sz w:val="24"/>
        </w:rPr>
        <w:t>There is a risk, however, that policy overseas will be tighter than expected by the markets in the next year or so, which would lead to weaker world activity than assumed in the central case. There is also a risk that developments in Asia will have a larger negative impact on world demand, especially in 1998, than implied by the central projection, though there could be a stronger bounce-back in 1999. The probability of a major depression in the world economy is thought to be extremely small, and has not been allowed for in the inflation projections. In that event, the MPC’s inflation projection and policy stance would be revised.</w:t>
      </w:r>
    </w:p>
    <w:p>
      <w:pPr>
        <w:pStyle w:val="BodyText"/>
        <w:spacing w:before="1"/>
        <w:rPr>
          <w:sz w:val="29"/>
        </w:rPr>
      </w:pPr>
    </w:p>
    <w:p>
      <w:pPr>
        <w:spacing w:before="1"/>
        <w:ind w:left="4965" w:right="0" w:firstLine="0"/>
        <w:jc w:val="left"/>
        <w:rPr>
          <w:sz w:val="24"/>
        </w:rPr>
      </w:pPr>
      <w:r>
        <w:rPr>
          <w:color w:val="231F20"/>
          <w:sz w:val="24"/>
        </w:rPr>
        <w:t>The sterling effective exchange rate index averaged</w:t>
      </w:r>
    </w:p>
    <w:p>
      <w:pPr>
        <w:spacing w:line="242" w:lineRule="auto" w:before="4"/>
        <w:ind w:left="4965" w:right="193" w:firstLine="0"/>
        <w:jc w:val="left"/>
        <w:rPr>
          <w:sz w:val="24"/>
        </w:rPr>
      </w:pPr>
      <w:r>
        <w:rPr>
          <w:color w:val="231F20"/>
          <w:sz w:val="24"/>
        </w:rPr>
        <w:t>104.9 in the 15 working days up to 4 February, and this is the starting-point used for the projection. It compares with an average of 102.0 prior to the November MPC meeting—a rise of just under 3%. The MPC considers the most likely profile for sterling is that it depreciates from its starting-point at a rate implied by the difference between the constant UK interest rate assumed in the projection and expected overseas interest rates, reaching an index level of around 101 by the end of the forecast period, which is consistent with a rate of around 1.62 against the dollar and 2.86 against the Deutsche Mark. </w:t>
      </w:r>
      <w:r>
        <w:rPr>
          <w:color w:val="231F20"/>
          <w:spacing w:val="-4"/>
          <w:sz w:val="24"/>
        </w:rPr>
        <w:t>However, </w:t>
      </w:r>
      <w:r>
        <w:rPr>
          <w:color w:val="231F20"/>
          <w:sz w:val="24"/>
        </w:rPr>
        <w:t>the MPC believes that there is a risk of a </w:t>
      </w:r>
      <w:r>
        <w:rPr>
          <w:color w:val="231F20"/>
          <w:spacing w:val="-4"/>
          <w:sz w:val="24"/>
        </w:rPr>
        <w:t>larger </w:t>
      </w:r>
      <w:r>
        <w:rPr>
          <w:color w:val="231F20"/>
          <w:sz w:val="24"/>
        </w:rPr>
        <w:t>depreciation through unwinding of the portfolio and erratic factors discussed in previous </w:t>
      </w:r>
      <w:r>
        <w:rPr>
          <w:i/>
          <w:color w:val="231F20"/>
          <w:sz w:val="24"/>
        </w:rPr>
        <w:t>Reports</w:t>
      </w:r>
      <w:r>
        <w:rPr>
          <w:color w:val="231F20"/>
          <w:sz w:val="24"/>
        </w:rPr>
        <w:t>. Hence, the expected value of the exchange rate at the end of the forecast period (the mean of the distribution) is </w:t>
      </w:r>
      <w:r>
        <w:rPr>
          <w:color w:val="231F20"/>
          <w:spacing w:val="-3"/>
          <w:sz w:val="24"/>
        </w:rPr>
        <w:t>lower, </w:t>
      </w:r>
      <w:r>
        <w:rPr>
          <w:color w:val="231F20"/>
          <w:sz w:val="24"/>
        </w:rPr>
        <w:t>at around 95, than the central case (the mode of the distribution).</w:t>
      </w:r>
    </w:p>
    <w:p>
      <w:pPr>
        <w:pStyle w:val="BodyText"/>
        <w:spacing w:before="4"/>
        <w:rPr>
          <w:sz w:val="22"/>
        </w:rPr>
      </w:pPr>
    </w:p>
    <w:p>
      <w:pPr>
        <w:pStyle w:val="ListParagraph"/>
        <w:numPr>
          <w:ilvl w:val="1"/>
          <w:numId w:val="28"/>
        </w:numPr>
        <w:tabs>
          <w:tab w:pos="5686" w:val="left" w:leader="none"/>
          <w:tab w:pos="5687" w:val="left" w:leader="none"/>
          <w:tab w:pos="10479" w:val="left" w:leader="none"/>
        </w:tabs>
        <w:spacing w:line="240" w:lineRule="auto" w:before="88" w:after="0"/>
        <w:ind w:left="5686" w:right="0" w:hanging="722"/>
        <w:jc w:val="left"/>
        <w:rPr>
          <w:b/>
          <w:sz w:val="28"/>
        </w:rPr>
      </w:pPr>
      <w:r>
        <w:rPr>
          <w:b/>
          <w:color w:val="009483"/>
          <w:sz w:val="28"/>
          <w:u w:val="thick" w:color="0093C1"/>
        </w:rPr>
        <w:t>The medium-term inflation</w:t>
      </w:r>
      <w:r>
        <w:rPr>
          <w:b/>
          <w:color w:val="009483"/>
          <w:spacing w:val="-6"/>
          <w:sz w:val="28"/>
          <w:u w:val="thick" w:color="0093C1"/>
        </w:rPr>
        <w:t> </w:t>
      </w:r>
      <w:r>
        <w:rPr>
          <w:b/>
          <w:color w:val="009483"/>
          <w:sz w:val="28"/>
          <w:u w:val="thick" w:color="0093C1"/>
        </w:rPr>
        <w:t>projection</w:t>
        <w:tab/>
      </w:r>
    </w:p>
    <w:p>
      <w:pPr>
        <w:spacing w:line="242" w:lineRule="auto" w:before="264"/>
        <w:ind w:left="4965" w:right="0" w:firstLine="0"/>
        <w:jc w:val="left"/>
        <w:rPr>
          <w:sz w:val="24"/>
        </w:rPr>
      </w:pPr>
      <w:r>
        <w:rPr>
          <w:color w:val="231F20"/>
          <w:sz w:val="24"/>
        </w:rPr>
        <w:t>Domestic demand in the third quarter was weaker than expected at the time of the November </w:t>
      </w:r>
      <w:r>
        <w:rPr>
          <w:i/>
          <w:color w:val="231F20"/>
          <w:sz w:val="24"/>
        </w:rPr>
        <w:t>Report</w:t>
      </w:r>
      <w:r>
        <w:rPr>
          <w:color w:val="231F20"/>
          <w:sz w:val="24"/>
        </w:rPr>
        <w:t>. That weakness was surprising, and was reflected in both</w:t>
      </w:r>
    </w:p>
    <w:p>
      <w:pPr>
        <w:pStyle w:val="BodyText"/>
        <w:spacing w:before="6"/>
        <w:rPr>
          <w:sz w:val="16"/>
        </w:rPr>
      </w:pPr>
      <w:r>
        <w:rPr/>
        <w:pict>
          <v:shape style="position:absolute;margin-left:278.5pt;margin-top:11.578799pt;width:276.75pt;height:.1pt;mso-position-horizontal-relative:page;mso-position-vertical-relative:paragraph;z-index:-15474176;mso-wrap-distance-left:0;mso-wrap-distance-right:0" coordorigin="5570,232" coordsize="5535,0" path="m5570,232l11105,232e" filled="false" stroked="true" strokeweight=".125pt" strokecolor="#231f20">
            <v:path arrowok="t"/>
            <v:stroke dashstyle="solid"/>
            <w10:wrap type="topAndBottom"/>
          </v:shape>
        </w:pict>
      </w:r>
    </w:p>
    <w:p>
      <w:pPr>
        <w:spacing w:line="208" w:lineRule="auto" w:before="0"/>
        <w:ind w:left="5220" w:right="672" w:hanging="240"/>
        <w:jc w:val="left"/>
        <w:rPr>
          <w:sz w:val="16"/>
        </w:rPr>
      </w:pPr>
      <w:r>
        <w:rPr>
          <w:color w:val="231F20"/>
          <w:sz w:val="16"/>
        </w:rPr>
        <w:t>(1) The G7 excluding the United Kingdom (Canada, the United States, Japan, France, Germany and Italy).</w:t>
      </w:r>
    </w:p>
    <w:p>
      <w:pPr>
        <w:spacing w:after="0" w:line="208" w:lineRule="auto"/>
        <w:jc w:val="left"/>
        <w:rPr>
          <w:sz w:val="16"/>
        </w:rPr>
        <w:sectPr>
          <w:headerReference w:type="default" r:id="rId90"/>
          <w:headerReference w:type="even" r:id="rId91"/>
          <w:pgSz w:w="11880" w:h="16840"/>
          <w:pgMar w:header="566" w:footer="597" w:top="760" w:bottom="780" w:left="620" w:right="620"/>
        </w:sectPr>
      </w:pPr>
    </w:p>
    <w:p>
      <w:pPr>
        <w:pStyle w:val="BodyText"/>
        <w:rPr>
          <w:sz w:val="20"/>
        </w:rPr>
      </w:pPr>
    </w:p>
    <w:p>
      <w:pPr>
        <w:pStyle w:val="Heading5"/>
        <w:spacing w:line="242" w:lineRule="auto" w:before="207"/>
        <w:ind w:left="4980" w:right="161"/>
      </w:pPr>
      <w:r>
        <w:rPr>
          <w:color w:val="231F20"/>
        </w:rPr>
        <w:t>consumption and investment, though government expenditure was strong. But it is always possible that GDP and its components could be revised. Although consumption growth has slowed, it will be underpinned this year by the rapid rise in wealth in 1997 and continuing real growth of employment income. The central projection assumes that equity prices grow in line with nominal GDP. But there is a risk of a marked fall in UK equity prices, particularly given their rapid rise in 1997 and the prospective effect on UK profits from the adjustments in Asia. Such a fall would lead to weaker domestic demand than in the central case.</w:t>
      </w:r>
    </w:p>
    <w:p>
      <w:pPr>
        <w:pStyle w:val="BodyText"/>
        <w:spacing w:before="5"/>
        <w:rPr>
          <w:sz w:val="27"/>
        </w:rPr>
      </w:pPr>
    </w:p>
    <w:p>
      <w:pPr>
        <w:spacing w:line="242" w:lineRule="auto" w:before="0"/>
        <w:ind w:left="4980" w:right="260" w:firstLine="0"/>
        <w:jc w:val="left"/>
        <w:rPr>
          <w:sz w:val="24"/>
        </w:rPr>
      </w:pPr>
      <w:r>
        <w:rPr>
          <w:color w:val="231F20"/>
          <w:sz w:val="24"/>
        </w:rPr>
        <w:t>The monthly trade figures suggest that net exports fell sharply in the fourth quarter, consistent with an increasing effect from sterling’s cumulative 25% appreciation since its trough in August 1996. Net exports are likely to fall further during coming quarters, particularly with the effects of weaker demand in Asia.</w:t>
      </w:r>
    </w:p>
    <w:p>
      <w:pPr>
        <w:pStyle w:val="BodyText"/>
        <w:spacing w:before="8"/>
        <w:rPr>
          <w:sz w:val="26"/>
        </w:rPr>
      </w:pPr>
    </w:p>
    <w:p>
      <w:pPr>
        <w:spacing w:line="242" w:lineRule="auto" w:before="0"/>
        <w:ind w:left="4980" w:right="201" w:firstLine="0"/>
        <w:jc w:val="left"/>
        <w:rPr>
          <w:sz w:val="24"/>
        </w:rPr>
      </w:pPr>
      <w:r>
        <w:rPr>
          <w:color w:val="231F20"/>
          <w:sz w:val="24"/>
        </w:rPr>
        <w:t>Taking domestic demand and net exports together, overall output growth has slowed by more than was envisaged in the November projections. It is difficult to predict turning-points precisely, and the weaker output figure in Q4 may reflect an earlier turning-point, rather than a deeper slowdown. But, as always, there is a high degree of uncertainty about the latest output data.</w:t>
      </w:r>
    </w:p>
    <w:p>
      <w:pPr>
        <w:pStyle w:val="BodyText"/>
        <w:spacing w:before="1"/>
        <w:rPr>
          <w:sz w:val="19"/>
        </w:rPr>
      </w:pPr>
    </w:p>
    <w:p>
      <w:pPr>
        <w:spacing w:after="0"/>
        <w:rPr>
          <w:sz w:val="19"/>
        </w:rPr>
        <w:sectPr>
          <w:footerReference w:type="even" r:id="rId92"/>
          <w:footerReference w:type="default" r:id="rId93"/>
          <w:pgSz w:w="11880" w:h="16840"/>
          <w:pgMar w:footer="1201" w:header="566" w:top="760" w:bottom="1400" w:left="620" w:right="620"/>
          <w:pgNumType w:start="44"/>
        </w:sectPr>
      </w:pPr>
    </w:p>
    <w:p>
      <w:pPr>
        <w:pStyle w:val="BodyText"/>
        <w:rPr>
          <w:sz w:val="22"/>
        </w:rPr>
      </w:pPr>
    </w:p>
    <w:p>
      <w:pPr>
        <w:pStyle w:val="BodyText"/>
        <w:spacing w:before="8"/>
        <w:rPr>
          <w:sz w:val="32"/>
        </w:rPr>
      </w:pPr>
    </w:p>
    <w:p>
      <w:pPr>
        <w:pStyle w:val="Heading9"/>
        <w:spacing w:before="0"/>
      </w:pPr>
      <w:r>
        <w:rPr>
          <w:color w:val="0093C1"/>
        </w:rPr>
        <w:t>Chart 6.1</w:t>
      </w:r>
    </w:p>
    <w:p>
      <w:pPr>
        <w:spacing w:before="10"/>
        <w:ind w:left="200" w:right="0" w:firstLine="0"/>
        <w:jc w:val="left"/>
        <w:rPr>
          <w:b/>
          <w:sz w:val="20"/>
        </w:rPr>
      </w:pPr>
      <w:r>
        <w:rPr>
          <w:b/>
          <w:color w:val="0093C1"/>
          <w:sz w:val="20"/>
        </w:rPr>
        <w:t>Current GDP projection</w:t>
      </w:r>
    </w:p>
    <w:p>
      <w:pPr>
        <w:pStyle w:val="BodyText"/>
        <w:spacing w:before="10"/>
        <w:rPr>
          <w:b/>
          <w:sz w:val="21"/>
        </w:rPr>
      </w:pPr>
    </w:p>
    <w:p>
      <w:pPr>
        <w:spacing w:before="0"/>
        <w:ind w:left="1293" w:right="0" w:firstLine="0"/>
        <w:jc w:val="left"/>
        <w:rPr>
          <w:sz w:val="12"/>
        </w:rPr>
      </w:pPr>
      <w:r>
        <w:rPr/>
        <w:pict>
          <v:line style="position:absolute;mso-position-horizontal-relative:page;mso-position-vertical-relative:paragraph;z-index:-20105216" from="206.549997pt,8.185951pt" to="201.949997pt,8.185951pt" stroked="true" strokeweight=".5pt" strokecolor="#000000">
            <v:stroke dashstyle="solid"/>
            <w10:wrap type="none"/>
          </v:line>
        </w:pict>
      </w:r>
      <w:r>
        <w:rPr/>
        <w:pict>
          <v:line style="position:absolute;mso-position-horizontal-relative:page;mso-position-vertical-relative:paragraph;z-index:15985152" from="54.300001pt,7.935951pt" to="49.700001pt,7.935951pt" stroked="true" strokeweight=".5pt" strokecolor="#000000">
            <v:stroke dashstyle="solid"/>
            <w10:wrap type="none"/>
          </v:line>
        </w:pict>
      </w:r>
      <w:r>
        <w:rPr>
          <w:sz w:val="12"/>
        </w:rPr>
        <w:t>Percentage increase in output on a year earlier </w:t>
      </w:r>
      <w:r>
        <w:rPr>
          <w:position w:val="-7"/>
          <w:sz w:val="12"/>
        </w:rPr>
        <w:t>6</w:t>
      </w:r>
    </w:p>
    <w:p>
      <w:pPr>
        <w:pStyle w:val="BodyText"/>
        <w:spacing w:before="6"/>
        <w:rPr>
          <w:sz w:val="25"/>
        </w:rPr>
      </w:pPr>
    </w:p>
    <w:p>
      <w:pPr>
        <w:spacing w:before="0"/>
        <w:ind w:left="0" w:right="38" w:firstLine="0"/>
        <w:jc w:val="right"/>
        <w:rPr>
          <w:sz w:val="12"/>
        </w:rPr>
      </w:pPr>
      <w:r>
        <w:rPr/>
        <w:pict>
          <v:group style="position:absolute;margin-left:49.200001pt;margin-top:1.80457pt;width:157.6pt;height:110.3pt;mso-position-horizontal-relative:page;mso-position-vertical-relative:paragraph;z-index:15983616" coordorigin="984,36" coordsize="3152,2206">
            <v:shape style="position:absolute;left:2923;top:36;width:1066;height:2206" coordorigin="2924,36" coordsize="1066,2206" path="m3989,36l3871,207,3753,404,3634,643,3516,814,3397,931,3279,1018,3161,915,3042,752,2924,844,3042,1037,3161,1483,3279,1870,3397,2067,3516,2235,3634,2241,3753,2180,3871,2161,3989,2167,3989,36xe" filled="true" fillcolor="#dbeae4" stroked="false">
              <v:path arrowok="t"/>
              <v:fill type="solid"/>
            </v:shape>
            <v:shape style="position:absolute;left:2923;top:273;width:1066;height:1810" coordorigin="2924,274" coordsize="1066,1810" path="m3989,274l3871,426,3753,604,3634,823,3516,976,3397,1062,3279,1119,3161,985,3042,792,2924,853,3042,1014,3161,1428,3279,1783,3397,1948,3516,2084,3634,2070,3753,1988,3871,1949,3989,1936,3989,274xe" filled="true" fillcolor="#bfdbcf" stroked="false">
              <v:path arrowok="t"/>
              <v:fill type="solid"/>
            </v:shape>
            <v:shape style="position:absolute;left:2923;top:428;width:1066;height:1544" coordorigin="2924,429" coordsize="1066,1544" path="m3989,429l3871,567,3753,731,3634,937,3516,1076,3397,1142,3279,1178,3161,1024,3042,811,2924,852,3042,990,3161,1383,3279,1716,3397,1859,3516,1972,3634,1946,3753,1852,3871,1800,3989,1773,3989,429xe" filled="true" fillcolor="#a4cdbd" stroked="false">
              <v:path arrowok="t"/>
              <v:fill type="solid"/>
            </v:shape>
            <v:shape style="position:absolute;left:2923;top:550;width:1066;height:1337" coordorigin="2924,551" coordsize="1066,1337" path="m3989,551l3871,680,3753,834,3634,1031,3516,1159,3397,1209,3279,1228,3161,1057,3042,827,2924,851,3042,973,3161,1348,3279,1664,3397,1790,3516,1887,3634,1849,3753,1743,3871,1680,3989,1642,3989,551xe" filled="true" fillcolor="#8abfab" stroked="false">
              <v:path arrowok="t"/>
              <v:fill type="solid"/>
            </v:shape>
            <v:shape style="position:absolute;left:2923;top:646;width:1066;height:1159" coordorigin="2924,647" coordsize="1066,1159" path="m3989,647l3871,767,3753,913,3634,1101,3516,1222,3397,1257,3279,1263,3161,1079,3042,835,2924,846,3042,952,3161,1312,3279,1614,3397,1724,3516,1806,3634,1758,3753,1643,3871,1570,3989,1522,3989,647xe" filled="true" fillcolor="#6fb39a" stroked="false">
              <v:path arrowok="t"/>
              <v:fill type="solid"/>
            </v:shape>
            <v:shape style="position:absolute;left:2923;top:747;width:1066;height:998" coordorigin="2924,747" coordsize="1066,998" path="m3989,747l3871,859,3753,997,3634,1176,3516,1288,3397,1311,3279,1305,3161,1107,3042,851,2924,849,3042,943,3161,1290,3279,1579,3397,1677,3516,1745,3634,1689,3753,1565,3871,1484,3989,1428,3989,747xe" filled="true" fillcolor="#53a78b" stroked="false">
              <v:path arrowok="t"/>
              <v:fill type="solid"/>
            </v:shape>
            <v:shape style="position:absolute;left:2923;top:828;width:1066;height:850" coordorigin="2924,829" coordsize="1066,850" path="m3989,829l3871,934,3753,1066,3634,1239,3516,1345,3397,1356,3279,1337,3161,1128,3042,860,2924,846,3042,927,3161,1262,3279,1537,3397,1623,3516,1679,3634,1615,3753,1484,3871,1395,3989,1332,3989,829xe" filled="true" fillcolor="#309d7d" stroked="false">
              <v:path arrowok="t"/>
              <v:fill type="solid"/>
            </v:shape>
            <v:shape style="position:absolute;left:2913;top:846;width:1076;height:781" coordorigin="2914,847" coordsize="1076,781" path="m3989,914l3979,923,3979,921,3861,1019,3743,1143,3624,1309,3514,1401,3397,1401,3279,1371,3161,1151,3042,872,2924,847,2948,861,2914,853,3032,923,3151,1246,3269,1510,3387,1583,3506,1627,3624,1556,3625,1555,3634,1550,3753,1411,3868,1318,3979,1251,3979,1250,3989,1244,3989,914xe" filled="true" fillcolor="#00936f" stroked="false">
              <v:path arrowok="t"/>
              <v:fill type="solid"/>
            </v:shape>
            <v:shape style="position:absolute;left:2923;top:849;width:1066;height:715" coordorigin="2924,850" coordsize="1066,715" path="m2924,850l3042,907,3161,1218,3279,1470,3397,1532,3516,1564,3634,1487,3753,1342,3871,1240,3989,1163,3989,998,3871,1089,3753,1205,3634,1363,3516,1454,3397,1444,3279,1404,3161,1174,3042,885,2924,850xe" filled="true" fillcolor="#008256" stroked="false">
              <v:path arrowok="t"/>
              <v:fill type="solid"/>
            </v:shape>
            <v:shape style="position:absolute;left:1139;top:90;width:237;height:589" coordorigin="1139,90" coordsize="237,589" path="m1258,277l1139,679m1376,90l1258,277e" filled="false" stroked="true" strokeweight="1pt" strokecolor="#008256">
              <v:path arrowok="t"/>
              <v:stroke dashstyle="solid"/>
            </v:shape>
            <v:line style="position:absolute" from="1366,92" to="1504,92" stroked="true" strokeweight="1.195pt" strokecolor="#008256">
              <v:stroke dashstyle="solid"/>
            </v:line>
            <v:shape style="position:absolute;left:1494;top:94;width:2487;height:1418" coordorigin="1494,94" coordsize="2487,1418" path="m1613,486l1494,94m1731,970l1613,486m1850,1286l1731,970m1968,1326l1850,1286m2086,1262l1968,1326m2205,1132l2086,1262m2323,1095l2205,1132m2442,917l2323,1095m2560,940l2442,917m2678,700l2560,940m2797,603l2678,700m2915,852l2797,603m3034,899l2915,852m3152,1199l3034,899m3270,1440l3152,1199m3389,1491l3270,1440m3507,1512l3389,1491m3626,1427l3507,1512m3744,1275l3626,1427m3862,1165l3744,1275m3981,1081l3862,1165e" filled="false" stroked="true" strokeweight="1pt" strokecolor="#008256">
              <v:path arrowok="t"/>
              <v:stroke dashstyle="solid"/>
            </v:shape>
            <v:shape style="position:absolute;left:984;top:73;width:3152;height:2114" coordorigin="984,74" coordsize="3152,2114" path="m1083,1762l991,1762m1088,1339l996,1339m1088,915l996,915m1083,487l991,487m1093,74l1001,74m4126,1762l4034,1762m4131,1337l4039,1337m4131,2187l4039,2187m4136,912l4044,912m4131,487l4039,487m4131,77l4039,77m1076,2182l984,2182e" filled="false" stroked="true" strokeweight=".5pt" strokecolor="#000000">
              <v:path arrowok="t"/>
              <v:stroke dashstyle="solid"/>
            </v:shape>
            <v:line style="position:absolute" from="1150,2182" to="3983,2182" stroked="true" strokeweight=".5pt" strokecolor="#000000">
              <v:stroke dashstyle="solid"/>
            </v:line>
            <w10:wrap type="none"/>
          </v:group>
        </w:pict>
      </w:r>
      <w:r>
        <w:rPr>
          <w:sz w:val="12"/>
        </w:rPr>
        <w:t>5</w:t>
      </w:r>
    </w:p>
    <w:p>
      <w:pPr>
        <w:pStyle w:val="BodyText"/>
        <w:rPr>
          <w:sz w:val="12"/>
        </w:rPr>
      </w:pPr>
    </w:p>
    <w:p>
      <w:pPr>
        <w:pStyle w:val="BodyText"/>
        <w:spacing w:before="1"/>
        <w:rPr>
          <w:sz w:val="12"/>
        </w:rPr>
      </w:pPr>
    </w:p>
    <w:p>
      <w:pPr>
        <w:spacing w:before="0"/>
        <w:ind w:left="0" w:right="38" w:firstLine="0"/>
        <w:jc w:val="right"/>
        <w:rPr>
          <w:sz w:val="12"/>
        </w:rPr>
      </w:pPr>
      <w:r>
        <w:rPr>
          <w:sz w:val="12"/>
        </w:rPr>
        <w:t>4</w:t>
      </w:r>
    </w:p>
    <w:p>
      <w:pPr>
        <w:pStyle w:val="BodyText"/>
        <w:rPr>
          <w:sz w:val="12"/>
        </w:rPr>
      </w:pPr>
    </w:p>
    <w:p>
      <w:pPr>
        <w:pStyle w:val="BodyText"/>
        <w:rPr>
          <w:sz w:val="13"/>
        </w:rPr>
      </w:pPr>
    </w:p>
    <w:p>
      <w:pPr>
        <w:spacing w:before="0"/>
        <w:ind w:left="0" w:right="38" w:firstLine="0"/>
        <w:jc w:val="right"/>
        <w:rPr>
          <w:sz w:val="12"/>
        </w:rPr>
      </w:pPr>
      <w:r>
        <w:rPr>
          <w:sz w:val="12"/>
        </w:rPr>
        <w:t>3</w:t>
      </w:r>
    </w:p>
    <w:p>
      <w:pPr>
        <w:pStyle w:val="BodyText"/>
        <w:rPr>
          <w:sz w:val="12"/>
        </w:rPr>
      </w:pPr>
    </w:p>
    <w:p>
      <w:pPr>
        <w:pStyle w:val="BodyText"/>
        <w:spacing w:before="1"/>
        <w:rPr>
          <w:sz w:val="12"/>
        </w:rPr>
      </w:pPr>
    </w:p>
    <w:p>
      <w:pPr>
        <w:spacing w:before="0"/>
        <w:ind w:left="0" w:right="38" w:firstLine="0"/>
        <w:jc w:val="right"/>
        <w:rPr>
          <w:sz w:val="12"/>
        </w:rPr>
      </w:pPr>
      <w:r>
        <w:rPr>
          <w:sz w:val="12"/>
        </w:rPr>
        <w:t>2</w:t>
      </w:r>
    </w:p>
    <w:p>
      <w:pPr>
        <w:pStyle w:val="BodyText"/>
        <w:rPr>
          <w:sz w:val="12"/>
        </w:rPr>
      </w:pPr>
    </w:p>
    <w:p>
      <w:pPr>
        <w:pStyle w:val="BodyText"/>
        <w:spacing w:before="6"/>
        <w:rPr>
          <w:sz w:val="12"/>
        </w:rPr>
      </w:pPr>
    </w:p>
    <w:p>
      <w:pPr>
        <w:spacing w:before="0"/>
        <w:ind w:left="0" w:right="38" w:firstLine="0"/>
        <w:jc w:val="right"/>
        <w:rPr>
          <w:sz w:val="12"/>
        </w:rPr>
      </w:pPr>
      <w:r>
        <w:rPr>
          <w:sz w:val="12"/>
        </w:rPr>
        <w:t>1</w:t>
      </w:r>
    </w:p>
    <w:p>
      <w:pPr>
        <w:spacing w:before="50"/>
        <w:ind w:left="3505" w:right="0" w:firstLine="0"/>
        <w:jc w:val="left"/>
        <w:rPr>
          <w:sz w:val="16"/>
        </w:rPr>
      </w:pPr>
      <w:r>
        <w:rPr>
          <w:sz w:val="16"/>
        </w:rPr>
        <w:t>+</w:t>
      </w:r>
    </w:p>
    <w:p>
      <w:pPr>
        <w:spacing w:before="68"/>
        <w:ind w:left="0" w:right="38" w:firstLine="0"/>
        <w:jc w:val="right"/>
        <w:rPr>
          <w:sz w:val="12"/>
        </w:rPr>
      </w:pPr>
      <w:r>
        <w:rPr>
          <w:sz w:val="12"/>
        </w:rPr>
        <w:t>0</w:t>
      </w:r>
    </w:p>
    <w:p>
      <w:pPr>
        <w:spacing w:before="10"/>
        <w:ind w:left="3515" w:right="0" w:firstLine="0"/>
        <w:jc w:val="left"/>
        <w:rPr>
          <w:sz w:val="16"/>
        </w:rPr>
      </w:pPr>
      <w:r>
        <w:rPr>
          <w:sz w:val="16"/>
        </w:rPr>
        <w:t>–</w:t>
      </w:r>
    </w:p>
    <w:p>
      <w:pPr>
        <w:spacing w:line="136" w:lineRule="exact" w:before="83"/>
        <w:ind w:left="3560" w:right="0" w:firstLine="0"/>
        <w:jc w:val="left"/>
        <w:rPr>
          <w:sz w:val="12"/>
        </w:rPr>
      </w:pPr>
      <w:r>
        <w:rPr/>
        <w:pict>
          <v:shape style="position:absolute;margin-left:48.950001pt;margin-top:2.908769pt;width:157.35pt;height:5.9pt;mso-position-horizontal-relative:page;mso-position-vertical-relative:paragraph;z-index:15984128" coordorigin="979,58" coordsize="3147,118" path="m1142,172l3987,172m1133,164l1133,65m1252,172l1252,98m1370,172l1370,98m1489,172l1489,98m1607,169l1607,65m1725,172l1725,98m1844,172l1844,98m1962,172l1962,98m2081,164l2081,65m2199,172l2199,98m2317,172l2317,98m2436,172l2436,98m2554,164l2554,70m2673,172l2673,98m2791,172l2791,98m2909,172l2909,98m3028,169l3028,65m3146,172l3146,98m3265,172l3265,98m3383,172l3383,98m3501,161l3501,62m3620,172l3620,98m3738,172l3738,98m3857,166l3857,102m3978,176l3978,58m4126,170l4034,170m1071,165l979,165e" filled="false" stroked="true" strokeweight=".5pt" strokecolor="#000000">
            <v:path arrowok="t"/>
            <v:stroke dashstyle="solid"/>
            <w10:wrap type="none"/>
          </v:shape>
        </w:pict>
      </w:r>
      <w:r>
        <w:rPr>
          <w:sz w:val="12"/>
        </w:rPr>
        <w:t>1</w:t>
      </w:r>
    </w:p>
    <w:p>
      <w:pPr>
        <w:tabs>
          <w:tab w:pos="1169" w:val="left" w:leader="none"/>
          <w:tab w:pos="1653" w:val="left" w:leader="none"/>
          <w:tab w:pos="2081" w:val="left" w:leader="none"/>
          <w:tab w:pos="2576" w:val="left" w:leader="none"/>
          <w:tab w:pos="3038" w:val="left" w:leader="none"/>
        </w:tabs>
        <w:spacing w:line="136" w:lineRule="exact" w:before="0"/>
        <w:ind w:left="623" w:right="0" w:firstLine="0"/>
        <w:jc w:val="left"/>
        <w:rPr>
          <w:sz w:val="12"/>
        </w:rPr>
      </w:pPr>
      <w:r>
        <w:rPr>
          <w:sz w:val="12"/>
        </w:rPr>
        <w:t>1994</w:t>
        <w:tab/>
        <w:t>95</w:t>
        <w:tab/>
        <w:t>96</w:t>
        <w:tab/>
        <w:t>97</w:t>
        <w:tab/>
        <w:t>98</w:t>
        <w:tab/>
        <w:t>99</w:t>
      </w:r>
      <w:r>
        <w:rPr>
          <w:spacing w:val="5"/>
          <w:sz w:val="12"/>
        </w:rPr>
        <w:t> </w:t>
      </w:r>
      <w:r>
        <w:rPr>
          <w:sz w:val="12"/>
        </w:rPr>
        <w:t>2000</w:t>
      </w:r>
    </w:p>
    <w:p>
      <w:pPr>
        <w:pStyle w:val="BodyText"/>
        <w:spacing w:before="4"/>
        <w:rPr>
          <w:sz w:val="10"/>
        </w:rPr>
      </w:pPr>
    </w:p>
    <w:p>
      <w:pPr>
        <w:spacing w:line="208" w:lineRule="auto" w:before="0"/>
        <w:ind w:left="200" w:right="158" w:firstLine="0"/>
        <w:jc w:val="left"/>
        <w:rPr>
          <w:sz w:val="12"/>
        </w:rPr>
      </w:pPr>
      <w:r>
        <w:rPr>
          <w:color w:val="231F20"/>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output </w:t>
      </w:r>
      <w:r>
        <w:rPr>
          <w:color w:val="231F20"/>
          <w:spacing w:val="-3"/>
          <w:sz w:val="12"/>
        </w:rPr>
        <w:t>growth </w:t>
      </w:r>
      <w:r>
        <w:rPr>
          <w:color w:val="231F20"/>
          <w:sz w:val="12"/>
        </w:rPr>
        <w:t>at any particular time horizon, the wider the bands, and the more gradually the colour fades. And if the risks are more on one side than the other, then the remaining bands will be wider on that side  of the central band.</w:t>
      </w:r>
    </w:p>
    <w:p>
      <w:pPr>
        <w:pStyle w:val="Heading5"/>
        <w:spacing w:line="242" w:lineRule="auto" w:before="90"/>
        <w:ind w:left="200" w:right="154"/>
      </w:pPr>
      <w:r>
        <w:rPr/>
        <w:br w:type="column"/>
      </w:r>
      <w:r>
        <w:rPr>
          <w:color w:val="231F20"/>
        </w:rPr>
        <w:t>Broad money now shows signs of slowing, but only gradually. Recent movements in broad money velocity have been difficult to explain. The MPC judges that the most likely scenario is that money velocity will continue to decline more gradually in 1998 than in the past few years. So broad money growth would need to slow further if the nominal income projections are not to be exceeded. But there are clear risks from the increase in money in the past two years, if it feeds through to higher nominal demand and, in turn, to a faster rate of increase in earnings and prices.</w:t>
      </w:r>
    </w:p>
    <w:p>
      <w:pPr>
        <w:pStyle w:val="BodyText"/>
        <w:spacing w:before="3"/>
        <w:rPr>
          <w:sz w:val="27"/>
        </w:rPr>
      </w:pPr>
    </w:p>
    <w:p>
      <w:pPr>
        <w:spacing w:line="242" w:lineRule="auto" w:before="0"/>
        <w:ind w:left="200" w:right="181" w:firstLine="0"/>
        <w:jc w:val="left"/>
        <w:rPr>
          <w:sz w:val="24"/>
        </w:rPr>
      </w:pPr>
      <w:r>
        <w:rPr>
          <w:color w:val="231F20"/>
          <w:sz w:val="24"/>
        </w:rPr>
        <w:t>Chart 6.1 shows the MPC’s probability distribution for the four-quarter growth rate of GDP.</w:t>
      </w:r>
      <w:r>
        <w:rPr>
          <w:color w:val="231F20"/>
          <w:position w:val="5"/>
          <w:sz w:val="16"/>
        </w:rPr>
        <w:t>(1) </w:t>
      </w:r>
      <w:r>
        <w:rPr>
          <w:color w:val="231F20"/>
          <w:sz w:val="24"/>
        </w:rPr>
        <w:t>The single most likely outcome for GDP growth is within the central band (with the darkest shading), which is judged to contain 10% of the probability distribution. The central projection is that growth, having already peaked, will continue to fall, before rising again towards the end of the forecasting horizon as the contribution of net trade to GDP growth becomes less negative. A large rise in the current account deficit is expected. Domestic demand</w:t>
      </w:r>
    </w:p>
    <w:p>
      <w:pPr>
        <w:spacing w:after="0" w:line="242" w:lineRule="auto"/>
        <w:jc w:val="left"/>
        <w:rPr>
          <w:sz w:val="24"/>
        </w:rPr>
        <w:sectPr>
          <w:type w:val="continuous"/>
          <w:pgSz w:w="11880" w:h="16840"/>
          <w:pgMar w:top="1200" w:bottom="280" w:left="620" w:right="620"/>
          <w:cols w:num="2" w:equalWidth="0">
            <w:col w:w="3661" w:space="1119"/>
            <w:col w:w="5860"/>
          </w:cols>
        </w:sectPr>
      </w:pPr>
    </w:p>
    <w:p>
      <w:pPr>
        <w:pStyle w:val="BodyText"/>
        <w:rPr>
          <w:sz w:val="20"/>
        </w:rPr>
      </w:pPr>
    </w:p>
    <w:p>
      <w:pPr>
        <w:spacing w:line="242" w:lineRule="auto" w:before="227"/>
        <w:ind w:left="4985" w:right="201" w:firstLine="0"/>
        <w:jc w:val="left"/>
        <w:rPr>
          <w:sz w:val="24"/>
        </w:rPr>
      </w:pPr>
      <w:r>
        <w:rPr>
          <w:color w:val="231F20"/>
          <w:sz w:val="24"/>
        </w:rPr>
        <w:t>growth is expected to fall towards trend. The overall shape of the output projection is broadly similar to November. But the central case is for a somewhat lower level of output during the next two years, reflecting the recent data.</w:t>
      </w:r>
    </w:p>
    <w:p>
      <w:pPr>
        <w:pStyle w:val="BodyText"/>
        <w:spacing w:before="2"/>
        <w:rPr>
          <w:sz w:val="23"/>
        </w:rPr>
      </w:pPr>
    </w:p>
    <w:p>
      <w:pPr>
        <w:spacing w:line="242" w:lineRule="auto" w:before="0"/>
        <w:ind w:left="4985" w:right="130" w:firstLine="0"/>
        <w:jc w:val="left"/>
        <w:rPr>
          <w:sz w:val="24"/>
        </w:rPr>
      </w:pPr>
      <w:r>
        <w:rPr>
          <w:color w:val="231F20"/>
          <w:sz w:val="24"/>
        </w:rPr>
        <w:t>Nominal earnings growth has increased, and is currently around the rate implied by the November central projection. But earnings growth is above 5% in the private sector, and pay settlements showed signs of edging up in January. Real earnings growth has increased. The projection assumes that growth in real earnings is lower for any given level of unemployment than in the 1980s, and that there has been a fall in the natural rate of unemployment. There is a risk of a more marked rise in earnings growth if the short-term trade-off between labour market tightness and real earnings is steeper than assumed.</w:t>
      </w:r>
    </w:p>
    <w:p>
      <w:pPr>
        <w:pStyle w:val="BodyText"/>
        <w:spacing w:before="2"/>
        <w:rPr>
          <w:sz w:val="22"/>
        </w:rPr>
      </w:pPr>
    </w:p>
    <w:p>
      <w:pPr>
        <w:spacing w:line="242" w:lineRule="auto" w:before="0"/>
        <w:ind w:left="4985" w:right="187" w:firstLine="0"/>
        <w:jc w:val="left"/>
        <w:rPr>
          <w:sz w:val="24"/>
        </w:rPr>
      </w:pPr>
      <w:r>
        <w:rPr>
          <w:color w:val="231F20"/>
          <w:sz w:val="24"/>
        </w:rPr>
        <w:t>A crucial issue is which observable indicator most accurately measures labour market tightness. The labour market continues to tighten on almost all indicators, but the extent of the tightening on each of the measures differs. Skill shortages remain high, and unemployment continues to fall. It is likely that short-term unemployment has more of an influence than long-term unemployment on real earnings behaviour; the former is currently below the trough reached in the late 1980s.</w:t>
      </w:r>
    </w:p>
    <w:p>
      <w:pPr>
        <w:spacing w:line="242" w:lineRule="auto" w:before="12"/>
        <w:ind w:left="4985" w:right="53" w:firstLine="0"/>
        <w:jc w:val="left"/>
        <w:rPr>
          <w:sz w:val="24"/>
        </w:rPr>
      </w:pPr>
      <w:r>
        <w:rPr>
          <w:color w:val="231F20"/>
          <w:sz w:val="24"/>
        </w:rPr>
        <w:t>But there is likely to be some downward pressure on wages from the long-term unemployed and the inactive. Those indicators have yet to fall below the levels reached in earlier periods of strong GDP growth. The central projection uses a broad measure of labour market tightness, the non-employment rate, so there is an upside risk to the inflation projection if, in particular, the</w:t>
      </w:r>
    </w:p>
    <w:p>
      <w:pPr>
        <w:spacing w:before="9"/>
        <w:ind w:left="4985" w:right="0" w:firstLine="0"/>
        <w:jc w:val="left"/>
        <w:rPr>
          <w:sz w:val="24"/>
        </w:rPr>
      </w:pPr>
      <w:r>
        <w:rPr>
          <w:color w:val="231F20"/>
          <w:sz w:val="24"/>
        </w:rPr>
        <w:t>short-term unemployment measure is more appropriate.</w:t>
      </w:r>
    </w:p>
    <w:p>
      <w:pPr>
        <w:pStyle w:val="BodyText"/>
        <w:spacing w:before="2"/>
        <w:rPr>
          <w:sz w:val="21"/>
        </w:rPr>
      </w:pPr>
    </w:p>
    <w:p>
      <w:pPr>
        <w:spacing w:line="242" w:lineRule="auto" w:before="0"/>
        <w:ind w:left="4985" w:right="185" w:firstLine="0"/>
        <w:jc w:val="left"/>
        <w:rPr>
          <w:sz w:val="24"/>
        </w:rPr>
      </w:pPr>
      <w:r>
        <w:rPr>
          <w:color w:val="231F20"/>
          <w:sz w:val="24"/>
        </w:rPr>
        <w:t>RPIX inflation fell slightly in December, but was above the November </w:t>
      </w:r>
      <w:r>
        <w:rPr>
          <w:i/>
          <w:color w:val="231F20"/>
          <w:sz w:val="24"/>
        </w:rPr>
        <w:t>Report </w:t>
      </w:r>
      <w:r>
        <w:rPr>
          <w:color w:val="231F20"/>
          <w:sz w:val="24"/>
        </w:rPr>
        <w:t>central projection. Despite the sharp, and largely unanticipated, appreciation of</w:t>
      </w:r>
      <w:r>
        <w:rPr>
          <w:color w:val="231F20"/>
          <w:spacing w:val="-21"/>
          <w:sz w:val="24"/>
        </w:rPr>
        <w:t> </w:t>
      </w:r>
      <w:r>
        <w:rPr>
          <w:color w:val="231F20"/>
          <w:sz w:val="24"/>
        </w:rPr>
        <w:t>sterling, RPIX inflation has remained at, or above, the inflation target of 2</w:t>
      </w:r>
      <w:r>
        <w:rPr>
          <w:color w:val="231F20"/>
          <w:position w:val="8"/>
          <w:sz w:val="12"/>
        </w:rPr>
        <w:t>1</w:t>
      </w:r>
      <w:r>
        <w:rPr>
          <w:color w:val="231F20"/>
          <w:sz w:val="24"/>
        </w:rPr>
        <w:t>/</w:t>
      </w:r>
      <w:r>
        <w:rPr>
          <w:color w:val="231F20"/>
          <w:sz w:val="12"/>
        </w:rPr>
        <w:t>2</w:t>
      </w:r>
      <w:r>
        <w:rPr>
          <w:color w:val="231F20"/>
          <w:sz w:val="24"/>
        </w:rPr>
        <w:t>%. That reflects the strength of domestic demand.  The short-term profile for inflation continues to be affected by the assumption on import</w:t>
      </w:r>
      <w:r>
        <w:rPr>
          <w:color w:val="231F20"/>
          <w:spacing w:val="-3"/>
          <w:sz w:val="24"/>
        </w:rPr>
        <w:t> </w:t>
      </w:r>
      <w:r>
        <w:rPr>
          <w:color w:val="231F20"/>
          <w:sz w:val="24"/>
        </w:rPr>
        <w:t>price</w:t>
      </w:r>
    </w:p>
    <w:p>
      <w:pPr>
        <w:spacing w:line="242" w:lineRule="auto" w:before="9"/>
        <w:ind w:left="4985" w:right="156" w:firstLine="0"/>
        <w:jc w:val="left"/>
        <w:rPr>
          <w:sz w:val="24"/>
        </w:rPr>
      </w:pPr>
      <w:r>
        <w:rPr>
          <w:color w:val="231F20"/>
          <w:sz w:val="24"/>
        </w:rPr>
        <w:t>pass-through. The central projection assumes that sterling’s appreciation will have some additional effect on retail prices during 1998. The delay reflects both the strength of UK demand and market uncertainty about the persistence of sterling’s appreciation.</w:t>
      </w:r>
    </w:p>
    <w:p>
      <w:pPr>
        <w:pStyle w:val="BodyText"/>
        <w:spacing w:before="1"/>
        <w:rPr>
          <w:sz w:val="23"/>
        </w:rPr>
      </w:pPr>
    </w:p>
    <w:p>
      <w:pPr>
        <w:spacing w:line="242" w:lineRule="auto" w:before="1"/>
        <w:ind w:left="4985" w:right="201" w:firstLine="0"/>
        <w:jc w:val="left"/>
        <w:rPr>
          <w:sz w:val="24"/>
        </w:rPr>
      </w:pPr>
      <w:r>
        <w:rPr>
          <w:color w:val="231F20"/>
          <w:sz w:val="24"/>
        </w:rPr>
        <w:t>The fall in import prices continues to offset developments in domestically generated price pressures.</w:t>
      </w:r>
    </w:p>
    <w:p>
      <w:pPr>
        <w:spacing w:after="0" w:line="242" w:lineRule="auto"/>
        <w:jc w:val="left"/>
        <w:rPr>
          <w:sz w:val="24"/>
        </w:rPr>
        <w:sectPr>
          <w:pgSz w:w="11880" w:h="16840"/>
          <w:pgMar w:header="566" w:footer="597" w:top="760" w:bottom="780" w:left="620" w:right="620"/>
        </w:sectPr>
      </w:pPr>
    </w:p>
    <w:p>
      <w:pPr>
        <w:pStyle w:val="BodyText"/>
        <w:rPr>
          <w:sz w:val="20"/>
        </w:rPr>
      </w:pPr>
    </w:p>
    <w:p>
      <w:pPr>
        <w:spacing w:line="242" w:lineRule="auto" w:before="207"/>
        <w:ind w:left="4980" w:right="160" w:firstLine="0"/>
        <w:jc w:val="left"/>
        <w:rPr>
          <w:sz w:val="24"/>
        </w:rPr>
      </w:pPr>
      <w:r>
        <w:rPr>
          <w:color w:val="231F20"/>
          <w:sz w:val="24"/>
        </w:rPr>
        <w:t>Whole-economy unit labour costs were probably rising in real terms in 1997 Q4, unlike most of the 1990s when they had been falling. And as the annual rate of output growth is projected to continue falling over the next </w:t>
      </w:r>
      <w:r>
        <w:rPr>
          <w:color w:val="231F20"/>
          <w:spacing w:val="-3"/>
          <w:sz w:val="24"/>
        </w:rPr>
        <w:t>few </w:t>
      </w:r>
      <w:r>
        <w:rPr>
          <w:color w:val="231F20"/>
          <w:sz w:val="24"/>
        </w:rPr>
        <w:t>quarters, productivity growth is also likely to fall. That would cause unit labour costs to rise cyclically in both nominal and real terms, although this might be offset by a similar cyclical fall in profit margins. Adjusting for </w:t>
      </w:r>
      <w:r>
        <w:rPr>
          <w:color w:val="231F20"/>
          <w:spacing w:val="-5"/>
          <w:sz w:val="24"/>
        </w:rPr>
        <w:t>the </w:t>
      </w:r>
      <w:r>
        <w:rPr>
          <w:color w:val="231F20"/>
          <w:sz w:val="24"/>
        </w:rPr>
        <w:t>effects of lower import prices and changes in the terms of trade, which temporarily depress retail price inflation, domestically generated inflation is significantly above the target level. When the price-level effect from the appreciation of sterling on retail prices wears off, there is likely to be a rise in</w:t>
      </w:r>
      <w:r>
        <w:rPr>
          <w:color w:val="231F20"/>
          <w:spacing w:val="-1"/>
          <w:sz w:val="24"/>
        </w:rPr>
        <w:t> </w:t>
      </w:r>
      <w:r>
        <w:rPr>
          <w:color w:val="231F20"/>
          <w:sz w:val="24"/>
        </w:rPr>
        <w:t>inflation.</w:t>
      </w:r>
    </w:p>
    <w:p>
      <w:pPr>
        <w:pStyle w:val="BodyText"/>
        <w:spacing w:before="4"/>
        <w:rPr>
          <w:sz w:val="29"/>
        </w:rPr>
      </w:pPr>
    </w:p>
    <w:p>
      <w:pPr>
        <w:spacing w:line="242" w:lineRule="auto" w:before="0"/>
        <w:ind w:left="4980" w:right="219" w:firstLine="0"/>
        <w:jc w:val="left"/>
        <w:rPr>
          <w:sz w:val="24"/>
        </w:rPr>
      </w:pPr>
      <w:r>
        <w:rPr>
          <w:color w:val="231F20"/>
          <w:sz w:val="24"/>
        </w:rPr>
        <w:t>The </w:t>
      </w:r>
      <w:r>
        <w:rPr>
          <w:color w:val="231F20"/>
          <w:spacing w:val="-3"/>
          <w:sz w:val="24"/>
        </w:rPr>
        <w:t>MPC’s </w:t>
      </w:r>
      <w:r>
        <w:rPr>
          <w:color w:val="231F20"/>
          <w:sz w:val="24"/>
        </w:rPr>
        <w:t>projection of the twelve-month RPIX inflation rate is shown in Chart 6.2.</w:t>
      </w:r>
      <w:r>
        <w:rPr>
          <w:color w:val="231F20"/>
          <w:position w:val="5"/>
          <w:sz w:val="16"/>
        </w:rPr>
        <w:t>(1) </w:t>
      </w:r>
      <w:r>
        <w:rPr>
          <w:color w:val="231F20"/>
          <w:sz w:val="24"/>
        </w:rPr>
        <w:t>It is shown next </w:t>
      </w:r>
      <w:r>
        <w:rPr>
          <w:color w:val="231F20"/>
          <w:spacing w:val="-8"/>
          <w:sz w:val="24"/>
        </w:rPr>
        <w:t>to </w:t>
      </w:r>
      <w:r>
        <w:rPr>
          <w:color w:val="231F20"/>
          <w:sz w:val="24"/>
        </w:rPr>
        <w:t>the November projection (see Chart 6.3). The most likely path for RPIX inflation is to fall slightly over the next year or so, before rising to just above 2</w:t>
      </w:r>
      <w:r>
        <w:rPr>
          <w:color w:val="231F20"/>
          <w:position w:val="8"/>
          <w:sz w:val="12"/>
        </w:rPr>
        <w:t>1</w:t>
      </w:r>
      <w:r>
        <w:rPr>
          <w:color w:val="231F20"/>
          <w:sz w:val="24"/>
        </w:rPr>
        <w:t>/</w:t>
      </w:r>
      <w:r>
        <w:rPr>
          <w:color w:val="231F20"/>
          <w:sz w:val="12"/>
        </w:rPr>
        <w:t>2</w:t>
      </w:r>
      <w:r>
        <w:rPr>
          <w:color w:val="231F20"/>
          <w:sz w:val="24"/>
        </w:rPr>
        <w:t>% by the end of the forecast horizon. The quarterly profile of RPIX inflation, particularly during 1998, is affected by changes in Council </w:t>
      </w:r>
      <w:r>
        <w:rPr>
          <w:color w:val="231F20"/>
          <w:spacing w:val="-7"/>
          <w:sz w:val="24"/>
        </w:rPr>
        <w:t>Tax </w:t>
      </w:r>
      <w:r>
        <w:rPr>
          <w:color w:val="231F20"/>
          <w:sz w:val="24"/>
        </w:rPr>
        <w:t>and indirect</w:t>
      </w:r>
      <w:r>
        <w:rPr>
          <w:color w:val="231F20"/>
          <w:spacing w:val="6"/>
          <w:sz w:val="24"/>
        </w:rPr>
        <w:t> </w:t>
      </w:r>
      <w:r>
        <w:rPr>
          <w:color w:val="231F20"/>
          <w:sz w:val="24"/>
        </w:rPr>
        <w:t>taxes.</w:t>
      </w:r>
    </w:p>
    <w:p>
      <w:pPr>
        <w:pStyle w:val="BodyText"/>
        <w:spacing w:before="8"/>
        <w:rPr>
          <w:sz w:val="28"/>
        </w:rPr>
      </w:pPr>
    </w:p>
    <w:p>
      <w:pPr>
        <w:spacing w:line="242" w:lineRule="auto" w:before="0"/>
        <w:ind w:left="4980" w:right="177" w:firstLine="0"/>
        <w:jc w:val="left"/>
        <w:rPr>
          <w:sz w:val="24"/>
        </w:rPr>
      </w:pPr>
      <w:r>
        <w:rPr>
          <w:color w:val="231F20"/>
          <w:sz w:val="24"/>
        </w:rPr>
        <w:t>The central projection for RPIX inflation at the two-year forecasting horizon is a little higher than in </w:t>
      </w:r>
      <w:r>
        <w:rPr>
          <w:color w:val="231F20"/>
          <w:spacing w:val="-3"/>
          <w:sz w:val="24"/>
        </w:rPr>
        <w:t>November. </w:t>
      </w:r>
      <w:r>
        <w:rPr>
          <w:color w:val="231F20"/>
          <w:sz w:val="24"/>
        </w:rPr>
        <w:t>Recent evidence suggests that the appreciation of sterling has not reduced retail price inflation by as much as anticipated in previous </w:t>
      </w:r>
      <w:r>
        <w:rPr>
          <w:i/>
          <w:color w:val="231F20"/>
          <w:sz w:val="24"/>
        </w:rPr>
        <w:t>Reports</w:t>
      </w:r>
      <w:r>
        <w:rPr>
          <w:color w:val="231F20"/>
          <w:sz w:val="24"/>
        </w:rPr>
        <w:t>. In the light of this evidence, the MPC is reviewing the relationship between retail prices, costs and prices of domestically produced output, and import prices. The current projection incorporates a smaller overall effect of lower import prices on retail prices, and a faster feed-through of changes in domestically generated costs to retail prices than previously estimated. As a result, and notwithstanding the lower level of output, the current projection embodies a slightly higher profile for</w:t>
      </w:r>
      <w:r>
        <w:rPr>
          <w:color w:val="231F20"/>
          <w:spacing w:val="-22"/>
          <w:sz w:val="24"/>
        </w:rPr>
        <w:t> </w:t>
      </w:r>
      <w:r>
        <w:rPr>
          <w:color w:val="231F20"/>
          <w:sz w:val="24"/>
        </w:rPr>
        <w:t>inflation in the next two years, relative to that in the November </w:t>
      </w:r>
      <w:r>
        <w:rPr>
          <w:i/>
          <w:color w:val="231F20"/>
          <w:sz w:val="24"/>
        </w:rPr>
        <w:t>Report</w:t>
      </w:r>
      <w:r>
        <w:rPr>
          <w:color w:val="231F20"/>
          <w:sz w:val="24"/>
        </w:rPr>
        <w:t>.</w:t>
      </w:r>
    </w:p>
    <w:p>
      <w:pPr>
        <w:pStyle w:val="BodyText"/>
        <w:spacing w:before="7"/>
        <w:rPr>
          <w:sz w:val="29"/>
        </w:rPr>
      </w:pPr>
    </w:p>
    <w:p>
      <w:pPr>
        <w:spacing w:line="242" w:lineRule="auto" w:before="0"/>
        <w:ind w:left="4980" w:right="194" w:firstLine="0"/>
        <w:jc w:val="left"/>
        <w:rPr>
          <w:sz w:val="24"/>
        </w:rPr>
      </w:pPr>
      <w:r>
        <w:rPr>
          <w:color w:val="231F20"/>
          <w:sz w:val="24"/>
        </w:rPr>
        <w:t>Overall, the balance of risks to inflation is on the upside. The main upside risks stem from the possibility of a more rapid fall in the exchange rate than that implied by interest rate differentials, past rapid money growth and, particularly, pressures in the labour market. The downside risks to inflation stem mainly from the possibility of a larger fall in output and demand than in the central case.</w:t>
      </w:r>
    </w:p>
    <w:p>
      <w:pPr>
        <w:spacing w:after="0" w:line="242" w:lineRule="auto"/>
        <w:jc w:val="left"/>
        <w:rPr>
          <w:sz w:val="24"/>
        </w:rPr>
        <w:sectPr>
          <w:pgSz w:w="11880" w:h="16840"/>
          <w:pgMar w:header="566" w:footer="1201" w:top="760" w:bottom="1400" w:left="6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spacing w:after="0"/>
        <w:rPr>
          <w:sz w:val="27"/>
        </w:rPr>
        <w:sectPr>
          <w:pgSz w:w="11880" w:h="16840"/>
          <w:pgMar w:header="566" w:footer="597" w:top="760" w:bottom="780" w:left="620" w:right="620"/>
        </w:sectPr>
      </w:pPr>
    </w:p>
    <w:p>
      <w:pPr>
        <w:pStyle w:val="Heading9"/>
        <w:spacing w:before="91"/>
      </w:pPr>
      <w:r>
        <w:rPr>
          <w:color w:val="0093C1"/>
        </w:rPr>
        <w:t>Chart 6.2</w:t>
      </w:r>
    </w:p>
    <w:p>
      <w:pPr>
        <w:spacing w:before="10"/>
        <w:ind w:left="200" w:right="0" w:firstLine="0"/>
        <w:jc w:val="left"/>
        <w:rPr>
          <w:b/>
          <w:sz w:val="20"/>
        </w:rPr>
      </w:pPr>
      <w:r>
        <w:rPr>
          <w:b/>
          <w:color w:val="0093C1"/>
          <w:sz w:val="20"/>
        </w:rPr>
        <w:t>Current RPIX inflation projection</w:t>
      </w:r>
    </w:p>
    <w:p>
      <w:pPr>
        <w:spacing w:line="115" w:lineRule="exact" w:before="125"/>
        <w:ind w:left="1903" w:right="0" w:firstLine="0"/>
        <w:jc w:val="left"/>
        <w:rPr>
          <w:sz w:val="12"/>
        </w:rPr>
      </w:pPr>
      <w:r>
        <w:rPr>
          <w:sz w:val="12"/>
        </w:rPr>
        <w:t>Percentage increase in prices on a year earlier</w:t>
      </w:r>
    </w:p>
    <w:p>
      <w:pPr>
        <w:spacing w:line="115" w:lineRule="exact" w:before="0"/>
        <w:ind w:left="4160" w:right="0" w:firstLine="0"/>
        <w:jc w:val="left"/>
        <w:rPr>
          <w:sz w:val="12"/>
        </w:rPr>
      </w:pPr>
      <w:r>
        <w:rPr/>
        <w:pict>
          <v:line style="position:absolute;mso-position-horizontal-relative:page;mso-position-vertical-relative:paragraph;z-index:15995904" from="43.167pt,2.163465pt" to="47.767pt,2.163465pt" stroked="true" strokeweight=".5pt" strokecolor="#000000">
            <v:stroke dashstyle="solid"/>
            <w10:wrap type="none"/>
          </v:line>
        </w:pict>
      </w:r>
      <w:r>
        <w:rPr/>
        <w:pict>
          <v:line style="position:absolute;mso-position-horizontal-relative:page;mso-position-vertical-relative:paragraph;z-index:15997440" from="235.833002pt,2.163465pt" to="231.233002pt,2.163465pt" stroked="true" strokeweight=".5pt" strokecolor="#000000">
            <v:stroke dashstyle="solid"/>
            <w10:wrap type="none"/>
          </v:line>
        </w:pict>
      </w:r>
      <w:r>
        <w:rPr>
          <w:sz w:val="12"/>
        </w:rPr>
        <w:t>6</w:t>
      </w:r>
    </w:p>
    <w:p>
      <w:pPr>
        <w:pStyle w:val="Heading9"/>
        <w:spacing w:before="91"/>
      </w:pPr>
      <w:r>
        <w:rPr>
          <w:b w:val="0"/>
        </w:rPr>
        <w:br w:type="column"/>
      </w:r>
      <w:r>
        <w:rPr>
          <w:color w:val="0093C1"/>
        </w:rPr>
        <w:t>Chart 6.3</w:t>
      </w:r>
    </w:p>
    <w:p>
      <w:pPr>
        <w:spacing w:before="10"/>
        <w:ind w:left="200" w:right="0" w:firstLine="0"/>
        <w:jc w:val="left"/>
        <w:rPr>
          <w:b/>
          <w:sz w:val="20"/>
        </w:rPr>
      </w:pPr>
      <w:r>
        <w:rPr>
          <w:b/>
          <w:color w:val="0093C1"/>
          <w:sz w:val="20"/>
        </w:rPr>
        <w:t>RPIX inflation projection in November</w:t>
      </w:r>
    </w:p>
    <w:p>
      <w:pPr>
        <w:spacing w:line="115" w:lineRule="exact" w:before="125"/>
        <w:ind w:left="1873" w:right="0" w:firstLine="0"/>
        <w:jc w:val="left"/>
        <w:rPr>
          <w:sz w:val="12"/>
        </w:rPr>
      </w:pPr>
      <w:r>
        <w:rPr>
          <w:sz w:val="12"/>
        </w:rPr>
        <w:t>Percentage increase in prices on a year earlier</w:t>
      </w:r>
    </w:p>
    <w:p>
      <w:pPr>
        <w:spacing w:line="115" w:lineRule="exact" w:before="0"/>
        <w:ind w:left="4130" w:right="0" w:firstLine="0"/>
        <w:jc w:val="left"/>
        <w:rPr>
          <w:sz w:val="12"/>
        </w:rPr>
      </w:pPr>
      <w:r>
        <w:rPr/>
        <w:pict>
          <v:line style="position:absolute;mso-position-horizontal-relative:page;mso-position-vertical-relative:paragraph;z-index:15990272" from="281pt,2.163465pt" to="285.6pt,2.163465pt" stroked="true" strokeweight=".5pt" strokecolor="#000000">
            <v:stroke dashstyle="solid"/>
            <w10:wrap type="none"/>
          </v:line>
        </w:pict>
      </w:r>
      <w:r>
        <w:rPr/>
        <w:pict>
          <v:line style="position:absolute;mso-position-horizontal-relative:page;mso-position-vertical-relative:paragraph;z-index:15991296" from="473.333002pt,2.163465pt" to="468.733002pt,2.163465pt" stroked="true" strokeweight=".5pt" strokecolor="#000000">
            <v:stroke dashstyle="solid"/>
            <w10:wrap type="none"/>
          </v:line>
        </w:pict>
      </w:r>
      <w:r>
        <w:rPr>
          <w:sz w:val="12"/>
        </w:rPr>
        <w:t>6</w:t>
      </w:r>
    </w:p>
    <w:p>
      <w:pPr>
        <w:spacing w:after="0" w:line="115" w:lineRule="exact"/>
        <w:jc w:val="left"/>
        <w:rPr>
          <w:sz w:val="12"/>
        </w:rPr>
        <w:sectPr>
          <w:type w:val="continuous"/>
          <w:pgSz w:w="11880" w:h="16840"/>
          <w:pgMar w:top="1200" w:bottom="280" w:left="620" w:right="620"/>
          <w:cols w:num="2" w:equalWidth="0">
            <w:col w:w="4261" w:space="519"/>
            <w:col w:w="5860"/>
          </w:cols>
        </w:sectPr>
      </w:pPr>
    </w:p>
    <w:p>
      <w:pPr>
        <w:pStyle w:val="BodyText"/>
        <w:spacing w:before="7"/>
        <w:rPr>
          <w:sz w:val="22"/>
        </w:rPr>
      </w:pPr>
    </w:p>
    <w:p>
      <w:pPr>
        <w:tabs>
          <w:tab w:pos="8910" w:val="left" w:leader="none"/>
        </w:tabs>
        <w:spacing w:before="96"/>
        <w:ind w:left="4160" w:right="0" w:firstLine="0"/>
        <w:jc w:val="left"/>
        <w:rPr>
          <w:sz w:val="12"/>
        </w:rPr>
      </w:pPr>
      <w:r>
        <w:rPr/>
        <w:pict>
          <v:line style="position:absolute;mso-position-horizontal-relative:page;mso-position-vertical-relative:paragraph;z-index:-20100096" from="281pt,8.092555pt" to="285.6pt,8.092555pt" stroked="true" strokeweight=".5pt" strokecolor="#000000">
            <v:stroke dashstyle="solid"/>
            <w10:wrap type="none"/>
          </v:line>
        </w:pict>
      </w:r>
      <w:r>
        <w:rPr/>
        <w:pict>
          <v:line style="position:absolute;mso-position-horizontal-relative:page;mso-position-vertical-relative:paragraph;z-index:-20099072" from="473.333002pt,8.092555pt" to="468.733002pt,8.092555pt" stroked="true" strokeweight=".5pt" strokecolor="#000000">
            <v:stroke dashstyle="solid"/>
            <w10:wrap type="none"/>
          </v:line>
        </w:pict>
      </w:r>
      <w:r>
        <w:rPr/>
        <w:pict>
          <v:line style="position:absolute;mso-position-horizontal-relative:page;mso-position-vertical-relative:paragraph;z-index:15995392" from="43.167pt,8.092555pt" to="47.767pt,8.092555pt" stroked="true" strokeweight=".5pt" strokecolor="#000000">
            <v:stroke dashstyle="solid"/>
            <w10:wrap type="none"/>
          </v:line>
        </w:pict>
      </w:r>
      <w:r>
        <w:rPr/>
        <w:pict>
          <v:line style="position:absolute;mso-position-horizontal-relative:page;mso-position-vertical-relative:paragraph;z-index:15996928" from="235.833002pt,8.092555pt" to="231.233002pt,8.092555pt" stroked="true" strokeweight=".5pt" strokecolor="#000000">
            <v:stroke dashstyle="solid"/>
            <w10:wrap type="none"/>
          </v:line>
        </w:pict>
      </w:r>
      <w:r>
        <w:rPr>
          <w:sz w:val="12"/>
        </w:rPr>
        <w:t>5</w:t>
        <w:tab/>
        <w:t>5</w:t>
      </w:r>
    </w:p>
    <w:p>
      <w:pPr>
        <w:pStyle w:val="BodyText"/>
        <w:spacing w:before="7"/>
        <w:rPr>
          <w:sz w:val="22"/>
        </w:rPr>
      </w:pPr>
    </w:p>
    <w:p>
      <w:pPr>
        <w:tabs>
          <w:tab w:pos="8910" w:val="left" w:leader="none"/>
        </w:tabs>
        <w:spacing w:before="95"/>
        <w:ind w:left="4160" w:right="0" w:firstLine="0"/>
        <w:jc w:val="left"/>
        <w:rPr>
          <w:sz w:val="12"/>
        </w:rPr>
      </w:pPr>
      <w:r>
        <w:rPr/>
        <w:pict>
          <v:group style="position:absolute;margin-left:289pt;margin-top:.04438pt;width:184.35pt;height:82.25pt;mso-position-horizontal-relative:page;mso-position-vertical-relative:paragraph;z-index:-20103168" coordorigin="5780,1" coordsize="3687,1645">
            <v:shape style="position:absolute;left:7943;top:0;width:1380;height:1614" coordorigin="7943,1" coordsize="1380,1614" path="m9323,1l9170,55,9017,144,8863,208,8710,233,8557,356,8403,445,8250,568,8097,687,7943,746,8097,909,8250,1012,8403,1121,8557,1254,8863,1451,9017,1510,9170,1545,9323,1614,9323,1xe" filled="true" fillcolor="#fee7de" stroked="false">
              <v:path arrowok="t"/>
              <v:fill type="solid"/>
            </v:shape>
            <v:shape style="position:absolute;left:7943;top:211;width:1380;height:1258" coordorigin="7943,212" coordsize="1380,1258" path="m9323,212l9170,251,9017,320,8863,370,8710,380,8557,473,8403,537,8250,626,8097,720,7943,750,8097,902,8403,1090,8557,1213,8710,1302,8863,1376,9017,1411,9170,1425,9323,1470,9323,212xe" filled="true" fillcolor="#fcd3c4" stroked="false">
              <v:path arrowok="t"/>
              <v:fill type="solid"/>
            </v:shape>
            <v:shape style="position:absolute;left:7943;top:343;width:1380;height:1022" coordorigin="7943,344" coordsize="1380,1022" path="m9323,344l9170,378,9017,447,8863,492,8710,496,8557,570,8403,605,8250,674,8097,738,7943,748,8097,891,8250,980,8403,1064,8557,1182,8710,1261,8863,1320,9017,1340,9170,1335,9323,1365,9323,344xe" filled="true" fillcolor="#fabeac" stroked="false">
              <v:path arrowok="t"/>
              <v:fill type="solid"/>
            </v:shape>
            <v:shape style="position:absolute;left:7943;top:453;width:1380;height:829" coordorigin="7943,453" coordsize="1380,829" path="m9323,453l9170,483,9017,547,8863,586,8710,586,8557,641,8403,660,8250,705,8097,754,7943,744,8097,882,8250,961,8403,1035,8557,1144,8710,1218,8863,1267,9017,1277,9170,1262,9323,1282,9323,453xe" filled="true" fillcolor="#f8aa95" stroked="false">
              <v:path arrowok="t"/>
              <v:fill type="solid"/>
            </v:shape>
            <v:shape style="position:absolute;left:7943;top:547;width:1380;height:681" coordorigin="7943,547" coordsize="1380,681" path="m9323,547l9170,577,9017,636,8863,675,8710,675,8557,710,8403,710,8250,744,8097,774,7943,744,8097,878,8250,947,8403,1021,8557,1119,8710,1188,8863,1228,9017,1228,9170,1203,9323,1213,9323,547xe" filled="true" fillcolor="#f69780" stroked="false">
              <v:path arrowok="t"/>
              <v:fill type="solid"/>
            </v:shape>
            <v:shape style="position:absolute;left:7943;top:637;width:1380;height:553" coordorigin="7943,638" coordsize="1380,553" path="m9323,638l9170,663,9017,727,8863,761,8710,761,8557,781,8403,766,8250,776,8097,791,7943,746,8097,870,8250,939,8403,1003,8557,1102,8710,1161,8863,1190,9017,1185,9170,1151,9323,1156,9323,638xe" filled="true" fillcolor="#f5846d" stroked="false">
              <v:path arrowok="t"/>
              <v:fill type="solid"/>
            </v:shape>
            <v:shape style="position:absolute;left:7943;top:721;width:1380;height:440" coordorigin="7943,721" coordsize="1380,440" path="m9323,721l9170,746,9017,805,8863,845,8710,840,8557,845,8403,815,8250,810,8097,810,7943,751,8097,869,8250,928,8403,993,8557,1081,8710,1136,8863,1160,9017,1146,9170,1106,9323,1101,9323,721xe" filled="true" fillcolor="#f3715b" stroked="false">
              <v:path arrowok="t"/>
              <v:fill type="solid"/>
            </v:shape>
            <v:shape style="position:absolute;left:7943;top:746;width:1380;height:375" coordorigin="7943,747" coordsize="1380,375" path="m7943,747l8097,860,8250,914,8403,974,8557,1057,8710,1107,8863,1122,9017,1102,9170,1053,9323,1043,9323,791,9170,816,9017,875,8863,914,8710,909,8557,900,8403,855,8250,835,8097,821,7943,747xe" filled="true" fillcolor="#f15b4a" stroked="false">
              <v:path arrowok="t"/>
              <v:fill type="solid"/>
            </v:shape>
            <v:shape style="position:absolute;left:7943;top:750;width:1380;height:341" coordorigin="7943,751" coordsize="1380,341" path="m7943,751l8097,859,8403,958,8557,1037,8710,1081,8863,1091,9017,1066,9170,1012,9323,997,9323,869,9170,894,9017,953,8863,987,8710,982,8557,958,8403,899,8097,839,7943,751xe" filled="true" fillcolor="#ed1b2d" stroked="false">
              <v:path arrowok="t"/>
              <v:fill type="solid"/>
            </v:shape>
            <v:shape style="position:absolute;left:9374;top:160;width:92;height:1480" coordorigin="9375,161" coordsize="92,1480" path="m9467,1641l9375,1641m9467,1148l9375,1148m9467,654l9375,654m9467,161l9375,161e" filled="false" stroked="true" strokeweight=".5pt" strokecolor="#000000">
              <v:path arrowok="t"/>
              <v:stroke dashstyle="solid"/>
            </v:shape>
            <v:shape style="position:absolute;left:5790;top:688;width:920;height:375" coordorigin="5790,689" coordsize="920,375" path="m5943,945l5790,802m6097,1064l5943,945m6250,1029l6097,1064m6403,758l6250,1029m6557,777l6403,758m6710,689l6557,777e" filled="false" stroked="true" strokeweight="1pt" strokecolor="#ed1b2d">
              <v:path arrowok="t"/>
              <v:stroke dashstyle="solid"/>
            </v:shape>
            <v:line style="position:absolute" from="6700,691" to="6873,691" stroked="true" strokeweight="1.247pt" strokecolor="#ed1b2d">
              <v:stroke dashstyle="solid"/>
            </v:line>
            <v:shape style="position:absolute;left:6863;top:545;width:1074;height:326" coordorigin="6863,546" coordsize="1074,326" path="m7017,738l6863,694m7170,758l7017,738m7323,723l7170,758m7477,546l7323,723m7630,723l7477,546m7783,871l7630,723m7937,748l7783,871e" filled="false" stroked="true" strokeweight="1pt" strokecolor="#ed1b2d">
              <v:path arrowok="t"/>
              <v:stroke dashstyle="solid"/>
            </v:shape>
            <v:shape style="position:absolute;left:5780;top:0;width:3687;height:1645"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692" w:val="left" w:leader="none"/>
                      </w:tabs>
                      <w:spacing w:before="104"/>
                      <w:ind w:left="-4"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20100608" from="281pt,8.040380pt" to="285.6pt,8.040380pt" stroked="true" strokeweight=".5pt" strokecolor="#000000">
            <v:stroke dashstyle="solid"/>
            <w10:wrap type="none"/>
          </v:line>
        </w:pict>
      </w:r>
      <w:r>
        <w:rPr/>
        <w:pict>
          <v:group style="position:absolute;margin-left:51.347pt;margin-top:-11.58262pt;width:184.5pt;height:86.6pt;mso-position-horizontal-relative:page;mso-position-vertical-relative:paragraph;z-index:15992320" coordorigin="1027,-232" coordsize="3690,1732">
            <v:shape style="position:absolute;left:3244;top:-232;width:1325;height:1732" coordorigin="3244,-232" coordsize="1325,1732" path="m4569,-232l4422,-29,4127,365,3980,498,3833,513,3686,552,3539,535,3391,680,3244,775,3391,994,3539,1084,3686,1258,3833,1298,3980,1283,4127,1386,4422,1465,4569,1500,4569,-232xe" filled="true" fillcolor="#fee7de" stroked="false">
              <v:path arrowok="t"/>
              <v:fill type="solid"/>
            </v:shape>
            <v:shape style="position:absolute;left:3244;top:-2;width:1325;height:1352" coordorigin="3244,-2" coordsize="1325,1352" path="m4569,-2l4422,161,4127,477,3980,571,3833,585,3686,616,3539,585,3391,708,3244,773,3391,968,3539,1041,3686,1203,3833,1237,3980,1222,4127,1303,4422,1338,4569,1350,4569,-2xe" filled="true" fillcolor="#fcd3c4" stroked="false">
              <v:path arrowok="t"/>
              <v:fill type="solid"/>
            </v:shape>
            <v:shape style="position:absolute;left:3244;top:156;width:1325;height:1096" coordorigin="3244,157" coordsize="1325,1096" path="m4569,157l4422,296,4127,565,3980,635,3833,650,3686,675,3539,630,3391,734,3244,773,3391,949,3539,1007,3686,1159,3833,1188,3980,1173,4127,1242,4422,1252,4569,1252,4569,157xe" filled="true" fillcolor="#fabeac" stroked="false">
              <v:path arrowok="t"/>
              <v:fill type="solid"/>
            </v:shape>
            <v:shape style="position:absolute;left:3244;top:284;width:1325;height:906" coordorigin="3244,285" coordsize="1325,906" path="m4569,285l4422,404,4127,634,3980,684,3833,699,3686,719,3539,665,3391,754,3244,773,3391,931,3539,976,3686,1119,3833,1143,3980,1128,4127,1190,4422,1185,4569,1178,4569,285xe" filled="true" fillcolor="#f8aa95" stroked="false">
              <v:path arrowok="t"/>
              <v:fill type="solid"/>
            </v:shape>
            <v:shape style="position:absolute;left:3244;top:392;width:1325;height:750" coordorigin="3244,393" coordsize="1325,750" path="m4569,393l4422,496,4127,693,3980,728,3833,743,3686,758,3539,695,3391,770,3244,772,3391,915,3539,947,3686,1082,3833,1103,3980,1088,4127,1142,4422,1123,4569,1108,4569,393xe" filled="true" fillcolor="#f69780" stroked="false">
              <v:path arrowok="t"/>
              <v:fill type="solid"/>
            </v:shape>
            <v:shape style="position:absolute;left:3244;top:483;width:1325;height:615" coordorigin="3244,484" coordsize="1325,615" path="m4569,484l4422,575,4127,748,3980,770,3833,785,3686,796,3539,723,3391,786,3244,770,3391,898,3539,920,3686,1049,3833,1066,3980,1051,4127,1098,4422,1063,4569,1041,4569,484xe" filled="true" fillcolor="#f5846d" stroked="false">
              <v:path arrowok="t"/>
              <v:fill type="solid"/>
            </v:shape>
            <v:shape style="position:absolute;left:3244;top:578;width:1325;height:485" coordorigin="3244,578" coordsize="1325,485" path="m4569,578l4422,657,4127,805,3980,815,3833,830,3686,836,3539,756,3391,804,3244,771,3391,887,3539,901,3686,1023,3833,1037,3980,1022,4127,1063,4422,1016,4569,988,4569,578xe" filled="true" fillcolor="#f3715b" stroked="false">
              <v:path arrowok="t"/>
              <v:fill type="solid"/>
            </v:shape>
            <v:shape style="position:absolute;left:3244;top:663;width:1325;height:362" coordorigin="3244,663" coordsize="1325,362" path="m4569,663l4422,730,4127,853,3980,851,3833,866,3686,869,3539,781,3391,819,3244,772,3391,875,3539,878,3686,993,3833,1004,3980,989,4127,1025,4422,968,4569,935,4569,663xe" filled="true" fillcolor="#f15b4a" stroked="false">
              <v:path arrowok="t"/>
              <v:fill type="solid"/>
            </v:shape>
            <v:shape style="position:absolute;left:3244;top:746;width:1325;height:242" coordorigin="3244,747" coordsize="1325,242" path="m4569,747l4422,802,4127,903,3980,890,3833,904,3686,904,3539,808,3391,834,3244,771,3391,862,3539,856,3686,966,3833,974,3980,959,4127,988,4422,919,4569,880,4569,747xe" filled="true" fillcolor="#ed1b2d" stroked="false">
              <v:path arrowok="t"/>
              <v:fill type="solid"/>
            </v:shape>
            <v:shape style="position:absolute;left:4624;top:160;width:92;height:987" coordorigin="4625,161" coordsize="92,987" path="m4717,1148l4625,1148m4717,654l4625,654m4717,161l4625,161e" filled="false" stroked="true" strokeweight=".5pt" strokecolor="#000000">
              <v:path arrowok="t"/>
              <v:stroke dashstyle="solid"/>
            </v:shape>
            <v:shape style="position:absolute;left:1036;top:688;width:884;height:375" coordorigin="1037,689" coordsize="884,375" path="m1184,945l1037,802m1331,1064l1184,945m1479,1029l1331,1064m1626,758l1479,1029m1773,777l1626,758m1920,689l1773,777e" filled="false" stroked="true" strokeweight="1pt" strokecolor="#ed1b2d">
              <v:path arrowok="t"/>
              <v:stroke dashstyle="solid"/>
            </v:shape>
            <v:line style="position:absolute" from="1910,691" to="2077,691" stroked="true" strokeweight="1.247pt" strokecolor="#ed1b2d">
              <v:stroke dashstyle="solid"/>
            </v:line>
            <v:shape style="position:absolute;left:2067;top:544;width:1178;height:328" coordorigin="2067,544" coordsize="1178,328" path="m2215,738l2067,694m2362,758l2215,738m2509,723l2362,758m2656,544l2509,723m2803,723l2656,544m2951,871l2803,723m3098,748l2951,871m3245,773l3098,748e" filled="false" stroked="true" strokeweight="1pt" strokecolor="#ed1b2d">
              <v:path arrowok="t"/>
              <v:stroke dashstyle="solid"/>
            </v:shape>
            <v:shape style="position:absolute;left:1026;top:-232;width:3690;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3"/>
                      <w:rPr>
                        <w:sz w:val="17"/>
                      </w:rPr>
                    </w:pPr>
                  </w:p>
                  <w:p>
                    <w:pPr>
                      <w:tabs>
                        <w:tab w:pos="3695" w:val="left" w:leader="none"/>
                      </w:tabs>
                      <w:spacing w:before="0"/>
                      <w:ind w:left="-1"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15994880" from="43.167pt,8.040380pt" to="47.767pt,8.040380pt" stroked="true" strokeweight=".5pt" strokecolor="#000000">
            <v:stroke dashstyle="solid"/>
            <w10:wrap type="none"/>
          </v:line>
        </w:pict>
      </w:r>
      <w:r>
        <w:rPr>
          <w:sz w:val="12"/>
        </w:rPr>
        <w:t>4</w:t>
        <w:tab/>
        <w:t>4</w:t>
      </w:r>
    </w:p>
    <w:p>
      <w:pPr>
        <w:pStyle w:val="BodyText"/>
        <w:spacing w:before="7"/>
        <w:rPr>
          <w:sz w:val="22"/>
        </w:rPr>
      </w:pPr>
    </w:p>
    <w:p>
      <w:pPr>
        <w:tabs>
          <w:tab w:pos="8910" w:val="left" w:leader="none"/>
        </w:tabs>
        <w:spacing w:before="95"/>
        <w:ind w:left="4160" w:right="0" w:firstLine="0"/>
        <w:jc w:val="left"/>
        <w:rPr>
          <w:sz w:val="12"/>
        </w:rPr>
      </w:pPr>
      <w:r>
        <w:rPr/>
        <w:pict>
          <v:line style="position:absolute;mso-position-horizontal-relative:page;mso-position-vertical-relative:paragraph;z-index:-20101120" from="281pt,8.040144pt" to="285.6pt,8.040144pt" stroked="true" strokeweight=".5pt" strokecolor="#000000">
            <v:stroke dashstyle="solid"/>
            <w10:wrap type="none"/>
          </v:line>
        </w:pict>
      </w:r>
      <w:r>
        <w:rPr/>
        <w:pict>
          <v:line style="position:absolute;mso-position-horizontal-relative:page;mso-position-vertical-relative:paragraph;z-index:15994368" from="43.167pt,8.040144pt" to="47.767pt,8.040144pt" stroked="true" strokeweight=".5pt" strokecolor="#000000">
            <v:stroke dashstyle="solid"/>
            <w10:wrap type="none"/>
          </v:line>
        </w:pict>
      </w:r>
      <w:r>
        <w:rPr>
          <w:sz w:val="12"/>
        </w:rPr>
        <w:t>3</w:t>
        <w:tab/>
        <w:t>3</w:t>
      </w:r>
    </w:p>
    <w:p>
      <w:pPr>
        <w:tabs>
          <w:tab w:pos="8919" w:val="left" w:leader="none"/>
        </w:tabs>
        <w:spacing w:before="69"/>
        <w:ind w:left="4170" w:right="0" w:firstLine="0"/>
        <w:jc w:val="left"/>
        <w:rPr>
          <w:sz w:val="12"/>
        </w:rPr>
      </w:pPr>
      <w:r>
        <w:rPr>
          <w:sz w:val="12"/>
        </w:rPr>
        <w:t>2.5</w:t>
        <w:tab/>
        <w:t>2.5</w:t>
      </w:r>
    </w:p>
    <w:p>
      <w:pPr>
        <w:pStyle w:val="BodyText"/>
        <w:spacing w:before="10"/>
        <w:rPr>
          <w:sz w:val="12"/>
        </w:rPr>
      </w:pPr>
    </w:p>
    <w:p>
      <w:pPr>
        <w:tabs>
          <w:tab w:pos="8910" w:val="left" w:leader="none"/>
        </w:tabs>
        <w:spacing w:before="1"/>
        <w:ind w:left="4160" w:right="0" w:firstLine="0"/>
        <w:jc w:val="left"/>
        <w:rPr>
          <w:sz w:val="12"/>
        </w:rPr>
      </w:pPr>
      <w:r>
        <w:rPr/>
        <w:pict>
          <v:line style="position:absolute;mso-position-horizontal-relative:page;mso-position-vertical-relative:paragraph;z-index:-20101632" from="281pt,3.340968pt" to="285.6pt,3.340968pt" stroked="true" strokeweight=".5pt" strokecolor="#000000">
            <v:stroke dashstyle="solid"/>
            <w10:wrap type="none"/>
          </v:line>
        </w:pict>
      </w:r>
      <w:r>
        <w:rPr/>
        <w:pict>
          <v:line style="position:absolute;mso-position-horizontal-relative:page;mso-position-vertical-relative:paragraph;z-index:15993856" from="43.167pt,3.340968pt" to="47.767pt,3.340968pt" stroked="true" strokeweight=".5pt" strokecolor="#000000">
            <v:stroke dashstyle="solid"/>
            <w10:wrap type="none"/>
          </v:line>
        </w:pict>
      </w:r>
      <w:r>
        <w:rPr>
          <w:sz w:val="12"/>
        </w:rPr>
        <w:t>2</w:t>
        <w:tab/>
        <w:t>2</w:t>
      </w:r>
    </w:p>
    <w:p>
      <w:pPr>
        <w:pStyle w:val="BodyText"/>
        <w:spacing w:before="7"/>
        <w:rPr>
          <w:sz w:val="22"/>
        </w:rPr>
      </w:pPr>
    </w:p>
    <w:p>
      <w:pPr>
        <w:tabs>
          <w:tab w:pos="8910" w:val="left" w:leader="none"/>
        </w:tabs>
        <w:spacing w:before="95"/>
        <w:ind w:left="4160" w:right="0" w:firstLine="0"/>
        <w:jc w:val="left"/>
        <w:rPr>
          <w:sz w:val="12"/>
        </w:rPr>
      </w:pPr>
      <w:r>
        <w:rPr/>
        <w:pict>
          <v:line style="position:absolute;mso-position-horizontal-relative:page;mso-position-vertical-relative:paragraph;z-index:-20102144" from="281pt,8.038793pt" to="285.6pt,8.038793pt" stroked="true" strokeweight=".5pt" strokecolor="#000000">
            <v:stroke dashstyle="solid"/>
            <w10:wrap type="none"/>
          </v:line>
        </w:pict>
      </w:r>
      <w:r>
        <w:rPr/>
        <w:pict>
          <v:line style="position:absolute;mso-position-horizontal-relative:page;mso-position-vertical-relative:paragraph;z-index:15993344" from="43.167pt,8.038793pt" to="47.767pt,8.038793pt" stroked="true" strokeweight=".5pt" strokecolor="#000000">
            <v:stroke dashstyle="solid"/>
            <w10:wrap type="none"/>
          </v:line>
        </w:pict>
      </w:r>
      <w:r>
        <w:rPr/>
        <w:pict>
          <v:line style="position:absolute;mso-position-horizontal-relative:page;mso-position-vertical-relative:paragraph;z-index:15996416" from="235.833002pt,8.038793pt" to="231.233002pt,8.038793pt" stroked="true" strokeweight=".5pt" strokecolor="#000000">
            <v:stroke dashstyle="solid"/>
            <w10:wrap type="none"/>
          </v:line>
        </w:pict>
      </w:r>
      <w:r>
        <w:rPr>
          <w:sz w:val="12"/>
        </w:rPr>
        <w:t>1</w:t>
        <w:tab/>
        <w:t>1</w:t>
      </w:r>
    </w:p>
    <w:p>
      <w:pPr>
        <w:pStyle w:val="BodyText"/>
        <w:spacing w:before="7"/>
        <w:rPr>
          <w:sz w:val="22"/>
        </w:rPr>
      </w:pPr>
    </w:p>
    <w:p>
      <w:pPr>
        <w:spacing w:after="0"/>
        <w:rPr>
          <w:sz w:val="22"/>
        </w:rPr>
        <w:sectPr>
          <w:type w:val="continuous"/>
          <w:pgSz w:w="11880" w:h="16840"/>
          <w:pgMar w:top="1200" w:bottom="280" w:left="620" w:right="620"/>
        </w:sectPr>
      </w:pPr>
    </w:p>
    <w:p>
      <w:pPr>
        <w:pStyle w:val="BodyText"/>
        <w:rPr>
          <w:sz w:val="13"/>
        </w:rPr>
      </w:pPr>
    </w:p>
    <w:p>
      <w:pPr>
        <w:pStyle w:val="BodyText"/>
        <w:spacing w:line="20" w:lineRule="exact"/>
        <w:ind w:left="239"/>
        <w:rPr>
          <w:sz w:val="2"/>
        </w:rPr>
      </w:pPr>
      <w:r>
        <w:rPr>
          <w:sz w:val="2"/>
        </w:rPr>
        <w:pict>
          <v:group style="width:4.6pt;height:.5pt;mso-position-horizontal-relative:char;mso-position-vertical-relative:line" coordorigin="0,0" coordsize="92,10">
            <v:line style="position:absolute" from="0,5" to="92,5" stroked="true" strokeweight=".5pt" strokecolor="#000000">
              <v:stroke dashstyle="solid"/>
            </v:line>
          </v:group>
        </w:pict>
      </w:r>
      <w:r>
        <w:rPr>
          <w:sz w:val="2"/>
        </w:rPr>
      </w:r>
    </w:p>
    <w:p>
      <w:pPr>
        <w:tabs>
          <w:tab w:pos="1236" w:val="left" w:leader="none"/>
          <w:tab w:pos="1831" w:val="left" w:leader="none"/>
          <w:tab w:pos="2411" w:val="left" w:leader="none"/>
          <w:tab w:pos="3016" w:val="left" w:leader="none"/>
          <w:tab w:pos="3571" w:val="left" w:leader="none"/>
        </w:tabs>
        <w:spacing w:before="11"/>
        <w:ind w:left="591" w:right="0" w:firstLine="0"/>
        <w:jc w:val="left"/>
        <w:rPr>
          <w:sz w:val="12"/>
        </w:rPr>
      </w:pPr>
      <w:r>
        <w:rPr/>
        <w:pict>
          <v:shape style="position:absolute;margin-left:51.833pt;margin-top:-6.79844pt;width:184.7pt;height:6.45pt;mso-position-horizontal-relative:page;mso-position-vertical-relative:paragraph;z-index:-20097024" coordorigin="1037,-136" coordsize="3694,129" path="m1037,-9l4557,-9m1037,-7l1037,-126m1184,-9l1184,-83m1331,-9l1331,-83m1478,-9l1478,-83m1625,-14l1625,-133m1773,-9l1773,-83m1920,-9l1920,-83m2067,-9l2067,-83m2214,-17l2214,-136m2361,-9l2361,-83m2509,-9l2509,-83m2656,-9l2656,-83m2803,-17l2803,-136m2950,-9l2950,-83m3097,-9l3097,-83m3245,-9l3245,-83m3392,-17l3392,-136m3539,-9l3539,-83m3686,-9l3686,-83m3833,-9l3833,-83m3981,-17l3981,-136m4128,-9l4128,-83m4405,-9l4405,-83m4262,-9l4262,-83m4570,-9l4570,-83m4730,-9l4638,-9e" filled="false" stroked="true" strokeweight=".5pt" strokecolor="#000000">
            <v:path arrowok="t"/>
            <v:stroke dashstyle="solid"/>
            <w10:wrap type="none"/>
          </v:shape>
        </w:pict>
      </w:r>
      <w:r>
        <w:rPr>
          <w:sz w:val="12"/>
        </w:rPr>
        <w:t>1994</w:t>
        <w:tab/>
        <w:t>95</w:t>
        <w:tab/>
        <w:t>96</w:t>
        <w:tab/>
        <w:t>97</w:t>
        <w:tab/>
        <w:t>98</w:t>
        <w:tab/>
      </w:r>
      <w:r>
        <w:rPr>
          <w:spacing w:val="-10"/>
          <w:sz w:val="12"/>
        </w:rPr>
        <w:t>99</w:t>
      </w:r>
    </w:p>
    <w:p>
      <w:pPr>
        <w:spacing w:before="91"/>
        <w:ind w:left="121" w:right="0" w:firstLine="0"/>
        <w:jc w:val="left"/>
        <w:rPr>
          <w:sz w:val="12"/>
        </w:rPr>
      </w:pPr>
      <w:r>
        <w:rPr/>
        <w:br w:type="column"/>
      </w:r>
      <w:r>
        <w:rPr>
          <w:sz w:val="12"/>
        </w:rPr>
        <w:t>2000 </w:t>
      </w:r>
      <w:r>
        <w:rPr>
          <w:position w:val="9"/>
          <w:sz w:val="12"/>
        </w:rPr>
        <w:t>0</w:t>
      </w:r>
    </w:p>
    <w:p>
      <w:pPr>
        <w:spacing w:line="133" w:lineRule="exact" w:before="95"/>
        <w:ind w:left="4155" w:right="0" w:firstLine="0"/>
        <w:jc w:val="left"/>
        <w:rPr>
          <w:sz w:val="12"/>
        </w:rPr>
      </w:pPr>
      <w:r>
        <w:rPr/>
        <w:br w:type="column"/>
      </w:r>
      <w:r>
        <w:rPr>
          <w:sz w:val="12"/>
        </w:rPr>
        <w:t>0</w:t>
      </w:r>
    </w:p>
    <w:p>
      <w:pPr>
        <w:tabs>
          <w:tab w:pos="1311" w:val="left" w:leader="none"/>
          <w:tab w:pos="1958" w:val="left" w:leader="none"/>
          <w:tab w:pos="2598" w:val="left" w:leader="none"/>
          <w:tab w:pos="3238" w:val="left" w:leader="none"/>
          <w:tab w:pos="3864" w:val="left" w:leader="none"/>
        </w:tabs>
        <w:spacing w:line="133" w:lineRule="exact" w:before="0"/>
        <w:ind w:left="591" w:right="0" w:firstLine="0"/>
        <w:jc w:val="left"/>
        <w:rPr>
          <w:sz w:val="12"/>
        </w:rPr>
      </w:pPr>
      <w:r>
        <w:rPr/>
        <w:pict>
          <v:shape style="position:absolute;margin-left:281.333008pt;margin-top:-9.704152pt;width:192.35pt;height:6.4pt;mso-position-horizontal-relative:page;mso-position-vertical-relative:paragraph;z-index:15987200" coordorigin="5627,-194" coordsize="3847,128" path="m5787,-67l9307,-67m5787,-73l5787,-194m5940,-67l5940,-141m6093,-67l6093,-141m6247,-67l6247,-141m6400,-73l6400,-194m6553,-67l6553,-141m6707,-67l6707,-141m6860,-67l6860,-141m7013,-73l7013,-194m7167,-67l7167,-141m7320,-67l7320,-141m7473,-67l7473,-141m7627,-73l7627,-194m7780,-67l7780,-141m7933,-67l7933,-141m8087,-67l8087,-141m8240,-73l8240,-194m8393,-67l8393,-141m8547,-67l8547,-141m8700,-67l8700,-141m8853,-73l8853,-194m9007,-67l9007,-141m9160,-67l9160,-141m9153,-67l9153,-141m9320,-67l9320,-141m5627,-67l5719,-67m9473,-67l9381,-67e" filled="false" stroked="true" strokeweight=".5pt" strokecolor="#000000">
            <v:path arrowok="t"/>
            <v:stroke dashstyle="solid"/>
            <w10:wrap type="none"/>
          </v:shape>
        </w:pict>
      </w:r>
      <w:r>
        <w:rPr>
          <w:sz w:val="12"/>
        </w:rPr>
        <w:t>1994</w:t>
        <w:tab/>
        <w:t>95</w:t>
        <w:tab/>
        <w:t>96</w:t>
        <w:tab/>
        <w:t>97</w:t>
        <w:tab/>
        <w:t>98</w:t>
        <w:tab/>
        <w:t>99</w:t>
      </w:r>
    </w:p>
    <w:p>
      <w:pPr>
        <w:spacing w:after="0" w:line="133" w:lineRule="exact"/>
        <w:jc w:val="left"/>
        <w:rPr>
          <w:sz w:val="12"/>
        </w:rPr>
        <w:sectPr>
          <w:type w:val="continuous"/>
          <w:pgSz w:w="11880" w:h="16840"/>
          <w:pgMar w:top="1200" w:bottom="280" w:left="620" w:right="620"/>
          <w:cols w:num="3" w:equalWidth="0">
            <w:col w:w="3692" w:space="40"/>
            <w:col w:w="530" w:space="493"/>
            <w:col w:w="5885"/>
          </w:cols>
        </w:sectPr>
      </w:pPr>
    </w:p>
    <w:p>
      <w:pPr>
        <w:spacing w:line="208" w:lineRule="auto" w:before="116"/>
        <w:ind w:left="174" w:right="1030" w:firstLine="0"/>
        <w:jc w:val="left"/>
        <w:rPr>
          <w:sz w:val="16"/>
        </w:rPr>
      </w:pPr>
      <w:r>
        <w:rPr>
          <w:color w:val="231F20"/>
          <w:sz w:val="16"/>
        </w:rPr>
        <w:t>The chart shows the relative likelihood of possible outcomes. The central band, coloured deep red, includes the central projection: there is judged to be a 10% chance that inflation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880" w:h="16840"/>
          <w:pgMar w:top="1200" w:bottom="280" w:left="620" w:right="620"/>
        </w:sectPr>
      </w:pPr>
    </w:p>
    <w:p>
      <w:pPr>
        <w:pStyle w:val="BodyText"/>
        <w:spacing w:before="1"/>
        <w:rPr>
          <w:sz w:val="20"/>
        </w:rPr>
      </w:pPr>
    </w:p>
    <w:p>
      <w:pPr>
        <w:pStyle w:val="Heading9"/>
        <w:spacing w:before="0"/>
        <w:ind w:left="160"/>
      </w:pPr>
      <w:r>
        <w:rPr>
          <w:color w:val="0093C1"/>
        </w:rPr>
        <w:t>Chart 6.4</w:t>
      </w:r>
    </w:p>
    <w:p>
      <w:pPr>
        <w:spacing w:line="249" w:lineRule="auto" w:before="10"/>
        <w:ind w:left="160" w:right="102" w:firstLine="0"/>
        <w:jc w:val="left"/>
        <w:rPr>
          <w:b/>
          <w:sz w:val="20"/>
        </w:rPr>
      </w:pPr>
      <w:r>
        <w:rPr>
          <w:b/>
          <w:color w:val="0093C1"/>
          <w:sz w:val="20"/>
        </w:rPr>
        <w:t>Current projection for the percentage increase in RPIX in the year to 2000 Q1</w:t>
      </w:r>
    </w:p>
    <w:p>
      <w:pPr>
        <w:pStyle w:val="BodyText"/>
        <w:spacing w:before="5"/>
        <w:rPr>
          <w:b/>
          <w:sz w:val="21"/>
        </w:rPr>
      </w:pPr>
    </w:p>
    <w:p>
      <w:pPr>
        <w:spacing w:before="0"/>
        <w:ind w:left="0" w:right="38" w:firstLine="0"/>
        <w:jc w:val="right"/>
        <w:rPr>
          <w:sz w:val="12"/>
        </w:rPr>
      </w:pPr>
      <w:r>
        <w:rPr/>
        <w:pict>
          <v:line style="position:absolute;mso-position-horizontal-relative:page;mso-position-vertical-relative:paragraph;z-index:-20090880" from="243pt,8.101572pt" to="247pt,8.101572pt" stroked="true" strokeweight=".5pt" strokecolor="#000000">
            <v:stroke dashstyle="solid"/>
            <w10:wrap type="none"/>
          </v:line>
        </w:pict>
      </w:r>
      <w:r>
        <w:rPr/>
        <w:pict>
          <v:line style="position:absolute;mso-position-horizontal-relative:page;mso-position-vertical-relative:paragraph;z-index:16001536" from="41pt,8.101572pt" to="46pt,8.101572pt" stroked="true" strokeweight=".5pt" strokecolor="#000000">
            <v:stroke dashstyle="solid"/>
            <w10:wrap type="none"/>
          </v:line>
        </w:pict>
      </w:r>
      <w:r>
        <w:rPr>
          <w:sz w:val="12"/>
        </w:rPr>
        <w:t>Probability in per cent (a) </w:t>
      </w:r>
      <w:r>
        <w:rPr>
          <w:position w:val="-8"/>
          <w:sz w:val="12"/>
        </w:rPr>
        <w:t>5</w:t>
      </w:r>
    </w:p>
    <w:p>
      <w:pPr>
        <w:pStyle w:val="BodyText"/>
        <w:rPr>
          <w:sz w:val="22"/>
        </w:rPr>
      </w:pPr>
    </w:p>
    <w:p>
      <w:pPr>
        <w:pStyle w:val="BodyText"/>
        <w:spacing w:before="10"/>
        <w:rPr>
          <w:sz w:val="17"/>
        </w:rPr>
      </w:pPr>
    </w:p>
    <w:p>
      <w:pPr>
        <w:spacing w:before="0"/>
        <w:ind w:left="0" w:right="38" w:firstLine="0"/>
        <w:jc w:val="right"/>
        <w:rPr>
          <w:sz w:val="12"/>
        </w:rPr>
      </w:pPr>
      <w:r>
        <w:rPr/>
        <w:pict>
          <v:group style="position:absolute;margin-left:41pt;margin-top:3.517771pt;width:197.5pt;height:121.6pt;mso-position-horizontal-relative:page;mso-position-vertical-relative:paragraph;z-index:-20091392" coordorigin="820,70" coordsize="3950,2432">
            <v:shape style="position:absolute;left:1803;top:112;width:2200;height:2380" coordorigin="1803,112" coordsize="2200,2380" path="m2683,112l2623,112,2563,152,2503,212,2443,312,2383,432,2303,572,2183,892,2063,1252,1943,1572,1863,1712,1803,1852,1803,2492,4003,2492,4003,1872,3943,1792,3883,1692,3823,1612,3763,1512,3683,1412,3623,1312,3563,1192,3503,1092,3443,972,3323,772,3258,662,3183,572,3123,472,3003,312,2883,192,2823,152,2743,132,2683,112xe" filled="true" fillcolor="#eeefef" stroked="false">
              <v:path arrowok="t"/>
              <v:fill type="solid"/>
            </v:shape>
            <v:shape style="position:absolute;left:1803;top:112;width:2200;height:2380" coordorigin="1803,112" coordsize="2200,2380" path="m1803,1852l1863,1712,1943,1572,2063,1252,2183,892,2303,572,2383,432,2443,312,2503,212,2563,152,2623,112,2683,112,2743,132,2823,152,2883,192,3003,312,3123,472,3183,572,3258,662,3323,772,3443,972,3503,1092,3563,1192,3623,1312,3683,1412,3763,1512,3823,1612,3883,1692,3943,1792,4003,1872,4003,2492,1803,2492,1803,1852xe" filled="false" stroked="true" strokeweight="1pt" strokecolor="#eeefef">
              <v:path arrowok="t"/>
              <v:stroke dashstyle="solid"/>
            </v:shape>
            <v:shape style="position:absolute;left:820;top:75;width:3940;height:2420" coordorigin="820,75" coordsize="3940,2420" path="m820,75l920,75m820,675l920,675m820,1295l920,1295m820,1895l920,1895m1000,2495l1000,2455m1620,2495l1620,2455m2240,2495l2240,2455m2880,2495l2880,2455m3500,2495l3500,2455m4120,2495l4120,2455m4760,2495l4760,2455e" filled="false" stroked="true" strokeweight=".5pt" strokecolor="#000000">
              <v:path arrowok="t"/>
              <v:stroke dashstyle="solid"/>
            </v:shape>
            <v:shape style="position:absolute;left:1000;top:107;width:3760;height:2368" coordorigin="1000,108" coordsize="3760,2368" path="m1000,2475l1060,2475,1122,2467,1242,2437,1300,2414,1367,2385,1428,2347,1500,2295,1560,2235,1680,2075,1740,1974,1798,1852,1853,1732,1933,1574,2000,1415,2060,1255,2180,895,2240,735,2298,579,2333,509,2380,422,2435,310,2500,215,2560,152,2621,112,2683,108,2751,118,2824,150,2886,194,2948,254,3006,313,3068,392,3126,474,3191,571,3271,677,3327,774,3385,872,3457,994,3510,1094,3567,1194,3633,1314,3693,1410,3765,1514,3828,1614,3885,1695,3948,1792,4008,1874,4060,1935,4128,2012,4197,2080,4260,2139,4317,2185,4380,2235,4440,2275,4497,2307,4560,2335,4640,2365,4698,2382,4760,2395e" filled="false" stroked="true" strokeweight="1pt" strokecolor="#ed1b2d">
              <v:path arrowok="t"/>
              <v:stroke dashstyle="solid"/>
            </v:shape>
            <v:line style="position:absolute" from="3823,385" to="3170,1039" stroked="true" strokeweight=".5pt" strokecolor="#000000">
              <v:stroke dashstyle="solid"/>
            </v:line>
            <v:shape style="position:absolute;left:3122;top:1008;width:78;height:78" coordorigin="3122,1009" coordsize="78,78" path="m3164,1009l3133,1070,3122,1087,3129,1081,3200,1045,3164,1009xe" filled="true" fillcolor="#000000" stroked="false">
              <v:path arrowok="t"/>
              <v:fill type="solid"/>
            </v:shape>
            <v:shape style="position:absolute;left:3390;top:245;width:797;height:133" type="#_x0000_t202" filled="false" stroked="false">
              <v:textbox inset="0,0,0,0">
                <w:txbxContent>
                  <w:p>
                    <w:pPr>
                      <w:spacing w:line="133" w:lineRule="exact" w:before="0"/>
                      <w:ind w:left="0" w:right="0" w:firstLine="0"/>
                      <w:jc w:val="left"/>
                      <w:rPr>
                        <w:sz w:val="12"/>
                      </w:rPr>
                    </w:pPr>
                    <w:r>
                      <w:rPr>
                        <w:sz w:val="12"/>
                      </w:rPr>
                      <w:t>90% probability</w:t>
                    </w:r>
                  </w:p>
                </w:txbxContent>
              </v:textbox>
              <w10:wrap type="none"/>
            </v:shape>
            <w10:wrap type="none"/>
          </v:group>
        </w:pict>
      </w:r>
      <w:r>
        <w:rPr/>
        <w:pict>
          <v:line style="position:absolute;mso-position-horizontal-relative:page;mso-position-vertical-relative:paragraph;z-index:15999488" from="243pt,3.767771pt" to="247pt,3.767771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00000" from="243pt,3.767771pt" to="247pt,3.767771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00512" from="243pt,4.767756pt" to="247pt,4.767756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11"/>
        <w:rPr>
          <w:sz w:val="17"/>
        </w:rPr>
      </w:pPr>
    </w:p>
    <w:p>
      <w:pPr>
        <w:spacing w:before="0"/>
        <w:ind w:left="0" w:right="38" w:firstLine="0"/>
        <w:jc w:val="right"/>
        <w:rPr>
          <w:sz w:val="12"/>
        </w:rPr>
      </w:pPr>
      <w:r>
        <w:rPr/>
        <w:pict>
          <v:line style="position:absolute;mso-position-horizontal-relative:page;mso-position-vertical-relative:paragraph;z-index:16001024" from="243pt,3.767557pt" to="247pt,3.767557pt" stroked="true" strokeweight=".5pt" strokecolor="#000000">
            <v:stroke dashstyle="solid"/>
            <w10:wrap type="none"/>
          </v:line>
        </w:pict>
      </w:r>
      <w:r>
        <w:rPr>
          <w:sz w:val="12"/>
        </w:rPr>
        <w:t>1</w:t>
      </w:r>
    </w:p>
    <w:p>
      <w:pPr>
        <w:pStyle w:val="BodyText"/>
        <w:spacing w:before="1"/>
        <w:rPr>
          <w:sz w:val="20"/>
        </w:rPr>
      </w:pPr>
      <w:r>
        <w:rPr/>
        <w:br w:type="column"/>
      </w:r>
      <w:r>
        <w:rPr>
          <w:sz w:val="20"/>
        </w:rPr>
      </w:r>
    </w:p>
    <w:p>
      <w:pPr>
        <w:pStyle w:val="Heading9"/>
        <w:spacing w:before="0"/>
        <w:ind w:left="160"/>
      </w:pPr>
      <w:r>
        <w:rPr>
          <w:color w:val="0093C1"/>
        </w:rPr>
        <w:t>Chart 6.5</w:t>
      </w:r>
    </w:p>
    <w:p>
      <w:pPr>
        <w:spacing w:line="249" w:lineRule="auto" w:before="10"/>
        <w:ind w:left="160" w:right="1469" w:firstLine="0"/>
        <w:jc w:val="left"/>
        <w:rPr>
          <w:b/>
          <w:sz w:val="20"/>
        </w:rPr>
      </w:pPr>
      <w:r>
        <w:rPr>
          <w:b/>
          <w:color w:val="0093C1"/>
          <w:sz w:val="20"/>
        </w:rPr>
        <w:t>November projection for the percentage increase in RPIX in the year to 1999 Q4</w:t>
      </w:r>
    </w:p>
    <w:p>
      <w:pPr>
        <w:pStyle w:val="BodyText"/>
        <w:spacing w:before="4"/>
        <w:rPr>
          <w:b/>
          <w:sz w:val="19"/>
        </w:rPr>
      </w:pPr>
    </w:p>
    <w:p>
      <w:pPr>
        <w:spacing w:line="126" w:lineRule="exact" w:before="1"/>
        <w:ind w:left="3163" w:right="0" w:firstLine="0"/>
        <w:jc w:val="left"/>
        <w:rPr>
          <w:sz w:val="12"/>
        </w:rPr>
      </w:pPr>
      <w:r>
        <w:rPr>
          <w:sz w:val="12"/>
        </w:rPr>
        <w:t>Probability in per cent (a)</w:t>
      </w:r>
    </w:p>
    <w:p>
      <w:pPr>
        <w:spacing w:line="126" w:lineRule="exact" w:before="0"/>
        <w:ind w:left="4440" w:right="0" w:firstLine="0"/>
        <w:jc w:val="left"/>
        <w:rPr>
          <w:sz w:val="12"/>
        </w:rPr>
      </w:pPr>
      <w:r>
        <w:rPr/>
        <w:pict>
          <v:shape style="position:absolute;margin-left:486pt;margin-top:2.485056pt;width:5pt;height:.1pt;mso-position-horizontal-relative:page;mso-position-vertical-relative:paragraph;z-index:16003072" coordorigin="9720,50" coordsize="100,0" path="m9720,50l9820,50m9720,50l9820,50e" filled="false" stroked="true" strokeweight=".5pt" strokecolor="#000000">
            <v:path arrowok="t"/>
            <v:stroke dashstyle="solid"/>
            <w10:wrap type="none"/>
          </v:shape>
        </w:pict>
      </w:r>
      <w:r>
        <w:rPr/>
        <w:pict>
          <v:line style="position:absolute;mso-position-horizontal-relative:page;mso-position-vertical-relative:paragraph;z-index:16005632" from="282pt,2.485056pt" to="286pt,2.485056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1"/>
        <w:rPr>
          <w:sz w:val="16"/>
        </w:rPr>
      </w:pPr>
    </w:p>
    <w:p>
      <w:pPr>
        <w:spacing w:before="1"/>
        <w:ind w:left="0" w:right="1319" w:firstLine="0"/>
        <w:jc w:val="right"/>
        <w:rPr>
          <w:sz w:val="12"/>
        </w:rPr>
      </w:pPr>
      <w:r>
        <w:rPr/>
        <w:pict>
          <v:group style="position:absolute;margin-left:291.5pt;margin-top:.109572pt;width:190pt;height:124.05pt;mso-position-horizontal-relative:page;mso-position-vertical-relative:paragraph;z-index:-20087296" coordorigin="5830,2" coordsize="3800,2481">
            <v:shape style="position:absolute;left:6510;top:13;width:2060;height:2460" coordorigin="6510,13" coordsize="2060,2460" path="m7370,13l7290,53,7230,113,7170,193,7110,313,7050,453,6990,613,6910,773,6730,1313,6610,1633,6550,1773,6510,1833,6510,2473,8570,2473,8570,1840,8550,1813,8430,1613,8310,1373,8230,1253,8110,1013,8050,873,7870,513,7790,413,7670,213,7550,93,7490,53,7370,13xe" filled="true" fillcolor="#eeefef" stroked="false">
              <v:path arrowok="t"/>
              <v:fill type="solid"/>
            </v:shape>
            <v:shape style="position:absolute;left:6510;top:13;width:2060;height:2460" coordorigin="6510,13" coordsize="2060,2460" path="m8550,1813l8430,1613,8310,1373,8230,1253,8110,1013,8050,873,7870,513,7790,413,7670,213,7550,93,7490,53,7370,13,7290,53,7230,113,7170,193,7110,313,7050,453,6990,613,6910,773,6730,1313,6610,1633,6550,1773,6510,1833,6510,2473,8570,2473,8570,1840,8550,1813xe" filled="false" stroked="true" strokeweight="1pt" strokecolor="#eeefef">
              <v:path arrowok="t"/>
              <v:stroke dashstyle="solid"/>
            </v:shape>
            <v:shape style="position:absolute;left:5840;top:2423;width:3780;height:60" coordorigin="5840,2423" coordsize="3780,60" path="m6480,2483l6480,2423m7100,2483l7100,2423m7720,2483l7720,2423m8360,2483l8360,2423m5840,2483l5840,2423m8980,2483l8980,2423m9620,2483l9620,2423e" filled="false" stroked="true" strokeweight=".5pt" strokecolor="#000000">
              <v:path arrowok="t"/>
              <v:stroke dashstyle="solid"/>
            </v:shape>
            <v:shape style="position:absolute;left:5840;top:12;width:3780;height:2451" coordorigin="5840,12" coordsize="3780,2451" path="m5840,2443l5900,2431,5960,2411,6040,2383,6103,2346,6160,2303,6280,2183,6340,2103,6405,2008,6474,1897,6539,1782,6598,1641,6660,1483,6720,1323,6780,1143,6843,966,6909,784,6978,618,7040,458,7100,323,7160,203,7220,123,7278,61,7364,12,7400,16,7492,51,7549,94,7616,150,7671,215,7740,323,7806,419,7873,521,7938,643,7995,763,8055,883,8118,1023,8177,1143,8236,1252,8308,1378,8373,1503,8431,1612,8500,1723,8551,1812,8608,1903,8662,1981,8740,2065,8798,2126,8861,2186,8920,2228,8978,2266,9040,2303,9102,2338,9180,2370,9240,2391,9300,2408,9360,2423,9420,2436,9483,2446,9540,2451,9620,2463e" filled="false" stroked="true" strokeweight="1pt" strokecolor="#ed1b2d">
              <v:path arrowok="t"/>
              <v:stroke dashstyle="solid"/>
            </v:shape>
            <v:line style="position:absolute" from="8430,373" to="7777,933" stroked="true" strokeweight=".5pt" strokecolor="#000000">
              <v:stroke dashstyle="solid"/>
            </v:line>
            <v:shape style="position:absolute;left:7725;top:902;width:81;height:75" coordorigin="7725,903" coordsize="81,75" path="m7773,903l7737,962,7725,977,7733,972,7806,941,7773,903xe" filled="true" fillcolor="#000000" stroked="false">
              <v:path arrowok="t"/>
              <v:fill type="solid"/>
            </v:shape>
            <v:shape style="position:absolute;left:8130;top:226;width:797;height:133" type="#_x0000_t202" filled="false" stroked="false">
              <v:textbox inset="0,0,0,0">
                <w:txbxContent>
                  <w:p>
                    <w:pPr>
                      <w:spacing w:line="133" w:lineRule="exact" w:before="0"/>
                      <w:ind w:left="0" w:right="0" w:firstLine="0"/>
                      <w:jc w:val="left"/>
                      <w:rPr>
                        <w:sz w:val="12"/>
                      </w:rPr>
                    </w:pPr>
                    <w:r>
                      <w:rPr>
                        <w:sz w:val="12"/>
                      </w:rPr>
                      <w:t>90% probability</w:t>
                    </w:r>
                  </w:p>
                </w:txbxContent>
              </v:textbox>
              <w10:wrap type="none"/>
            </v:shape>
            <w10:wrap type="none"/>
          </v:group>
        </w:pict>
      </w:r>
      <w:r>
        <w:rPr/>
        <w:pict>
          <v:shape style="position:absolute;margin-left:486pt;margin-top:3.151572pt;width:5pt;height:.1pt;mso-position-horizontal-relative:page;mso-position-vertical-relative:paragraph;z-index:16003584" coordorigin="9720,63" coordsize="100,0" path="m9720,63l9820,63m9720,63l9820,63e" filled="false" stroked="true" strokeweight=".5pt" strokecolor="#000000">
            <v:path arrowok="t"/>
            <v:stroke dashstyle="solid"/>
            <w10:wrap type="none"/>
          </v:shape>
        </w:pict>
      </w:r>
      <w:r>
        <w:rPr/>
        <w:pict>
          <v:line style="position:absolute;mso-position-horizontal-relative:page;mso-position-vertical-relative:paragraph;z-index:16006144" from="282pt,3.151572pt" to="286pt,3.151572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10"/>
        <w:rPr>
          <w:sz w:val="17"/>
        </w:rPr>
      </w:pPr>
    </w:p>
    <w:p>
      <w:pPr>
        <w:spacing w:before="0"/>
        <w:ind w:left="0" w:right="1319" w:firstLine="0"/>
        <w:jc w:val="right"/>
        <w:rPr>
          <w:sz w:val="12"/>
        </w:rPr>
      </w:pPr>
      <w:r>
        <w:rPr/>
        <w:pict>
          <v:shape style="position:absolute;margin-left:486pt;margin-top:2.101359pt;width:5pt;height:.1pt;mso-position-horizontal-relative:page;mso-position-vertical-relative:paragraph;z-index:16004096" coordorigin="9720,42" coordsize="100,0" path="m9720,42l9820,42m9720,42l9820,42e" filled="false" stroked="true" strokeweight=".5pt" strokecolor="#000000">
            <v:path arrowok="t"/>
            <v:stroke dashstyle="solid"/>
            <w10:wrap type="none"/>
          </v:shape>
        </w:pict>
      </w:r>
      <w:r>
        <w:rPr/>
        <w:pict>
          <v:line style="position:absolute;mso-position-horizontal-relative:page;mso-position-vertical-relative:paragraph;z-index:16006656" from="282pt,2.101359pt" to="286pt,2.101359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2"/>
        <w:rPr>
          <w:sz w:val="16"/>
        </w:rPr>
      </w:pPr>
    </w:p>
    <w:p>
      <w:pPr>
        <w:spacing w:before="0"/>
        <w:ind w:left="0" w:right="1319" w:firstLine="0"/>
        <w:jc w:val="right"/>
        <w:rPr>
          <w:sz w:val="12"/>
        </w:rPr>
      </w:pPr>
      <w:r>
        <w:rPr/>
        <w:pict>
          <v:shape style="position:absolute;margin-left:486pt;margin-top:3.101359pt;width:5pt;height:.1pt;mso-position-horizontal-relative:page;mso-position-vertical-relative:paragraph;z-index:16004608" coordorigin="9720,62" coordsize="100,0" path="m9720,62l9820,62m9720,62l9820,62e" filled="false" stroked="true" strokeweight=".5pt" strokecolor="#000000">
            <v:path arrowok="t"/>
            <v:stroke dashstyle="solid"/>
            <w10:wrap type="none"/>
          </v:shape>
        </w:pict>
      </w:r>
      <w:r>
        <w:rPr/>
        <w:pict>
          <v:line style="position:absolute;mso-position-horizontal-relative:page;mso-position-vertical-relative:paragraph;z-index:16007168" from="282pt,3.101359pt" to="286pt,3.101359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2"/>
        <w:rPr>
          <w:sz w:val="16"/>
        </w:rPr>
      </w:pPr>
    </w:p>
    <w:p>
      <w:pPr>
        <w:spacing w:before="0"/>
        <w:ind w:left="0" w:right="1319" w:firstLine="0"/>
        <w:jc w:val="right"/>
        <w:rPr>
          <w:sz w:val="12"/>
        </w:rPr>
      </w:pPr>
      <w:r>
        <w:rPr/>
        <w:pict>
          <v:shape style="position:absolute;margin-left:486pt;margin-top:3.101359pt;width:5pt;height:.1pt;mso-position-horizontal-relative:page;mso-position-vertical-relative:paragraph;z-index:16005120" coordorigin="9720,62" coordsize="100,0" path="m9720,62l9820,62m9720,62l9820,62e" filled="false" stroked="true" strokeweight=".5pt" strokecolor="#000000">
            <v:path arrowok="t"/>
            <v:stroke dashstyle="solid"/>
            <w10:wrap type="none"/>
          </v:shape>
        </w:pict>
      </w:r>
      <w:r>
        <w:rPr/>
        <w:pict>
          <v:line style="position:absolute;mso-position-horizontal-relative:page;mso-position-vertical-relative:paragraph;z-index:16007680" from="282pt,3.101359pt" to="286pt,3.101359pt" stroked="true" strokeweight=".5pt" strokecolor="#000000">
            <v:stroke dashstyle="solid"/>
            <w10:wrap type="none"/>
          </v:line>
        </w:pict>
      </w:r>
      <w:r>
        <w:rPr>
          <w:sz w:val="12"/>
        </w:rPr>
        <w:t>1</w:t>
      </w:r>
    </w:p>
    <w:p>
      <w:pPr>
        <w:spacing w:after="0"/>
        <w:jc w:val="right"/>
        <w:rPr>
          <w:sz w:val="12"/>
        </w:rPr>
        <w:sectPr>
          <w:type w:val="continuous"/>
          <w:pgSz w:w="11880" w:h="16840"/>
          <w:pgMar w:top="1200" w:bottom="280" w:left="620" w:right="620"/>
          <w:cols w:num="2" w:equalWidth="0">
            <w:col w:w="4481" w:space="339"/>
            <w:col w:w="5820"/>
          </w:cols>
        </w:sectPr>
      </w:pPr>
    </w:p>
    <w:p>
      <w:pPr>
        <w:pStyle w:val="BodyText"/>
        <w:rPr>
          <w:sz w:val="20"/>
        </w:rPr>
      </w:pPr>
    </w:p>
    <w:p>
      <w:pPr>
        <w:pStyle w:val="BodyText"/>
        <w:spacing w:before="5"/>
        <w:rPr>
          <w:sz w:val="20"/>
        </w:rPr>
      </w:pPr>
    </w:p>
    <w:p>
      <w:pPr>
        <w:tabs>
          <w:tab w:pos="4096" w:val="left" w:leader="none"/>
          <w:tab w:pos="8956" w:val="left" w:leader="none"/>
          <w:tab w:pos="9259" w:val="left" w:leader="none"/>
        </w:tabs>
        <w:spacing w:before="1"/>
        <w:ind w:left="356" w:right="0" w:firstLine="0"/>
        <w:jc w:val="left"/>
        <w:rPr>
          <w:sz w:val="12"/>
        </w:rPr>
      </w:pPr>
      <w:r>
        <w:rPr/>
        <w:pict>
          <v:shape style="position:absolute;margin-left:41pt;margin-top:2.984565pt;width:450pt;height:16.8pt;mso-position-horizontal-relative:page;mso-position-vertical-relative:paragraph;z-index:160081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
                    <w:gridCol w:w="57"/>
                    <w:gridCol w:w="60"/>
                    <w:gridCol w:w="910"/>
                    <w:gridCol w:w="529"/>
                    <w:gridCol w:w="796"/>
                    <w:gridCol w:w="534"/>
                    <w:gridCol w:w="910"/>
                    <w:gridCol w:w="60"/>
                    <w:gridCol w:w="83"/>
                    <w:gridCol w:w="80"/>
                    <w:gridCol w:w="700"/>
                    <w:gridCol w:w="80"/>
                    <w:gridCol w:w="117"/>
                    <w:gridCol w:w="340"/>
                    <w:gridCol w:w="620"/>
                    <w:gridCol w:w="487"/>
                    <w:gridCol w:w="797"/>
                    <w:gridCol w:w="587"/>
                    <w:gridCol w:w="910"/>
                    <w:gridCol w:w="60"/>
                    <w:gridCol w:w="83"/>
                  </w:tblGrid>
                  <w:tr>
                    <w:trPr>
                      <w:trHeight w:val="158" w:hRule="atLeast"/>
                    </w:trPr>
                    <w:tc>
                      <w:tcPr>
                        <w:tcW w:w="217" w:type="dxa"/>
                        <w:gridSpan w:val="3"/>
                      </w:tcPr>
                      <w:p>
                        <w:pPr>
                          <w:pStyle w:val="TableParagraph"/>
                          <w:rPr>
                            <w:sz w:val="8"/>
                          </w:rPr>
                        </w:pPr>
                      </w:p>
                    </w:tc>
                    <w:tc>
                      <w:tcPr>
                        <w:tcW w:w="910" w:type="dxa"/>
                        <w:tcBorders>
                          <w:top w:val="single" w:sz="4" w:space="0" w:color="000000"/>
                        </w:tcBorders>
                      </w:tcPr>
                      <w:p>
                        <w:pPr>
                          <w:pStyle w:val="TableParagraph"/>
                          <w:spacing w:line="122" w:lineRule="exact" w:before="6"/>
                          <w:ind w:left="579"/>
                          <w:rPr>
                            <w:sz w:val="12"/>
                          </w:rPr>
                        </w:pPr>
                        <w:r>
                          <w:rPr>
                            <w:sz w:val="12"/>
                          </w:rPr>
                          <w:t>1</w:t>
                        </w:r>
                      </w:p>
                    </w:tc>
                    <w:tc>
                      <w:tcPr>
                        <w:tcW w:w="529" w:type="dxa"/>
                        <w:tcBorders>
                          <w:top w:val="single" w:sz="4" w:space="0" w:color="000000"/>
                        </w:tcBorders>
                      </w:tcPr>
                      <w:p>
                        <w:pPr>
                          <w:pStyle w:val="TableParagraph"/>
                          <w:spacing w:line="122" w:lineRule="exact" w:before="6"/>
                          <w:ind w:left="70"/>
                          <w:jc w:val="center"/>
                          <w:rPr>
                            <w:sz w:val="12"/>
                          </w:rPr>
                        </w:pPr>
                        <w:r>
                          <w:rPr>
                            <w:sz w:val="12"/>
                          </w:rPr>
                          <w:t>2</w:t>
                        </w:r>
                      </w:p>
                    </w:tc>
                    <w:tc>
                      <w:tcPr>
                        <w:tcW w:w="796" w:type="dxa"/>
                        <w:tcBorders>
                          <w:top w:val="single" w:sz="4" w:space="0" w:color="000000"/>
                        </w:tcBorders>
                      </w:tcPr>
                      <w:p>
                        <w:pPr>
                          <w:pStyle w:val="TableParagraph"/>
                          <w:spacing w:line="122" w:lineRule="exact" w:before="6"/>
                          <w:ind w:left="25"/>
                          <w:jc w:val="center"/>
                          <w:rPr>
                            <w:sz w:val="12"/>
                          </w:rPr>
                        </w:pPr>
                        <w:r>
                          <w:rPr>
                            <w:sz w:val="12"/>
                          </w:rPr>
                          <w:t>3</w:t>
                        </w:r>
                      </w:p>
                    </w:tc>
                    <w:tc>
                      <w:tcPr>
                        <w:tcW w:w="534" w:type="dxa"/>
                        <w:tcBorders>
                          <w:top w:val="single" w:sz="4" w:space="0" w:color="000000"/>
                        </w:tcBorders>
                      </w:tcPr>
                      <w:p>
                        <w:pPr>
                          <w:pStyle w:val="TableParagraph"/>
                          <w:spacing w:line="122" w:lineRule="exact" w:before="6"/>
                          <w:ind w:right="102"/>
                          <w:jc w:val="center"/>
                          <w:rPr>
                            <w:sz w:val="12"/>
                          </w:rPr>
                        </w:pPr>
                        <w:r>
                          <w:rPr>
                            <w:sz w:val="12"/>
                          </w:rPr>
                          <w:t>4</w:t>
                        </w:r>
                      </w:p>
                    </w:tc>
                    <w:tc>
                      <w:tcPr>
                        <w:tcW w:w="910" w:type="dxa"/>
                        <w:tcBorders>
                          <w:top w:val="single" w:sz="4" w:space="0" w:color="000000"/>
                        </w:tcBorders>
                      </w:tcPr>
                      <w:p>
                        <w:pPr>
                          <w:pStyle w:val="TableParagraph"/>
                          <w:spacing w:line="122" w:lineRule="exact" w:before="6"/>
                          <w:ind w:left="290"/>
                          <w:rPr>
                            <w:sz w:val="12"/>
                          </w:rPr>
                        </w:pPr>
                        <w:r>
                          <w:rPr>
                            <w:sz w:val="12"/>
                          </w:rPr>
                          <w:t>5</w:t>
                        </w:r>
                      </w:p>
                    </w:tc>
                    <w:tc>
                      <w:tcPr>
                        <w:tcW w:w="60" w:type="dxa"/>
                        <w:tcBorders>
                          <w:top w:val="single" w:sz="4" w:space="0" w:color="000000"/>
                        </w:tcBorders>
                      </w:tcPr>
                      <w:p>
                        <w:pPr>
                          <w:pStyle w:val="TableParagraph"/>
                          <w:rPr>
                            <w:sz w:val="8"/>
                          </w:rPr>
                        </w:pPr>
                      </w:p>
                    </w:tc>
                    <w:tc>
                      <w:tcPr>
                        <w:tcW w:w="83" w:type="dxa"/>
                      </w:tcPr>
                      <w:p>
                        <w:pPr>
                          <w:pStyle w:val="TableParagraph"/>
                          <w:rPr>
                            <w:sz w:val="10"/>
                          </w:rPr>
                        </w:pPr>
                      </w:p>
                    </w:tc>
                    <w:tc>
                      <w:tcPr>
                        <w:tcW w:w="80" w:type="dxa"/>
                        <w:tcBorders>
                          <w:top w:val="single" w:sz="4" w:space="0" w:color="000000"/>
                        </w:tcBorders>
                      </w:tcPr>
                      <w:p>
                        <w:pPr>
                          <w:pStyle w:val="TableParagraph"/>
                          <w:rPr>
                            <w:sz w:val="8"/>
                          </w:rPr>
                        </w:pPr>
                      </w:p>
                    </w:tc>
                    <w:tc>
                      <w:tcPr>
                        <w:tcW w:w="700" w:type="dxa"/>
                      </w:tcPr>
                      <w:p>
                        <w:pPr>
                          <w:pStyle w:val="TableParagraph"/>
                          <w:spacing w:line="68" w:lineRule="exact"/>
                          <w:ind w:left="61"/>
                          <w:rPr>
                            <w:sz w:val="12"/>
                          </w:rPr>
                        </w:pPr>
                        <w:r>
                          <w:rPr>
                            <w:sz w:val="12"/>
                          </w:rPr>
                          <w:t>0</w:t>
                        </w:r>
                      </w:p>
                    </w:tc>
                    <w:tc>
                      <w:tcPr>
                        <w:tcW w:w="80" w:type="dxa"/>
                      </w:tcPr>
                      <w:p>
                        <w:pPr>
                          <w:pStyle w:val="TableParagraph"/>
                          <w:rPr>
                            <w:sz w:val="10"/>
                          </w:rPr>
                        </w:pPr>
                      </w:p>
                    </w:tc>
                    <w:tc>
                      <w:tcPr>
                        <w:tcW w:w="117" w:type="dxa"/>
                        <w:tcBorders>
                          <w:top w:val="single" w:sz="4" w:space="0" w:color="000000"/>
                        </w:tcBorders>
                      </w:tcPr>
                      <w:p>
                        <w:pPr>
                          <w:pStyle w:val="TableParagraph"/>
                          <w:spacing w:line="126" w:lineRule="exact" w:before="13"/>
                          <w:ind w:right="-72"/>
                          <w:jc w:val="right"/>
                          <w:rPr>
                            <w:sz w:val="12"/>
                          </w:rPr>
                        </w:pPr>
                        <w:r>
                          <w:rPr>
                            <w:sz w:val="12"/>
                          </w:rPr>
                          <w:t>0</w:t>
                        </w:r>
                      </w:p>
                    </w:tc>
                    <w:tc>
                      <w:tcPr>
                        <w:tcW w:w="340" w:type="dxa"/>
                        <w:tcBorders>
                          <w:top w:val="single" w:sz="4" w:space="0" w:color="000000"/>
                        </w:tcBorders>
                      </w:tcPr>
                      <w:p>
                        <w:pPr>
                          <w:pStyle w:val="TableParagraph"/>
                          <w:spacing w:line="126" w:lineRule="exact" w:before="13"/>
                          <w:ind w:right="-346"/>
                          <w:jc w:val="right"/>
                          <w:rPr>
                            <w:sz w:val="12"/>
                          </w:rPr>
                        </w:pPr>
                        <w:r>
                          <w:rPr>
                            <w:sz w:val="12"/>
                          </w:rPr>
                          <w:t>1</w:t>
                        </w:r>
                      </w:p>
                    </w:tc>
                    <w:tc>
                      <w:tcPr>
                        <w:tcW w:w="620" w:type="dxa"/>
                        <w:tcBorders>
                          <w:top w:val="single" w:sz="4" w:space="0" w:color="000000"/>
                        </w:tcBorders>
                      </w:tcPr>
                      <w:p>
                        <w:pPr>
                          <w:pStyle w:val="TableParagraph"/>
                          <w:spacing w:line="126" w:lineRule="exact" w:before="13"/>
                          <w:ind w:right="-346"/>
                          <w:jc w:val="right"/>
                          <w:rPr>
                            <w:sz w:val="12"/>
                          </w:rPr>
                        </w:pPr>
                        <w:r>
                          <w:rPr>
                            <w:sz w:val="12"/>
                          </w:rPr>
                          <w:t>2</w:t>
                        </w:r>
                      </w:p>
                    </w:tc>
                    <w:tc>
                      <w:tcPr>
                        <w:tcW w:w="487" w:type="dxa"/>
                        <w:tcBorders>
                          <w:top w:val="single" w:sz="4" w:space="0" w:color="000000"/>
                        </w:tcBorders>
                      </w:tcPr>
                      <w:p>
                        <w:pPr>
                          <w:pStyle w:val="TableParagraph"/>
                          <w:spacing w:line="126" w:lineRule="exact" w:before="13"/>
                          <w:ind w:right="-476"/>
                          <w:jc w:val="right"/>
                          <w:rPr>
                            <w:sz w:val="12"/>
                          </w:rPr>
                        </w:pPr>
                        <w:r>
                          <w:rPr>
                            <w:sz w:val="12"/>
                          </w:rPr>
                          <w:t>3</w:t>
                        </w:r>
                      </w:p>
                    </w:tc>
                    <w:tc>
                      <w:tcPr>
                        <w:tcW w:w="797" w:type="dxa"/>
                        <w:tcBorders>
                          <w:top w:val="single" w:sz="4" w:space="0" w:color="000000"/>
                        </w:tcBorders>
                      </w:tcPr>
                      <w:p>
                        <w:pPr>
                          <w:pStyle w:val="TableParagraph"/>
                          <w:spacing w:line="126" w:lineRule="exact" w:before="13"/>
                          <w:ind w:right="-303"/>
                          <w:jc w:val="right"/>
                          <w:rPr>
                            <w:sz w:val="12"/>
                          </w:rPr>
                        </w:pPr>
                        <w:r>
                          <w:rPr>
                            <w:sz w:val="12"/>
                          </w:rPr>
                          <w:t>4</w:t>
                        </w:r>
                      </w:p>
                    </w:tc>
                    <w:tc>
                      <w:tcPr>
                        <w:tcW w:w="587" w:type="dxa"/>
                        <w:tcBorders>
                          <w:top w:val="single" w:sz="4" w:space="0" w:color="000000"/>
                        </w:tcBorders>
                      </w:tcPr>
                      <w:p>
                        <w:pPr>
                          <w:pStyle w:val="TableParagraph"/>
                          <w:spacing w:line="126" w:lineRule="exact" w:before="13"/>
                          <w:ind w:right="-360"/>
                          <w:jc w:val="right"/>
                          <w:rPr>
                            <w:sz w:val="12"/>
                          </w:rPr>
                        </w:pPr>
                        <w:r>
                          <w:rPr>
                            <w:sz w:val="12"/>
                          </w:rPr>
                          <w:t>5</w:t>
                        </w:r>
                      </w:p>
                    </w:tc>
                    <w:tc>
                      <w:tcPr>
                        <w:tcW w:w="1053" w:type="dxa"/>
                        <w:gridSpan w:val="3"/>
                      </w:tcPr>
                      <w:p>
                        <w:pPr>
                          <w:pStyle w:val="TableParagraph"/>
                          <w:rPr>
                            <w:sz w:val="10"/>
                          </w:rPr>
                        </w:pPr>
                      </w:p>
                    </w:tc>
                  </w:tr>
                  <w:tr>
                    <w:trPr>
                      <w:trHeight w:val="172" w:hRule="atLeast"/>
                    </w:trPr>
                    <w:tc>
                      <w:tcPr>
                        <w:tcW w:w="100" w:type="dxa"/>
                      </w:tcPr>
                      <w:p>
                        <w:pPr>
                          <w:pStyle w:val="TableParagraph"/>
                          <w:rPr>
                            <w:sz w:val="10"/>
                          </w:rPr>
                        </w:pPr>
                      </w:p>
                    </w:tc>
                    <w:tc>
                      <w:tcPr>
                        <w:tcW w:w="57" w:type="dxa"/>
                      </w:tcPr>
                      <w:p>
                        <w:pPr>
                          <w:pStyle w:val="TableParagraph"/>
                          <w:rPr>
                            <w:sz w:val="10"/>
                          </w:rPr>
                        </w:pPr>
                      </w:p>
                    </w:tc>
                    <w:tc>
                      <w:tcPr>
                        <w:tcW w:w="60" w:type="dxa"/>
                      </w:tcPr>
                      <w:p>
                        <w:pPr>
                          <w:pStyle w:val="TableParagraph"/>
                          <w:rPr>
                            <w:sz w:val="10"/>
                          </w:rPr>
                        </w:pPr>
                      </w:p>
                    </w:tc>
                    <w:tc>
                      <w:tcPr>
                        <w:tcW w:w="910" w:type="dxa"/>
                      </w:tcPr>
                      <w:p>
                        <w:pPr>
                          <w:pStyle w:val="TableParagraph"/>
                          <w:rPr>
                            <w:sz w:val="10"/>
                          </w:rPr>
                        </w:pPr>
                      </w:p>
                    </w:tc>
                    <w:tc>
                      <w:tcPr>
                        <w:tcW w:w="529" w:type="dxa"/>
                      </w:tcPr>
                      <w:p>
                        <w:pPr>
                          <w:pStyle w:val="TableParagraph"/>
                          <w:rPr>
                            <w:sz w:val="10"/>
                          </w:rPr>
                        </w:pPr>
                      </w:p>
                    </w:tc>
                    <w:tc>
                      <w:tcPr>
                        <w:tcW w:w="796" w:type="dxa"/>
                      </w:tcPr>
                      <w:p>
                        <w:pPr>
                          <w:pStyle w:val="TableParagraph"/>
                          <w:spacing w:line="137" w:lineRule="exact"/>
                          <w:ind w:left="178" w:right="163"/>
                          <w:jc w:val="center"/>
                          <w:rPr>
                            <w:sz w:val="12"/>
                          </w:rPr>
                        </w:pPr>
                        <w:r>
                          <w:rPr>
                            <w:sz w:val="12"/>
                          </w:rPr>
                          <w:t>Inflation</w:t>
                        </w:r>
                      </w:p>
                    </w:tc>
                    <w:tc>
                      <w:tcPr>
                        <w:tcW w:w="534" w:type="dxa"/>
                      </w:tcPr>
                      <w:p>
                        <w:pPr>
                          <w:pStyle w:val="TableParagraph"/>
                          <w:rPr>
                            <w:sz w:val="10"/>
                          </w:rPr>
                        </w:pPr>
                      </w:p>
                    </w:tc>
                    <w:tc>
                      <w:tcPr>
                        <w:tcW w:w="910" w:type="dxa"/>
                      </w:tcPr>
                      <w:p>
                        <w:pPr>
                          <w:pStyle w:val="TableParagraph"/>
                          <w:rPr>
                            <w:sz w:val="10"/>
                          </w:rPr>
                        </w:pPr>
                      </w:p>
                    </w:tc>
                    <w:tc>
                      <w:tcPr>
                        <w:tcW w:w="60" w:type="dxa"/>
                      </w:tcPr>
                      <w:p>
                        <w:pPr>
                          <w:pStyle w:val="TableParagraph"/>
                          <w:rPr>
                            <w:sz w:val="10"/>
                          </w:rPr>
                        </w:pPr>
                      </w:p>
                    </w:tc>
                    <w:tc>
                      <w:tcPr>
                        <w:tcW w:w="83" w:type="dxa"/>
                      </w:tcPr>
                      <w:p>
                        <w:pPr>
                          <w:pStyle w:val="TableParagraph"/>
                          <w:rPr>
                            <w:sz w:val="10"/>
                          </w:rPr>
                        </w:pPr>
                      </w:p>
                    </w:tc>
                    <w:tc>
                      <w:tcPr>
                        <w:tcW w:w="80" w:type="dxa"/>
                      </w:tcPr>
                      <w:p>
                        <w:pPr>
                          <w:pStyle w:val="TableParagraph"/>
                          <w:rPr>
                            <w:sz w:val="10"/>
                          </w:rPr>
                        </w:pPr>
                      </w:p>
                    </w:tc>
                    <w:tc>
                      <w:tcPr>
                        <w:tcW w:w="700" w:type="dxa"/>
                      </w:tcPr>
                      <w:p>
                        <w:pPr>
                          <w:pStyle w:val="TableParagraph"/>
                          <w:rPr>
                            <w:sz w:val="10"/>
                          </w:rPr>
                        </w:pPr>
                      </w:p>
                    </w:tc>
                    <w:tc>
                      <w:tcPr>
                        <w:tcW w:w="80" w:type="dxa"/>
                      </w:tcPr>
                      <w:p>
                        <w:pPr>
                          <w:pStyle w:val="TableParagraph"/>
                          <w:rPr>
                            <w:sz w:val="10"/>
                          </w:rPr>
                        </w:pPr>
                      </w:p>
                    </w:tc>
                    <w:tc>
                      <w:tcPr>
                        <w:tcW w:w="117" w:type="dxa"/>
                      </w:tcPr>
                      <w:p>
                        <w:pPr>
                          <w:pStyle w:val="TableParagraph"/>
                          <w:rPr>
                            <w:sz w:val="10"/>
                          </w:rPr>
                        </w:pPr>
                      </w:p>
                    </w:tc>
                    <w:tc>
                      <w:tcPr>
                        <w:tcW w:w="340" w:type="dxa"/>
                      </w:tcPr>
                      <w:p>
                        <w:pPr>
                          <w:pStyle w:val="TableParagraph"/>
                          <w:rPr>
                            <w:sz w:val="10"/>
                          </w:rPr>
                        </w:pPr>
                      </w:p>
                    </w:tc>
                    <w:tc>
                      <w:tcPr>
                        <w:tcW w:w="620" w:type="dxa"/>
                      </w:tcPr>
                      <w:p>
                        <w:pPr>
                          <w:pStyle w:val="TableParagraph"/>
                          <w:rPr>
                            <w:sz w:val="10"/>
                          </w:rPr>
                        </w:pPr>
                      </w:p>
                    </w:tc>
                    <w:tc>
                      <w:tcPr>
                        <w:tcW w:w="487" w:type="dxa"/>
                      </w:tcPr>
                      <w:p>
                        <w:pPr>
                          <w:pStyle w:val="TableParagraph"/>
                          <w:spacing w:line="118" w:lineRule="exact" w:before="34"/>
                          <w:ind w:right="-562"/>
                          <w:jc w:val="right"/>
                          <w:rPr>
                            <w:sz w:val="12"/>
                          </w:rPr>
                        </w:pPr>
                        <w:r>
                          <w:rPr>
                            <w:sz w:val="12"/>
                          </w:rPr>
                          <w:t>Inflation</w:t>
                        </w:r>
                      </w:p>
                    </w:tc>
                    <w:tc>
                      <w:tcPr>
                        <w:tcW w:w="797" w:type="dxa"/>
                      </w:tcPr>
                      <w:p>
                        <w:pPr>
                          <w:pStyle w:val="TableParagraph"/>
                          <w:rPr>
                            <w:sz w:val="10"/>
                          </w:rPr>
                        </w:pPr>
                      </w:p>
                    </w:tc>
                    <w:tc>
                      <w:tcPr>
                        <w:tcW w:w="587" w:type="dxa"/>
                      </w:tcPr>
                      <w:p>
                        <w:pPr>
                          <w:pStyle w:val="TableParagraph"/>
                          <w:rPr>
                            <w:sz w:val="10"/>
                          </w:rPr>
                        </w:pPr>
                      </w:p>
                    </w:tc>
                    <w:tc>
                      <w:tcPr>
                        <w:tcW w:w="910" w:type="dxa"/>
                      </w:tcPr>
                      <w:p>
                        <w:pPr>
                          <w:pStyle w:val="TableParagraph"/>
                          <w:rPr>
                            <w:sz w:val="10"/>
                          </w:rPr>
                        </w:pPr>
                      </w:p>
                    </w:tc>
                    <w:tc>
                      <w:tcPr>
                        <w:tcW w:w="60" w:type="dxa"/>
                      </w:tcPr>
                      <w:p>
                        <w:pPr>
                          <w:pStyle w:val="TableParagraph"/>
                          <w:rPr>
                            <w:sz w:val="10"/>
                          </w:rPr>
                        </w:pPr>
                      </w:p>
                    </w:tc>
                    <w:tc>
                      <w:tcPr>
                        <w:tcW w:w="83" w:type="dxa"/>
                      </w:tcPr>
                      <w:p>
                        <w:pPr>
                          <w:pStyle w:val="TableParagraph"/>
                          <w:rPr>
                            <w:sz w:val="10"/>
                          </w:rPr>
                        </w:pPr>
                      </w:p>
                    </w:tc>
                  </w:tr>
                </w:tbl>
                <w:p>
                  <w:pPr>
                    <w:pStyle w:val="BodyText"/>
                  </w:pPr>
                </w:p>
              </w:txbxContent>
            </v:textbox>
            <w10:wrap type="none"/>
          </v:shape>
        </w:pict>
      </w:r>
      <w:r>
        <w:rPr>
          <w:sz w:val="12"/>
        </w:rPr>
        <w:t>0</w:t>
        <w:tab/>
        <w:t>6</w:t>
        <w:tab/>
        <w:t>6</w:t>
        <w:tab/>
      </w:r>
      <w:r>
        <w:rPr>
          <w:position w:val="8"/>
          <w:sz w:val="12"/>
        </w:rPr>
        <w:t>0</w:t>
      </w:r>
    </w:p>
    <w:p>
      <w:pPr>
        <w:pStyle w:val="BodyText"/>
        <w:rPr>
          <w:sz w:val="20"/>
        </w:rPr>
      </w:pPr>
    </w:p>
    <w:p>
      <w:pPr>
        <w:pStyle w:val="BodyText"/>
        <w:spacing w:before="10"/>
        <w:rPr>
          <w:sz w:val="22"/>
        </w:rPr>
      </w:pPr>
    </w:p>
    <w:p>
      <w:pPr>
        <w:tabs>
          <w:tab w:pos="1140" w:val="left" w:leader="none"/>
        </w:tabs>
        <w:spacing w:before="0"/>
        <w:ind w:left="180" w:right="0" w:firstLine="0"/>
        <w:jc w:val="left"/>
        <w:rPr>
          <w:sz w:val="16"/>
        </w:rPr>
      </w:pPr>
      <w:r>
        <w:rPr>
          <w:color w:val="231F20"/>
          <w:sz w:val="16"/>
        </w:rPr>
        <w:t>Source:</w:t>
        <w:tab/>
        <w:t>Bank of England.</w:t>
      </w:r>
    </w:p>
    <w:p>
      <w:pPr>
        <w:spacing w:line="208" w:lineRule="auto" w:before="155"/>
        <w:ind w:left="420" w:right="1179" w:hanging="240"/>
        <w:jc w:val="left"/>
        <w:rPr>
          <w:sz w:val="16"/>
        </w:rPr>
      </w:pPr>
      <w:r>
        <w:rPr>
          <w:color w:val="231F20"/>
          <w:sz w:val="16"/>
        </w:rPr>
        <w:t>(a) Probability of inflation being within ±0.05 percentage point of any given inflation rate, specified to one decimal place. For example, the probability of inflation being 2.5% (between 2.45% and 2.55%) in the current projection is around 4%.</w:t>
      </w:r>
    </w:p>
    <w:p>
      <w:pPr>
        <w:spacing w:after="0" w:line="208" w:lineRule="auto"/>
        <w:jc w:val="left"/>
        <w:rPr>
          <w:sz w:val="16"/>
        </w:rPr>
        <w:sectPr>
          <w:type w:val="continuous"/>
          <w:pgSz w:w="11880" w:h="16840"/>
          <w:pgMar w:top="1200" w:bottom="280" w:left="620" w:right="620"/>
        </w:sectPr>
      </w:pPr>
    </w:p>
    <w:p>
      <w:pPr>
        <w:pStyle w:val="BodyText"/>
        <w:rPr>
          <w:sz w:val="20"/>
        </w:rPr>
      </w:pPr>
    </w:p>
    <w:p>
      <w:pPr>
        <w:spacing w:after="0"/>
        <w:rPr>
          <w:sz w:val="20"/>
        </w:rPr>
        <w:sectPr>
          <w:headerReference w:type="even" r:id="rId94"/>
          <w:headerReference w:type="default" r:id="rId95"/>
          <w:footerReference w:type="even" r:id="rId96"/>
          <w:footerReference w:type="default" r:id="rId97"/>
          <w:pgSz w:w="11880" w:h="16840"/>
          <w:pgMar w:header="566" w:footer="597" w:top="760" w:bottom="780" w:left="620" w:right="620"/>
          <w:pgNumType w:start="48"/>
        </w:sectPr>
      </w:pPr>
    </w:p>
    <w:p>
      <w:pPr>
        <w:pStyle w:val="BodyText"/>
        <w:spacing w:before="6"/>
        <w:rPr>
          <w:sz w:val="20"/>
        </w:rPr>
      </w:pPr>
    </w:p>
    <w:p>
      <w:pPr>
        <w:pStyle w:val="Heading9"/>
        <w:spacing w:before="0"/>
      </w:pPr>
      <w:r>
        <w:rPr>
          <w:color w:val="0093C1"/>
        </w:rPr>
        <w:t>Table 6.A</w:t>
      </w:r>
    </w:p>
    <w:p>
      <w:pPr>
        <w:spacing w:before="10"/>
        <w:ind w:left="200" w:right="0" w:firstLine="0"/>
        <w:jc w:val="left"/>
        <w:rPr>
          <w:sz w:val="12"/>
        </w:rPr>
      </w:pPr>
      <w:r>
        <w:rPr>
          <w:b/>
          <w:color w:val="0093C1"/>
          <w:sz w:val="20"/>
        </w:rPr>
        <w:t>The MPC’s expectations for RPIX inflation</w:t>
      </w:r>
      <w:r>
        <w:rPr>
          <w:color w:val="231F20"/>
          <w:position w:val="4"/>
          <w:sz w:val="12"/>
        </w:rPr>
        <w:t>(a)</w:t>
      </w:r>
    </w:p>
    <w:p>
      <w:pPr>
        <w:spacing w:before="106"/>
        <w:ind w:left="200" w:right="0" w:firstLine="0"/>
        <w:jc w:val="left"/>
        <w:rPr>
          <w:sz w:val="14"/>
        </w:rPr>
      </w:pPr>
      <w:r>
        <w:rPr>
          <w:color w:val="231F20"/>
          <w:sz w:val="14"/>
        </w:rPr>
        <w:t>Probability, per cent</w:t>
      </w:r>
    </w:p>
    <w:p>
      <w:pPr>
        <w:tabs>
          <w:tab w:pos="3889" w:val="left" w:leader="none"/>
        </w:tabs>
        <w:spacing w:before="119"/>
        <w:ind w:left="1399" w:right="0" w:firstLine="0"/>
        <w:jc w:val="left"/>
        <w:rPr>
          <w:sz w:val="14"/>
        </w:rPr>
      </w:pPr>
      <w:r>
        <w:rPr>
          <w:color w:val="231F20"/>
          <w:sz w:val="14"/>
          <w:u w:val="single" w:color="231F20"/>
        </w:rPr>
        <w:t>Range:</w:t>
        <w:tab/>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863"/>
        <w:gridCol w:w="720"/>
        <w:gridCol w:w="720"/>
        <w:gridCol w:w="594"/>
      </w:tblGrid>
      <w:tr>
        <w:trPr>
          <w:trHeight w:val="287" w:hRule="atLeast"/>
        </w:trPr>
        <w:tc>
          <w:tcPr>
            <w:tcW w:w="893" w:type="dxa"/>
            <w:vMerge w:val="restart"/>
          </w:tcPr>
          <w:p>
            <w:pPr>
              <w:pStyle w:val="TableParagraph"/>
              <w:rPr>
                <w:sz w:val="20"/>
              </w:rPr>
            </w:pPr>
          </w:p>
        </w:tc>
        <w:tc>
          <w:tcPr>
            <w:tcW w:w="863" w:type="dxa"/>
          </w:tcPr>
          <w:p>
            <w:pPr>
              <w:pStyle w:val="TableParagraph"/>
              <w:spacing w:line="140" w:lineRule="exact" w:before="12"/>
              <w:ind w:left="356" w:right="230"/>
              <w:rPr>
                <w:sz w:val="14"/>
              </w:rPr>
            </w:pPr>
            <w:r>
              <w:rPr>
                <w:color w:val="231F20"/>
                <w:sz w:val="14"/>
              </w:rPr>
              <w:t>Less than</w:t>
            </w:r>
          </w:p>
        </w:tc>
        <w:tc>
          <w:tcPr>
            <w:tcW w:w="720" w:type="dxa"/>
          </w:tcPr>
          <w:p>
            <w:pPr>
              <w:pStyle w:val="TableParagraph"/>
              <w:spacing w:line="145" w:lineRule="exact"/>
              <w:ind w:left="214"/>
              <w:rPr>
                <w:sz w:val="14"/>
              </w:rPr>
            </w:pPr>
            <w:r>
              <w:rPr>
                <w:color w:val="231F20"/>
                <w:sz w:val="14"/>
              </w:rPr>
              <w:t>1.5%</w:t>
            </w:r>
          </w:p>
          <w:p>
            <w:pPr>
              <w:pStyle w:val="TableParagraph"/>
              <w:spacing w:line="123" w:lineRule="exact"/>
              <w:ind w:left="213"/>
              <w:rPr>
                <w:sz w:val="14"/>
              </w:rPr>
            </w:pPr>
            <w:r>
              <w:rPr>
                <w:color w:val="231F20"/>
                <w:sz w:val="14"/>
              </w:rPr>
              <w:t>to</w:t>
            </w:r>
          </w:p>
        </w:tc>
        <w:tc>
          <w:tcPr>
            <w:tcW w:w="720" w:type="dxa"/>
          </w:tcPr>
          <w:p>
            <w:pPr>
              <w:pStyle w:val="TableParagraph"/>
              <w:spacing w:line="145" w:lineRule="exact"/>
              <w:ind w:left="214"/>
              <w:rPr>
                <w:sz w:val="14"/>
              </w:rPr>
            </w:pPr>
            <w:r>
              <w:rPr>
                <w:color w:val="231F20"/>
                <w:sz w:val="14"/>
              </w:rPr>
              <w:t>2.5%</w:t>
            </w:r>
          </w:p>
          <w:p>
            <w:pPr>
              <w:pStyle w:val="TableParagraph"/>
              <w:spacing w:line="123" w:lineRule="exact"/>
              <w:ind w:left="214"/>
              <w:rPr>
                <w:sz w:val="14"/>
              </w:rPr>
            </w:pPr>
            <w:r>
              <w:rPr>
                <w:color w:val="231F20"/>
                <w:sz w:val="14"/>
              </w:rPr>
              <w:t>to</w:t>
            </w:r>
          </w:p>
        </w:tc>
        <w:tc>
          <w:tcPr>
            <w:tcW w:w="594" w:type="dxa"/>
          </w:tcPr>
          <w:p>
            <w:pPr>
              <w:pStyle w:val="TableParagraph"/>
              <w:spacing w:line="140" w:lineRule="exact" w:before="12"/>
              <w:ind w:left="214" w:right="57" w:hanging="1"/>
              <w:rPr>
                <w:sz w:val="14"/>
              </w:rPr>
            </w:pPr>
            <w:r>
              <w:rPr>
                <w:color w:val="231F20"/>
                <w:sz w:val="14"/>
              </w:rPr>
              <w:t>More than</w:t>
            </w:r>
          </w:p>
        </w:tc>
      </w:tr>
      <w:tr>
        <w:trPr>
          <w:trHeight w:val="206" w:hRule="atLeast"/>
        </w:trPr>
        <w:tc>
          <w:tcPr>
            <w:tcW w:w="893" w:type="dxa"/>
            <w:vMerge/>
            <w:tcBorders>
              <w:top w:val="nil"/>
            </w:tcBorders>
          </w:tcPr>
          <w:p>
            <w:pPr>
              <w:rPr>
                <w:sz w:val="2"/>
                <w:szCs w:val="2"/>
              </w:rPr>
            </w:pPr>
          </w:p>
        </w:tc>
        <w:tc>
          <w:tcPr>
            <w:tcW w:w="863" w:type="dxa"/>
          </w:tcPr>
          <w:p>
            <w:pPr>
              <w:pStyle w:val="TableParagraph"/>
              <w:spacing w:line="143" w:lineRule="exact"/>
              <w:ind w:left="336" w:right="194"/>
              <w:jc w:val="center"/>
              <w:rPr>
                <w:sz w:val="14"/>
              </w:rPr>
            </w:pPr>
            <w:r>
              <w:rPr>
                <w:color w:val="231F20"/>
                <w:sz w:val="14"/>
                <w:u w:val="single" w:color="231F20"/>
              </w:rPr>
              <w:t>1.5%</w:t>
            </w:r>
          </w:p>
        </w:tc>
        <w:tc>
          <w:tcPr>
            <w:tcW w:w="720" w:type="dxa"/>
          </w:tcPr>
          <w:p>
            <w:pPr>
              <w:pStyle w:val="TableParagraph"/>
              <w:spacing w:line="143" w:lineRule="exact"/>
              <w:ind w:right="212"/>
              <w:jc w:val="right"/>
              <w:rPr>
                <w:sz w:val="14"/>
              </w:rPr>
            </w:pPr>
            <w:r>
              <w:rPr>
                <w:color w:val="231F20"/>
                <w:sz w:val="14"/>
                <w:u w:val="single" w:color="231F20"/>
              </w:rPr>
              <w:t>2.5%</w:t>
            </w:r>
          </w:p>
        </w:tc>
        <w:tc>
          <w:tcPr>
            <w:tcW w:w="720" w:type="dxa"/>
          </w:tcPr>
          <w:p>
            <w:pPr>
              <w:pStyle w:val="TableParagraph"/>
              <w:spacing w:line="143" w:lineRule="exact"/>
              <w:ind w:right="212"/>
              <w:jc w:val="right"/>
              <w:rPr>
                <w:sz w:val="14"/>
              </w:rPr>
            </w:pPr>
            <w:r>
              <w:rPr>
                <w:color w:val="231F20"/>
                <w:sz w:val="14"/>
                <w:u w:val="single" w:color="231F20"/>
              </w:rPr>
              <w:t>3.5%</w:t>
            </w:r>
          </w:p>
        </w:tc>
        <w:tc>
          <w:tcPr>
            <w:tcW w:w="594" w:type="dxa"/>
          </w:tcPr>
          <w:p>
            <w:pPr>
              <w:pStyle w:val="TableParagraph"/>
              <w:spacing w:line="143" w:lineRule="exact"/>
              <w:ind w:right="48"/>
              <w:jc w:val="right"/>
              <w:rPr>
                <w:sz w:val="14"/>
              </w:rPr>
            </w:pPr>
            <w:r>
              <w:rPr>
                <w:color w:val="231F20"/>
                <w:sz w:val="14"/>
                <w:u w:val="single" w:color="231F20"/>
              </w:rPr>
              <w:t>3.5% </w:t>
            </w:r>
          </w:p>
        </w:tc>
      </w:tr>
      <w:tr>
        <w:trPr>
          <w:trHeight w:val="210" w:hRule="atLeast"/>
        </w:trPr>
        <w:tc>
          <w:tcPr>
            <w:tcW w:w="893" w:type="dxa"/>
          </w:tcPr>
          <w:p>
            <w:pPr>
              <w:pStyle w:val="TableParagraph"/>
              <w:spacing w:line="133" w:lineRule="exact" w:before="56"/>
              <w:ind w:left="50"/>
              <w:rPr>
                <w:sz w:val="14"/>
              </w:rPr>
            </w:pPr>
            <w:r>
              <w:rPr>
                <w:color w:val="231F20"/>
                <w:sz w:val="14"/>
              </w:rPr>
              <w:t>1998 Q4</w:t>
            </w:r>
          </w:p>
        </w:tc>
        <w:tc>
          <w:tcPr>
            <w:tcW w:w="863" w:type="dxa"/>
          </w:tcPr>
          <w:p>
            <w:pPr>
              <w:pStyle w:val="TableParagraph"/>
              <w:spacing w:line="133" w:lineRule="exact" w:before="56"/>
              <w:ind w:left="241"/>
              <w:jc w:val="center"/>
              <w:rPr>
                <w:sz w:val="14"/>
              </w:rPr>
            </w:pPr>
            <w:r>
              <w:rPr>
                <w:color w:val="231F20"/>
                <w:sz w:val="14"/>
              </w:rPr>
              <w:t>5</w:t>
            </w:r>
          </w:p>
        </w:tc>
        <w:tc>
          <w:tcPr>
            <w:tcW w:w="720" w:type="dxa"/>
          </w:tcPr>
          <w:p>
            <w:pPr>
              <w:pStyle w:val="TableParagraph"/>
              <w:spacing w:line="133" w:lineRule="exact" w:before="56"/>
              <w:ind w:right="233"/>
              <w:jc w:val="right"/>
              <w:rPr>
                <w:sz w:val="14"/>
              </w:rPr>
            </w:pPr>
            <w:r>
              <w:rPr>
                <w:color w:val="231F20"/>
                <w:sz w:val="14"/>
              </w:rPr>
              <w:t>48</w:t>
            </w:r>
          </w:p>
        </w:tc>
        <w:tc>
          <w:tcPr>
            <w:tcW w:w="720" w:type="dxa"/>
          </w:tcPr>
          <w:p>
            <w:pPr>
              <w:pStyle w:val="TableParagraph"/>
              <w:spacing w:line="133" w:lineRule="exact" w:before="56"/>
              <w:ind w:right="233"/>
              <w:jc w:val="right"/>
              <w:rPr>
                <w:sz w:val="14"/>
              </w:rPr>
            </w:pPr>
            <w:r>
              <w:rPr>
                <w:color w:val="231F20"/>
                <w:sz w:val="14"/>
              </w:rPr>
              <w:t>42</w:t>
            </w:r>
          </w:p>
        </w:tc>
        <w:tc>
          <w:tcPr>
            <w:tcW w:w="594" w:type="dxa"/>
          </w:tcPr>
          <w:p>
            <w:pPr>
              <w:pStyle w:val="TableParagraph"/>
              <w:spacing w:line="133" w:lineRule="exact" w:before="56"/>
              <w:ind w:right="117"/>
              <w:jc w:val="right"/>
              <w:rPr>
                <w:sz w:val="14"/>
              </w:rPr>
            </w:pPr>
            <w:r>
              <w:rPr>
                <w:color w:val="231F20"/>
                <w:sz w:val="14"/>
              </w:rPr>
              <w:t>5</w:t>
            </w:r>
          </w:p>
        </w:tc>
      </w:tr>
      <w:tr>
        <w:trPr>
          <w:trHeight w:val="140" w:hRule="atLeast"/>
        </w:trPr>
        <w:tc>
          <w:tcPr>
            <w:tcW w:w="893" w:type="dxa"/>
          </w:tcPr>
          <w:p>
            <w:pPr>
              <w:pStyle w:val="TableParagraph"/>
              <w:spacing w:line="120" w:lineRule="exact"/>
              <w:ind w:left="50"/>
              <w:rPr>
                <w:sz w:val="14"/>
              </w:rPr>
            </w:pPr>
            <w:r>
              <w:rPr>
                <w:color w:val="231F20"/>
                <w:sz w:val="14"/>
              </w:rPr>
              <w:t>1999 Q4</w:t>
            </w:r>
          </w:p>
        </w:tc>
        <w:tc>
          <w:tcPr>
            <w:tcW w:w="863" w:type="dxa"/>
          </w:tcPr>
          <w:p>
            <w:pPr>
              <w:pStyle w:val="TableParagraph"/>
              <w:spacing w:line="120" w:lineRule="exact"/>
              <w:ind w:left="241"/>
              <w:jc w:val="center"/>
              <w:rPr>
                <w:sz w:val="14"/>
              </w:rPr>
            </w:pPr>
            <w:r>
              <w:rPr>
                <w:color w:val="231F20"/>
                <w:sz w:val="14"/>
              </w:rPr>
              <w:t>7</w:t>
            </w:r>
          </w:p>
        </w:tc>
        <w:tc>
          <w:tcPr>
            <w:tcW w:w="720" w:type="dxa"/>
          </w:tcPr>
          <w:p>
            <w:pPr>
              <w:pStyle w:val="TableParagraph"/>
              <w:spacing w:line="120" w:lineRule="exact"/>
              <w:ind w:right="233"/>
              <w:jc w:val="right"/>
              <w:rPr>
                <w:sz w:val="14"/>
              </w:rPr>
            </w:pPr>
            <w:r>
              <w:rPr>
                <w:color w:val="231F20"/>
                <w:sz w:val="14"/>
              </w:rPr>
              <w:t>34</w:t>
            </w:r>
          </w:p>
        </w:tc>
        <w:tc>
          <w:tcPr>
            <w:tcW w:w="720" w:type="dxa"/>
          </w:tcPr>
          <w:p>
            <w:pPr>
              <w:pStyle w:val="TableParagraph"/>
              <w:spacing w:line="120" w:lineRule="exact"/>
              <w:ind w:right="233"/>
              <w:jc w:val="right"/>
              <w:rPr>
                <w:sz w:val="14"/>
              </w:rPr>
            </w:pPr>
            <w:r>
              <w:rPr>
                <w:color w:val="231F20"/>
                <w:sz w:val="14"/>
              </w:rPr>
              <w:t>40</w:t>
            </w:r>
          </w:p>
        </w:tc>
        <w:tc>
          <w:tcPr>
            <w:tcW w:w="594" w:type="dxa"/>
          </w:tcPr>
          <w:p>
            <w:pPr>
              <w:pStyle w:val="TableParagraph"/>
              <w:spacing w:line="120" w:lineRule="exact"/>
              <w:ind w:right="117"/>
              <w:jc w:val="right"/>
              <w:rPr>
                <w:sz w:val="14"/>
              </w:rPr>
            </w:pPr>
            <w:r>
              <w:rPr>
                <w:color w:val="231F20"/>
                <w:sz w:val="14"/>
              </w:rPr>
              <w:t>19</w:t>
            </w:r>
          </w:p>
        </w:tc>
      </w:tr>
      <w:tr>
        <w:trPr>
          <w:trHeight w:val="147" w:hRule="atLeast"/>
        </w:trPr>
        <w:tc>
          <w:tcPr>
            <w:tcW w:w="893" w:type="dxa"/>
          </w:tcPr>
          <w:p>
            <w:pPr>
              <w:pStyle w:val="TableParagraph"/>
              <w:spacing w:line="128" w:lineRule="exact"/>
              <w:ind w:left="50"/>
              <w:rPr>
                <w:sz w:val="14"/>
              </w:rPr>
            </w:pPr>
            <w:r>
              <w:rPr>
                <w:color w:val="231F20"/>
                <w:sz w:val="14"/>
              </w:rPr>
              <w:t>2000 Q1</w:t>
            </w:r>
          </w:p>
        </w:tc>
        <w:tc>
          <w:tcPr>
            <w:tcW w:w="863" w:type="dxa"/>
          </w:tcPr>
          <w:p>
            <w:pPr>
              <w:pStyle w:val="TableParagraph"/>
              <w:spacing w:line="128" w:lineRule="exact"/>
              <w:ind w:left="241"/>
              <w:jc w:val="center"/>
              <w:rPr>
                <w:sz w:val="14"/>
              </w:rPr>
            </w:pPr>
            <w:r>
              <w:rPr>
                <w:color w:val="231F20"/>
                <w:sz w:val="14"/>
              </w:rPr>
              <w:t>7</w:t>
            </w:r>
          </w:p>
        </w:tc>
        <w:tc>
          <w:tcPr>
            <w:tcW w:w="720" w:type="dxa"/>
          </w:tcPr>
          <w:p>
            <w:pPr>
              <w:pStyle w:val="TableParagraph"/>
              <w:spacing w:line="128" w:lineRule="exact"/>
              <w:ind w:right="233"/>
              <w:jc w:val="right"/>
              <w:rPr>
                <w:sz w:val="14"/>
              </w:rPr>
            </w:pPr>
            <w:r>
              <w:rPr>
                <w:color w:val="231F20"/>
                <w:sz w:val="14"/>
              </w:rPr>
              <w:t>28</w:t>
            </w:r>
          </w:p>
        </w:tc>
        <w:tc>
          <w:tcPr>
            <w:tcW w:w="720" w:type="dxa"/>
          </w:tcPr>
          <w:p>
            <w:pPr>
              <w:pStyle w:val="TableParagraph"/>
              <w:spacing w:line="128" w:lineRule="exact"/>
              <w:ind w:right="233"/>
              <w:jc w:val="right"/>
              <w:rPr>
                <w:sz w:val="14"/>
              </w:rPr>
            </w:pPr>
            <w:r>
              <w:rPr>
                <w:color w:val="231F20"/>
                <w:sz w:val="14"/>
              </w:rPr>
              <w:t>35</w:t>
            </w:r>
          </w:p>
        </w:tc>
        <w:tc>
          <w:tcPr>
            <w:tcW w:w="594" w:type="dxa"/>
          </w:tcPr>
          <w:p>
            <w:pPr>
              <w:pStyle w:val="TableParagraph"/>
              <w:spacing w:line="128" w:lineRule="exact"/>
              <w:ind w:right="117"/>
              <w:jc w:val="right"/>
              <w:rPr>
                <w:sz w:val="14"/>
              </w:rPr>
            </w:pPr>
            <w:r>
              <w:rPr>
                <w:color w:val="231F20"/>
                <w:sz w:val="14"/>
              </w:rPr>
              <w:t>30</w:t>
            </w:r>
          </w:p>
        </w:tc>
      </w:tr>
    </w:tbl>
    <w:p>
      <w:pPr>
        <w:spacing w:before="123"/>
        <w:ind w:left="200" w:right="0" w:firstLine="0"/>
        <w:jc w:val="left"/>
        <w:rPr>
          <w:sz w:val="12"/>
        </w:rPr>
      </w:pPr>
      <w:r>
        <w:rPr>
          <w:color w:val="231F20"/>
          <w:sz w:val="12"/>
        </w:rPr>
        <w:t>(a) These figures are from the same distribution as the inflation fan chart, Chart 6.2.</w:t>
      </w:r>
    </w:p>
    <w:p>
      <w:pPr>
        <w:pStyle w:val="Heading5"/>
        <w:spacing w:line="242" w:lineRule="auto" w:before="207"/>
        <w:ind w:left="200" w:right="8"/>
      </w:pPr>
      <w:r>
        <w:rPr/>
        <w:br w:type="column"/>
      </w:r>
      <w:r>
        <w:rPr>
          <w:color w:val="231F20"/>
        </w:rPr>
        <w:t>The inflation projection charts are complemented by Charts 6.4 and 6.5. These are produced from the same distributions as the inflation fan charts, and highlight the overall balance of risks at the end of the forecast period. Table 6.A shows the probabilities of inflation turning out to be above or below the target, compared with similar estimates made by outside forecasters (described in </w:t>
      </w:r>
      <w:hyperlink w:history="true" w:anchor="_bookmark34">
        <w:r>
          <w:rPr>
            <w:color w:val="231F20"/>
          </w:rPr>
          <w:t>Section 6.3).</w:t>
        </w:r>
      </w:hyperlink>
    </w:p>
    <w:p>
      <w:pPr>
        <w:pStyle w:val="BodyText"/>
        <w:rPr>
          <w:sz w:val="27"/>
        </w:rPr>
      </w:pPr>
    </w:p>
    <w:p>
      <w:pPr>
        <w:spacing w:line="242" w:lineRule="auto" w:before="0"/>
        <w:ind w:left="200" w:right="254" w:firstLine="0"/>
        <w:jc w:val="left"/>
        <w:rPr>
          <w:sz w:val="24"/>
        </w:rPr>
      </w:pPr>
      <w:r>
        <w:rPr>
          <w:color w:val="231F20"/>
          <w:sz w:val="24"/>
        </w:rPr>
        <w:t>Chart 6.6 shows an alternative projection, based on the assumption that official interest rates follow market expectations. As Chart 1.9 showed, the central market expectation is that UK interest rates will fall to around 7% by the end of 1998 and to below 6</w:t>
      </w:r>
      <w:r>
        <w:rPr>
          <w:color w:val="231F20"/>
          <w:position w:val="8"/>
          <w:sz w:val="12"/>
        </w:rPr>
        <w:t>1</w:t>
      </w:r>
      <w:r>
        <w:rPr>
          <w:color w:val="231F20"/>
          <w:sz w:val="24"/>
        </w:rPr>
        <w:t>/</w:t>
      </w:r>
      <w:r>
        <w:rPr>
          <w:color w:val="231F20"/>
          <w:sz w:val="12"/>
        </w:rPr>
        <w:t>2</w:t>
      </w:r>
      <w:r>
        <w:rPr>
          <w:color w:val="231F20"/>
          <w:sz w:val="24"/>
        </w:rPr>
        <w:t>% by the end of 1999. This alternative assumption gives rise to a stronger profile for demand and output, and consequently a higher central projection for inflation at the two-year horizon. Chart 6.7 shows the corresponding output projection made under the market interest rate assumption.</w:t>
      </w:r>
    </w:p>
    <w:p>
      <w:pPr>
        <w:spacing w:after="0" w:line="242" w:lineRule="auto"/>
        <w:jc w:val="left"/>
        <w:rPr>
          <w:sz w:val="24"/>
        </w:rPr>
        <w:sectPr>
          <w:type w:val="continuous"/>
          <w:pgSz w:w="11880" w:h="16840"/>
          <w:pgMar w:top="1200" w:bottom="280" w:left="620" w:right="620"/>
          <w:cols w:num="2" w:equalWidth="0">
            <w:col w:w="4339" w:space="461"/>
            <w:col w:w="584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after="0"/>
        <w:rPr>
          <w:sz w:val="29"/>
        </w:rPr>
        <w:sectPr>
          <w:type w:val="continuous"/>
          <w:pgSz w:w="11880" w:h="16840"/>
          <w:pgMar w:top="1200" w:bottom="280" w:left="620" w:right="620"/>
        </w:sectPr>
      </w:pPr>
    </w:p>
    <w:p>
      <w:pPr>
        <w:pStyle w:val="Heading9"/>
        <w:spacing w:before="92"/>
        <w:ind w:left="202"/>
      </w:pPr>
      <w:r>
        <w:rPr>
          <w:color w:val="0093C1"/>
        </w:rPr>
        <w:t>Chart 6.6</w:t>
      </w:r>
    </w:p>
    <w:p>
      <w:pPr>
        <w:spacing w:line="249" w:lineRule="auto" w:before="10"/>
        <w:ind w:left="202" w:right="431" w:firstLine="0"/>
        <w:jc w:val="left"/>
        <w:rPr>
          <w:b/>
          <w:sz w:val="20"/>
        </w:rPr>
      </w:pPr>
      <w:r>
        <w:rPr>
          <w:b/>
          <w:color w:val="0093C1"/>
          <w:sz w:val="20"/>
        </w:rPr>
        <w:t>Current RPIX inflation projection based on market interest rate expectations</w:t>
      </w:r>
    </w:p>
    <w:p>
      <w:pPr>
        <w:spacing w:line="114" w:lineRule="exact" w:before="159"/>
        <w:ind w:left="2018" w:right="0" w:firstLine="0"/>
        <w:jc w:val="left"/>
        <w:rPr>
          <w:sz w:val="12"/>
        </w:rPr>
      </w:pPr>
      <w:r>
        <w:rPr>
          <w:sz w:val="12"/>
        </w:rPr>
        <w:t>Percentage increase in prices on a year earlier</w:t>
      </w:r>
    </w:p>
    <w:p>
      <w:pPr>
        <w:spacing w:line="114" w:lineRule="exact" w:before="0"/>
        <w:ind w:left="4291" w:right="0" w:firstLine="0"/>
        <w:jc w:val="left"/>
        <w:rPr>
          <w:sz w:val="12"/>
        </w:rPr>
      </w:pPr>
      <w:r>
        <w:rPr/>
        <w:pict>
          <v:line style="position:absolute;mso-position-horizontal-relative:page;mso-position-vertical-relative:paragraph;z-index:16011264" from="241.577003pt,2.111965pt" to="235.828003pt,2.111965pt" stroked="true" strokeweight=".5pt" strokecolor="#000000">
            <v:stroke dashstyle="solid"/>
            <w10:wrap type="none"/>
          </v:line>
        </w:pict>
      </w:r>
      <w:r>
        <w:rPr/>
        <w:pict>
          <v:line style="position:absolute;mso-position-horizontal-relative:page;mso-position-vertical-relative:paragraph;z-index:16011776" from="51.014999pt,2.049965pt" to="45.264999pt,2.049965pt" stroked="true" strokeweight=".5pt" strokecolor="#000000">
            <v:stroke dashstyle="solid"/>
            <w10:wrap type="none"/>
          </v:line>
        </w:pict>
      </w:r>
      <w:r>
        <w:rPr>
          <w:sz w:val="12"/>
        </w:rPr>
        <w:t>6</w:t>
      </w:r>
    </w:p>
    <w:p>
      <w:pPr>
        <w:pStyle w:val="Heading9"/>
        <w:spacing w:before="92"/>
        <w:ind w:left="202"/>
      </w:pPr>
      <w:r>
        <w:rPr>
          <w:b w:val="0"/>
        </w:rPr>
        <w:br w:type="column"/>
      </w:r>
      <w:r>
        <w:rPr>
          <w:color w:val="0093C1"/>
        </w:rPr>
        <w:t>Chart 6.7</w:t>
      </w:r>
    </w:p>
    <w:p>
      <w:pPr>
        <w:spacing w:line="249" w:lineRule="auto" w:before="10"/>
        <w:ind w:left="202" w:right="1365" w:firstLine="0"/>
        <w:jc w:val="left"/>
        <w:rPr>
          <w:b/>
          <w:sz w:val="20"/>
        </w:rPr>
      </w:pPr>
      <w:r>
        <w:rPr>
          <w:b/>
          <w:color w:val="0093C1"/>
          <w:sz w:val="20"/>
        </w:rPr>
        <w:t>Current GDP projection based on market interest rate expectations</w:t>
      </w:r>
    </w:p>
    <w:p>
      <w:pPr>
        <w:spacing w:before="159"/>
        <w:ind w:left="2100" w:right="0" w:firstLine="0"/>
        <w:jc w:val="left"/>
        <w:rPr>
          <w:sz w:val="12"/>
        </w:rPr>
      </w:pPr>
      <w:r>
        <w:rPr/>
        <w:pict>
          <v:line style="position:absolute;mso-position-horizontal-relative:page;mso-position-vertical-relative:paragraph;z-index:-20075520" from="485.984985pt,15.884753pt" to="480.234985pt,15.884753pt" stroked="true" strokeweight=".5pt" strokecolor="#000000">
            <v:stroke dashstyle="solid"/>
            <w10:wrap type="none"/>
          </v:line>
        </w:pict>
      </w:r>
      <w:r>
        <w:rPr/>
        <w:pict>
          <v:line style="position:absolute;mso-position-horizontal-relative:page;mso-position-vertical-relative:paragraph;z-index:16014848" from="295.673004pt,15.634753pt" to="289.923004pt,15.634753pt" stroked="true" strokeweight=".5pt" strokecolor="#000000">
            <v:stroke dashstyle="solid"/>
            <w10:wrap type="none"/>
          </v:line>
        </w:pict>
      </w:r>
      <w:r>
        <w:rPr>
          <w:sz w:val="12"/>
        </w:rPr>
        <w:t>Percentage increase in output on a year earlier </w:t>
      </w:r>
      <w:r>
        <w:rPr>
          <w:position w:val="-7"/>
          <w:sz w:val="12"/>
        </w:rPr>
        <w:t>6</w:t>
      </w:r>
    </w:p>
    <w:p>
      <w:pPr>
        <w:spacing w:after="0"/>
        <w:jc w:val="left"/>
        <w:rPr>
          <w:sz w:val="12"/>
        </w:rPr>
        <w:sectPr>
          <w:type w:val="continuous"/>
          <w:pgSz w:w="11880" w:h="16840"/>
          <w:pgMar w:top="1200" w:bottom="280" w:left="620" w:right="620"/>
          <w:cols w:num="2" w:equalWidth="0">
            <w:col w:w="4392" w:space="395"/>
            <w:col w:w="5853"/>
          </w:cols>
        </w:sectPr>
      </w:pPr>
    </w:p>
    <w:p>
      <w:pPr>
        <w:pStyle w:val="BodyText"/>
        <w:spacing w:before="11"/>
        <w:rPr>
          <w:sz w:val="15"/>
        </w:rPr>
      </w:pPr>
    </w:p>
    <w:p>
      <w:pPr>
        <w:tabs>
          <w:tab w:pos="9160" w:val="left" w:leader="none"/>
        </w:tabs>
        <w:spacing w:before="95"/>
        <w:ind w:left="4291" w:right="0" w:firstLine="0"/>
        <w:jc w:val="left"/>
        <w:rPr>
          <w:sz w:val="12"/>
        </w:rPr>
      </w:pPr>
      <w:r>
        <w:rPr/>
        <w:pict>
          <v:group style="position:absolute;margin-left:45.264999pt;margin-top:-5.261437pt;width:196.35pt;height:102.75pt;mso-position-horizontal-relative:page;mso-position-vertical-relative:paragraph;z-index:16009728" coordorigin="905,-105" coordsize="3927,2055">
            <v:shape style="position:absolute;left:3666;top:217;width:997;height:1732" coordorigin="3667,218" coordsize="997,1732" path="m4663,1834l4227,1834,4339,1921,4451,1937,4439,1937,4551,1948,4663,1949,4663,1834xm3890,1099l3779,1241,3667,1336,3779,1555,3891,1647,4003,1820,4115,1856,4227,1834,4663,1834,4663,1114,3990,1114,3890,1099xm4663,218l4551,453,4439,679,4327,900,4215,1049,4103,1072,3990,1114,4663,1114,4663,218xm3891,1098l3878,1098,3890,1099,3891,1098xe" filled="true" fillcolor="#fee7de" stroked="false">
              <v:path arrowok="t"/>
              <v:fill type="solid"/>
            </v:shape>
            <v:shape style="position:absolute;left:3654;top:448;width:1010;height:1391" coordorigin="3654,449" coordsize="1010,1391" path="m4663,449l4551,644,4439,831,4327,1012,4215,1122,4103,1145,3990,1180,3878,1148,3766,1270,3654,1335,3766,1530,3878,1604,3990,1766,4103,1796,4215,1773,4327,1839,4439,1833,4551,1821,4663,1800,4663,449xe" filled="true" fillcolor="#fcd3c4" stroked="false">
              <v:path arrowok="t"/>
              <v:fill type="solid"/>
            </v:shape>
            <v:shape style="position:absolute;left:3654;top:605;width:1010;height:1171" coordorigin="3654,605" coordsize="1010,1171" path="m4663,605l4551,777,4439,941,4327,1099,4215,1185,4103,1207,3990,1236,3878,1192,3766,1294,3654,1334,3766,1509,3878,1568,3990,1720,4103,1745,4215,1722,4327,1776,4439,1757,4551,1733,4663,1700,4663,605xe" filled="true" fillcolor="#fabeac" stroked="false">
              <v:path arrowok="t"/>
              <v:fill type="solid"/>
            </v:shape>
            <v:shape style="position:absolute;left:3654;top:735;width:1010;height:991" coordorigin="3654,735" coordsize="1010,991" path="m4663,735l4551,888,4439,1031,4327,1169,4215,1236,4103,1259,3990,1282,3878,1228,3766,1316,3654,1336,3766,1493,3878,1539,3990,1682,4103,1703,4215,1680,4327,1726,4439,1700,4551,1668,4663,1628,4663,735xe" filled="true" fillcolor="#f8aa95" stroked="false">
              <v:path arrowok="t"/>
              <v:fill type="solid"/>
            </v:shape>
            <v:shape style="position:absolute;left:3654;top:842;width:1010;height:836" coordorigin="3654,843" coordsize="1010,836" path="m4663,843l4551,979,4439,1107,4327,1229,4215,1279,4103,1302,3990,1321,3878,1258,3766,1333,3654,1335,3766,1477,3878,1510,3990,1645,4103,1662,4215,1640,4327,1678,4439,1645,4551,1606,4663,1558,4663,843xe" filled="true" fillcolor="#f69780" stroked="false">
              <v:path arrowok="t"/>
              <v:fill type="solid"/>
            </v:shape>
            <v:shape style="position:absolute;left:3654;top:937;width:1010;height:700" coordorigin="3654,937" coordsize="1010,700" path="m4663,937l4551,1061,4439,1177,4327,1286,4215,1325,4103,1347,3990,1362,3878,1290,3766,1351,3654,1335,3766,1464,3878,1487,3990,1615,4103,1629,4215,1606,4327,1637,4439,1596,4551,1550,4663,1495,4663,937xe" filled="true" fillcolor="#f5846d" stroked="false">
              <v:path arrowok="t"/>
              <v:fill type="solid"/>
            </v:shape>
            <v:shape style="position:absolute;left:3654;top:1028;width:1010;height:570" coordorigin="3654,1029" coordsize="1010,570" path="m4663,1029l4551,1140,4439,1243,4327,1341,4215,1367,4103,1389,3990,1400,3878,1319,3766,1367,3654,1333,3766,1449,3878,1464,3990,1586,4103,1597,4215,1574,4327,1599,4439,1552,4551,1499,4663,1438,4663,1029xe" filled="true" fillcolor="#f3715b" stroked="false">
              <v:path arrowok="t"/>
              <v:fill type="solid"/>
            </v:shape>
            <v:shape style="position:absolute;left:3654;top:1115;width:1010;height:450" coordorigin="3654,1116" coordsize="1010,450" path="m4663,1116l4551,1215,4439,1306,4327,1391,4215,1404,4103,1427,3990,1434,3878,1346,3766,1383,3654,1336,3766,1439,3878,1443,3990,1558,4103,1565,4215,1542,4327,1562,4439,1510,4551,1453,4663,1387,4663,1116xe" filled="true" fillcolor="#f15b4a" stroked="false">
              <v:path arrowok="t"/>
              <v:fill type="solid"/>
            </v:shape>
            <v:shape style="position:absolute;left:3654;top:1199;width:1010;height:336" coordorigin="3654,1199" coordsize="1010,336" path="m4663,1199l4551,1287,4439,1367,4327,1441,4215,1443,4103,1466,3990,1469,3878,1373,3766,1399,3654,1336,3766,1426,3878,1422,3990,1531,4103,1535,4215,1512,4327,1526,4439,1468,4551,1404,4663,1332,4663,1199xe" filled="true" fillcolor="#ed1b2d" stroked="false">
              <v:path arrowok="t"/>
              <v:fill type="solid"/>
            </v:shape>
            <v:shape style="position:absolute;left:1073;top:-96;width:785;height:1471" coordorigin="1073,-95" coordsize="785,1471" path="m1185,92l1073,-95m1297,620l1185,92m1409,867l1297,620m1522,1039l1409,867m1634,1306l1522,1039m1746,1173l1634,1306m1858,1375l1746,1173e" filled="false" stroked="true" strokeweight="1pt" strokecolor="#ed1b2d">
              <v:path arrowok="t"/>
              <v:stroke dashstyle="solid"/>
            </v:shape>
            <v:line style="position:absolute" from="1848,1370" to="1980,1370" stroked="true" strokeweight="1.493pt" strokecolor="#ed1b2d">
              <v:stroke dashstyle="solid"/>
            </v:line>
            <v:shape style="position:absolute;left:1970;top:1251;width:673;height:375" coordorigin="1970,1252" coordsize="673,375" path="m2082,1508l1970,1365m2194,1626l2082,1508m2306,1592l2194,1626m2418,1321l2306,1592m2531,1340l2418,1321m2643,1252l2531,1340e" filled="false" stroked="true" strokeweight="1pt" strokecolor="#ed1b2d">
              <v:path arrowok="t"/>
              <v:stroke dashstyle="solid"/>
            </v:shape>
            <v:line style="position:absolute" from="2633,1254" to="2765,1254" stroked="true" strokeweight="1.246pt" strokecolor="#ed1b2d">
              <v:stroke dashstyle="solid"/>
            </v:line>
            <v:shape style="position:absolute;left:2754;top:1107;width:897;height:328" coordorigin="2755,1107" coordsize="897,328" path="m2867,1301l2755,1256m2979,1321l2867,1301m3091,1286l2979,1321m3203,1107l3091,1286m3315,1286l3203,1107m3428,1434l3315,1286m3540,1311l3428,1434m3652,1335l3540,1311e" filled="false" stroked="true" strokeweight="1pt" strokecolor="#ed1b2d">
              <v:path arrowok="t"/>
              <v:stroke dashstyle="solid"/>
            </v:shape>
            <v:shape style="position:absolute;left:905;top:237;width:3927;height:1482" coordorigin="905,237" coordsize="3927,1482" path="m4832,1718l4717,1718m4832,1225l4717,1225m4832,732l4717,732m4832,238l4717,238m1020,1717l905,1717m1020,1224l905,1224m1020,730l905,730m1020,237l905,237e" filled="false" stroked="true" strokeweight=".5pt" strokecolor="#000000">
              <v:path arrowok="t"/>
              <v:stroke dashstyle="solid"/>
            </v:shape>
            <w10:wrap type="none"/>
          </v:group>
        </w:pict>
      </w:r>
      <w:r>
        <w:rPr/>
        <w:pict>
          <v:group style="position:absolute;margin-left:289.298004pt;margin-top:1.175563pt;width:197pt;height:113.9pt;mso-position-horizontal-relative:page;mso-position-vertical-relative:paragraph;z-index:-20077056" coordorigin="5786,24" coordsize="3940,2278">
            <v:shape style="position:absolute;left:8198;top:23;width:1333;height:2278" coordorigin="8198,24" coordsize="1333,2278" path="m9530,24l9382,208,9234,424,9086,685,8938,880,8790,1016,8642,1115,8494,1018,8346,856,8198,946,8346,1140,8494,1586,8642,1967,8790,2152,8938,2301,9086,2284,9234,2200,9382,2162,9530,2155,9530,24xe" filled="true" fillcolor="#dbeae4" stroked="false">
              <v:path arrowok="t"/>
              <v:fill type="solid"/>
            </v:shape>
            <v:shape style="position:absolute;left:8202;top:248;width:1332;height:1888" coordorigin="8202,248" coordsize="1332,1888" path="m9534,248l9386,414,9238,610,9090,853,8942,1028,8794,1134,8646,1202,8498,1075,8350,883,8202,942,8350,1104,8498,1518,8646,1867,8794,2020,8942,2136,9090,2099,9238,1995,9386,1937,9534,1910,9534,248xe" filled="true" fillcolor="#bfdbcf" stroked="false">
              <v:path arrowok="t"/>
              <v:fill type="solid"/>
            </v:shape>
            <v:shape style="position:absolute;left:8202;top:408;width:1332;height:1622" coordorigin="8202,409" coordsize="1332,1622" path="m9534,409l9386,561,9238,744,9090,972,8942,1134,8794,1219,8646,1267,8498,1119,8350,907,8202,947,8350,1086,8498,1478,8646,1805,8794,1936,8942,2030,9090,1981,9238,1864,9386,1793,9534,1753,9534,409xe" filled="true" fillcolor="#a4cdbd" stroked="false">
              <v:path arrowok="t"/>
              <v:fill type="solid"/>
            </v:shape>
            <v:shape style="position:absolute;left:8202;top:529;width:1332;height:1415" coordorigin="8202,530" coordsize="1332,1415" path="m9534,530l9386,672,9238,846,9090,1065,8942,1217,8794,1285,8646,1316,8498,1152,8350,923,8202,945,8350,1068,8498,1443,8646,1753,8794,1867,8942,1944,9090,1883,9238,1755,9386,1672,9534,1621,9534,530xe" filled="true" fillcolor="#8abfab" stroked="false">
              <v:path arrowok="t"/>
              <v:fill type="solid"/>
            </v:shape>
            <v:shape style="position:absolute;left:8202;top:633;width:1332;height:1237" coordorigin="8202,634" coordsize="1332,1237" path="m9534,634l9386,768,9238,932,9090,1143,8942,1287,8794,1342,8646,1359,8498,1181,8350,938,8202,948,8350,1055,8498,1415,8646,1709,8794,1808,8942,1870,9090,1799,9238,1662,9386,1570,9534,1509,9534,634xe" filled="true" fillcolor="#6fb39a" stroked="false">
              <v:path arrowok="t"/>
              <v:fill type="solid"/>
            </v:shape>
            <v:shape style="position:absolute;left:8202;top:733;width:1332;height:1077" coordorigin="8202,734" coordsize="1332,1077" path="m9534,734l9386,859,9238,1016,9090,1218,8942,1353,8794,1395,8646,1400,8498,1210,8350,954,8202,951,8350,1046,8498,1392,8646,1674,8794,1761,8942,1810,9090,1731,9238,1585,9386,1484,9534,1415,9534,734xe" filled="true" fillcolor="#53a78b" stroked="false">
              <v:path arrowok="t"/>
              <v:fill type="solid"/>
            </v:shape>
            <v:shape style="position:absolute;left:8202;top:812;width:1332;height:929" coordorigin="8202,813" coordsize="1332,929" path="m9534,813l9386,932,9238,1082,9090,1278,8942,1407,8794,1437,8646,1430,8498,1228,8350,960,8202,945,8350,1027,8498,1361,8646,1631,8794,1704,8942,1741,9090,1654,9238,1501,9386,1393,9534,1316,9534,813xe" filled="true" fillcolor="#309d7d" stroked="false">
              <v:path arrowok="t"/>
              <v:fill type="solid"/>
            </v:shape>
            <v:shape style="position:absolute;left:8202;top:899;width:1332;height:785" coordorigin="8202,900" coordsize="1332,785" path="m9534,900l9386,1012,9238,1154,9090,1343,8942,1464,8794,1483,8646,1466,8498,1252,8350,974,8202,947,8350,1018,8498,1340,8646,1598,8794,1659,8942,1684,9090,1590,9238,1429,9386,1314,9534,1230,9534,900xe" filled="true" fillcolor="#00936f" stroked="false">
              <v:path arrowok="t"/>
              <v:fill type="solid"/>
            </v:shape>
            <v:shape style="position:absolute;left:8202;top:948;width:1332;height:678" coordorigin="8202,948" coordsize="1332,678" path="m8202,948l8350,1007,8498,1317,8646,1563,8794,1613,8942,1626,9090,1525,9238,1358,9386,1237,9534,1146,9534,981,9386,1085,9238,1221,9090,1402,8942,1516,8794,1525,8646,1497,8498,1273,8350,985,8202,948xe" filled="true" fillcolor="#008256" stroked="false">
              <v:path arrowok="t"/>
              <v:fill type="solid"/>
            </v:shape>
            <v:shape style="position:absolute;left:5979;top:185;width:296;height:589" coordorigin="5980,185" coordsize="296,589" path="m6128,372l5980,774m6276,185l6128,372e" filled="false" stroked="true" strokeweight="1pt" strokecolor="#008256">
              <v:path arrowok="t"/>
              <v:stroke dashstyle="solid"/>
            </v:shape>
            <v:line style="position:absolute" from="6266,187" to="6434,187" stroked="true" strokeweight="1.196pt" strokecolor="#008256">
              <v:stroke dashstyle="solid"/>
            </v:line>
            <v:shape style="position:absolute;left:6423;top:189;width:1776;height:1232" coordorigin="6424,189" coordsize="1776,1232" path="m6572,581l6424,189m6720,1065l6572,581m6868,1381l6720,1065m7016,1421l6868,1381m7164,1357l7016,1421m7312,1227l7164,1357m7460,1190l7312,1227m7608,1012l7460,1190m7756,1035l7608,1012m7904,795l7756,1035m8052,698l7904,795m8200,947l8052,698e" filled="false" stroked="true" strokeweight="1pt" strokecolor="#008256">
              <v:path arrowok="t"/>
              <v:stroke dashstyle="solid"/>
            </v:shape>
            <v:shape style="position:absolute;left:5785;top:168;width:3940;height:2114" coordorigin="5786,169" coordsize="3940,2114" path="m5909,1857l5794,1857m5916,1434l5801,1434m5916,1010l5801,1010m5909,582l5794,582m5922,169l5807,169m9713,1857l9598,1857m9720,1432l9605,1432m9720,2282l9605,2282m9726,1007l9611,1007m9720,582l9605,582m9720,172l9605,172m5901,2277l5786,2277e" filled="false" stroked="true" strokeweight=".5pt" strokecolor="#000000">
              <v:path arrowok="t"/>
              <v:stroke dashstyle="solid"/>
            </v:shape>
            <v:shape style="position:absolute;left:5785;top:23;width:3940;height:2278"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6"/>
                      <w:rPr>
                        <w:sz w:val="16"/>
                      </w:rPr>
                    </w:pPr>
                  </w:p>
                  <w:p>
                    <w:pPr>
                      <w:tabs>
                        <w:tab w:pos="3748" w:val="left" w:leader="none"/>
                      </w:tabs>
                      <w:spacing w:before="0"/>
                      <w:ind w:left="207" w:right="0" w:firstLine="0"/>
                      <w:jc w:val="left"/>
                      <w:rPr>
                        <w:sz w:val="12"/>
                      </w:rPr>
                    </w:pPr>
                    <w:r>
                      <w:rPr>
                        <w:sz w:val="12"/>
                        <w:u w:val="single"/>
                      </w:rPr>
                      <w:t> </w:t>
                      <w:tab/>
                    </w:r>
                  </w:p>
                </w:txbxContent>
              </v:textbox>
              <w10:wrap type="none"/>
            </v:shape>
            <w10:wrap type="none"/>
          </v:group>
        </w:pict>
      </w:r>
      <w:r>
        <w:rPr>
          <w:position w:val="-7"/>
          <w:sz w:val="12"/>
        </w:rPr>
        <w:t>5</w:t>
        <w:tab/>
      </w:r>
      <w:r>
        <w:rPr>
          <w:sz w:val="12"/>
        </w:rPr>
        <w:t>5</w:t>
      </w:r>
    </w:p>
    <w:p>
      <w:pPr>
        <w:pStyle w:val="BodyText"/>
        <w:spacing w:before="1"/>
        <w:rPr>
          <w:sz w:val="17"/>
        </w:rPr>
      </w:pPr>
    </w:p>
    <w:p>
      <w:pPr>
        <w:spacing w:before="0"/>
        <w:ind w:left="7741" w:right="0" w:firstLine="0"/>
        <w:jc w:val="center"/>
        <w:rPr>
          <w:sz w:val="12"/>
        </w:rPr>
      </w:pPr>
      <w:r>
        <w:rPr>
          <w:sz w:val="12"/>
        </w:rPr>
        <w:t>4</w:t>
      </w:r>
    </w:p>
    <w:p>
      <w:pPr>
        <w:spacing w:before="18"/>
        <w:ind w:left="4291" w:right="0" w:firstLine="0"/>
        <w:jc w:val="left"/>
        <w:rPr>
          <w:sz w:val="12"/>
        </w:rPr>
      </w:pPr>
      <w:r>
        <w:rPr>
          <w:sz w:val="12"/>
        </w:rPr>
        <w:t>4</w:t>
      </w:r>
    </w:p>
    <w:p>
      <w:pPr>
        <w:pStyle w:val="BodyText"/>
        <w:spacing w:before="5"/>
        <w:rPr>
          <w:sz w:val="11"/>
        </w:rPr>
      </w:pPr>
    </w:p>
    <w:p>
      <w:pPr>
        <w:spacing w:before="0"/>
        <w:ind w:left="7741" w:right="0" w:firstLine="0"/>
        <w:jc w:val="center"/>
        <w:rPr>
          <w:sz w:val="12"/>
        </w:rPr>
      </w:pPr>
      <w:r>
        <w:rPr>
          <w:sz w:val="12"/>
        </w:rPr>
        <w:t>3</w:t>
      </w:r>
    </w:p>
    <w:p>
      <w:pPr>
        <w:spacing w:before="86"/>
        <w:ind w:left="4291" w:right="0" w:firstLine="0"/>
        <w:jc w:val="left"/>
        <w:rPr>
          <w:sz w:val="12"/>
        </w:rPr>
      </w:pPr>
      <w:r>
        <w:rPr>
          <w:sz w:val="12"/>
        </w:rPr>
        <w:t>3</w:t>
      </w:r>
    </w:p>
    <w:p>
      <w:pPr>
        <w:spacing w:before="53"/>
        <w:ind w:left="7741" w:right="0" w:firstLine="0"/>
        <w:jc w:val="center"/>
        <w:rPr>
          <w:sz w:val="12"/>
        </w:rPr>
      </w:pPr>
      <w:r>
        <w:rPr>
          <w:sz w:val="12"/>
        </w:rPr>
        <w:t>2</w:t>
      </w:r>
    </w:p>
    <w:p>
      <w:pPr>
        <w:spacing w:after="0"/>
        <w:jc w:val="center"/>
        <w:rPr>
          <w:sz w:val="12"/>
        </w:rPr>
        <w:sectPr>
          <w:type w:val="continuous"/>
          <w:pgSz w:w="11880" w:h="16840"/>
          <w:pgMar w:top="1200" w:bottom="280" w:left="620" w:right="620"/>
        </w:sectPr>
      </w:pPr>
    </w:p>
    <w:p>
      <w:pPr>
        <w:pStyle w:val="BodyText"/>
        <w:rPr>
          <w:sz w:val="20"/>
        </w:rPr>
      </w:pPr>
    </w:p>
    <w:p>
      <w:pPr>
        <w:pStyle w:val="BodyText"/>
        <w:rPr>
          <w:sz w:val="20"/>
        </w:rPr>
      </w:pPr>
    </w:p>
    <w:p>
      <w:pPr>
        <w:pStyle w:val="BodyText"/>
        <w:spacing w:before="4"/>
        <w:rPr>
          <w:sz w:val="22"/>
        </w:rPr>
      </w:pPr>
    </w:p>
    <w:p>
      <w:pPr>
        <w:pStyle w:val="BodyText"/>
        <w:spacing w:line="20" w:lineRule="exact"/>
        <w:ind w:left="280"/>
        <w:rPr>
          <w:sz w:val="2"/>
        </w:rPr>
      </w:pPr>
      <w:r>
        <w:rPr>
          <w:sz w:val="2"/>
        </w:rPr>
        <w:pict>
          <v:group style="width:5.75pt;height:.5pt;mso-position-horizontal-relative:char;mso-position-vertical-relative:line" coordorigin="0,0" coordsize="115,10">
            <v:line style="position:absolute" from="115,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tabs>
          <w:tab w:pos="1321" w:val="left" w:leader="none"/>
          <w:tab w:pos="1963" w:val="left" w:leader="none"/>
          <w:tab w:pos="2555" w:val="left" w:leader="none"/>
          <w:tab w:pos="3155" w:val="left" w:leader="none"/>
          <w:tab w:pos="3713" w:val="left" w:leader="none"/>
        </w:tabs>
        <w:spacing w:before="92"/>
        <w:ind w:left="588" w:right="0" w:firstLine="0"/>
        <w:jc w:val="left"/>
        <w:rPr>
          <w:sz w:val="12"/>
        </w:rPr>
      </w:pPr>
      <w:r>
        <w:rPr>
          <w:sz w:val="12"/>
        </w:rPr>
        <w:t>1994</w:t>
        <w:tab/>
        <w:t>95</w:t>
        <w:tab/>
        <w:t>96</w:t>
        <w:tab/>
        <w:t>97</w:t>
        <w:tab/>
        <w:t>98</w:t>
        <w:tab/>
      </w:r>
      <w:r>
        <w:rPr>
          <w:spacing w:val="-10"/>
          <w:sz w:val="12"/>
        </w:rPr>
        <w:t>99</w:t>
      </w:r>
    </w:p>
    <w:p>
      <w:pPr>
        <w:pStyle w:val="BodyText"/>
        <w:spacing w:before="3"/>
        <w:rPr>
          <w:sz w:val="14"/>
        </w:rPr>
      </w:pPr>
      <w:r>
        <w:rPr/>
        <w:br w:type="column"/>
      </w:r>
      <w:r>
        <w:rPr>
          <w:sz w:val="14"/>
        </w:rPr>
      </w:r>
    </w:p>
    <w:p>
      <w:pPr>
        <w:spacing w:before="0"/>
        <w:ind w:left="418" w:right="0" w:firstLine="0"/>
        <w:jc w:val="left"/>
        <w:rPr>
          <w:sz w:val="12"/>
        </w:rPr>
      </w:pPr>
      <w:r>
        <w:rPr>
          <w:sz w:val="12"/>
        </w:rPr>
        <w:t>2</w:t>
      </w:r>
    </w:p>
    <w:p>
      <w:pPr>
        <w:pStyle w:val="BodyText"/>
        <w:rPr>
          <w:sz w:val="12"/>
        </w:rPr>
      </w:pPr>
    </w:p>
    <w:p>
      <w:pPr>
        <w:pStyle w:val="BodyText"/>
        <w:rPr>
          <w:sz w:val="12"/>
        </w:rPr>
      </w:pPr>
    </w:p>
    <w:p>
      <w:pPr>
        <w:spacing w:before="80"/>
        <w:ind w:left="418" w:right="0" w:firstLine="0"/>
        <w:jc w:val="left"/>
        <w:rPr>
          <w:sz w:val="12"/>
        </w:rPr>
      </w:pPr>
      <w:r>
        <w:rPr/>
        <w:pict>
          <v:line style="position:absolute;mso-position-horizontal-relative:page;mso-position-vertical-relative:paragraph;z-index:16010752" from="241.577003pt,7.288768pt" to="235.828003pt,7.288768pt" stroked="true" strokeweight=".5pt" strokecolor="#000000">
            <v:stroke dashstyle="solid"/>
            <w10:wrap type="none"/>
          </v:line>
        </w:pict>
      </w:r>
      <w:r>
        <w:rPr>
          <w:sz w:val="12"/>
        </w:rPr>
        <w:t>1</w:t>
      </w:r>
    </w:p>
    <w:p>
      <w:pPr>
        <w:pStyle w:val="BodyText"/>
        <w:rPr>
          <w:sz w:val="12"/>
        </w:rPr>
      </w:pPr>
    </w:p>
    <w:p>
      <w:pPr>
        <w:pStyle w:val="BodyText"/>
        <w:rPr>
          <w:sz w:val="12"/>
        </w:rPr>
      </w:pPr>
    </w:p>
    <w:p>
      <w:pPr>
        <w:spacing w:line="115" w:lineRule="exact" w:before="79"/>
        <w:ind w:left="418" w:right="0" w:firstLine="0"/>
        <w:jc w:val="left"/>
        <w:rPr>
          <w:sz w:val="12"/>
        </w:rPr>
      </w:pPr>
      <w:r>
        <w:rPr/>
        <w:pict>
          <v:shape style="position:absolute;margin-left:45.014999pt;margin-top:1.827562pt;width:197pt;height:5.9pt;mso-position-horizontal-relative:page;mso-position-vertical-relative:paragraph;z-index:16010240" coordorigin="900,37" coordsize="3940,118" path="m1100,150l4667,150m1084,150l1084,43m1196,150l1196,96m1308,150l1308,96m1420,150l1420,96m1532,150l1532,43m1644,150l1644,96m1756,150l1756,96m1868,150l1868,96m1981,150l1981,43m2093,150l2093,96m2205,150l2205,96m2317,150l2317,96m2429,150l2429,43m2541,150l2541,96m2653,150l2653,96m2765,150l2765,96m2878,150l2878,43m2990,150l2990,96m3102,150l3102,96m3214,150l3214,96m3326,150l3326,43m3438,150l3438,96m3550,150l3550,96m3662,154l3662,100m900,137l1018,137m4840,145l4725,145m3775,144l3775,37m3888,144l3888,97m4000,144l4000,97m4112,144l4112,97m4225,144l4225,37m4330,147l4330,100m4442,147l4442,100m4554,147l4554,100m4675,151l4675,43e" filled="false" stroked="true" strokeweight=".5pt" strokecolor="#000000">
            <v:path arrowok="t"/>
            <v:stroke dashstyle="solid"/>
            <w10:wrap type="none"/>
          </v:shape>
        </w:pict>
      </w:r>
      <w:r>
        <w:rPr>
          <w:sz w:val="12"/>
        </w:rPr>
        <w:t>0</w:t>
      </w:r>
    </w:p>
    <w:p>
      <w:pPr>
        <w:spacing w:line="115" w:lineRule="exact" w:before="0"/>
        <w:ind w:left="81" w:right="0" w:firstLine="0"/>
        <w:jc w:val="left"/>
        <w:rPr>
          <w:sz w:val="12"/>
        </w:rPr>
      </w:pPr>
      <w:r>
        <w:rPr>
          <w:sz w:val="12"/>
        </w:rPr>
        <w:t>2000</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2"/>
        <w:rPr>
          <w:sz w:val="22"/>
        </w:rPr>
      </w:pPr>
      <w:r>
        <w:rPr/>
        <w:pict>
          <v:shape style="position:absolute;margin-left:288.984985pt;margin-top:14.97087pt;width:5.75pt;height:.1pt;mso-position-horizontal-relative:page;mso-position-vertical-relative:paragraph;z-index:-15448064;mso-wrap-distance-left:0;mso-wrap-distance-right:0" coordorigin="5780,299" coordsize="115,0" path="m5895,299l5780,299e" filled="false" stroked="true" strokeweight=".5pt" strokecolor="#000000">
            <v:path arrowok="t"/>
            <v:stroke dashstyle="solid"/>
            <w10:wrap type="topAndBottom"/>
          </v:shape>
        </w:pict>
      </w:r>
    </w:p>
    <w:p>
      <w:pPr>
        <w:tabs>
          <w:tab w:pos="1271" w:val="left" w:leader="none"/>
          <w:tab w:pos="1876" w:val="left" w:leader="none"/>
          <w:tab w:pos="2411" w:val="left" w:leader="none"/>
          <w:tab w:pos="3030" w:val="left" w:leader="none"/>
          <w:tab w:pos="3607" w:val="left" w:leader="none"/>
        </w:tabs>
        <w:spacing w:before="17"/>
        <w:ind w:left="588" w:right="0" w:firstLine="0"/>
        <w:jc w:val="left"/>
        <w:rPr>
          <w:sz w:val="12"/>
        </w:rPr>
      </w:pPr>
      <w:r>
        <w:rPr>
          <w:sz w:val="12"/>
        </w:rPr>
        <w:t>1994</w:t>
        <w:tab/>
        <w:t>95</w:t>
        <w:tab/>
        <w:t>96</w:t>
        <w:tab/>
        <w:t>97</w:t>
        <w:tab/>
        <w:t>98</w:t>
        <w:tab/>
      </w:r>
      <w:r>
        <w:rPr>
          <w:spacing w:val="-10"/>
          <w:sz w:val="12"/>
        </w:rPr>
        <w:t>99</w:t>
      </w:r>
    </w:p>
    <w:p>
      <w:pPr>
        <w:pStyle w:val="BodyText"/>
        <w:rPr>
          <w:sz w:val="12"/>
        </w:rPr>
      </w:pPr>
      <w:r>
        <w:rPr/>
        <w:br w:type="column"/>
      </w:r>
      <w:r>
        <w:rPr>
          <w:sz w:val="12"/>
        </w:rPr>
      </w:r>
    </w:p>
    <w:p>
      <w:pPr>
        <w:pStyle w:val="BodyText"/>
        <w:spacing w:before="6"/>
        <w:rPr>
          <w:sz w:val="12"/>
        </w:rPr>
      </w:pPr>
    </w:p>
    <w:p>
      <w:pPr>
        <w:spacing w:before="0"/>
        <w:ind w:left="492" w:right="0" w:firstLine="0"/>
        <w:jc w:val="left"/>
        <w:rPr>
          <w:sz w:val="12"/>
        </w:rPr>
      </w:pPr>
      <w:r>
        <w:rPr>
          <w:sz w:val="12"/>
        </w:rPr>
        <w:t>1</w:t>
      </w:r>
    </w:p>
    <w:p>
      <w:pPr>
        <w:spacing w:before="50"/>
        <w:ind w:left="423" w:right="0" w:firstLine="0"/>
        <w:jc w:val="left"/>
        <w:rPr>
          <w:sz w:val="16"/>
        </w:rPr>
      </w:pPr>
      <w:r>
        <w:rPr>
          <w:sz w:val="16"/>
        </w:rPr>
        <w:t>+</w:t>
      </w:r>
    </w:p>
    <w:p>
      <w:pPr>
        <w:spacing w:before="68"/>
        <w:ind w:left="492" w:right="0" w:firstLine="0"/>
        <w:jc w:val="left"/>
        <w:rPr>
          <w:sz w:val="12"/>
        </w:rPr>
      </w:pPr>
      <w:r>
        <w:rPr>
          <w:sz w:val="12"/>
        </w:rPr>
        <w:t>0</w:t>
      </w:r>
    </w:p>
    <w:p>
      <w:pPr>
        <w:spacing w:before="10"/>
        <w:ind w:left="435" w:right="0" w:firstLine="0"/>
        <w:jc w:val="left"/>
        <w:rPr>
          <w:sz w:val="16"/>
        </w:rPr>
      </w:pPr>
      <w:r>
        <w:rPr>
          <w:sz w:val="16"/>
        </w:rPr>
        <w:t>–</w:t>
      </w:r>
    </w:p>
    <w:p>
      <w:pPr>
        <w:spacing w:line="136" w:lineRule="exact" w:before="83"/>
        <w:ind w:left="492" w:right="0" w:firstLine="0"/>
        <w:jc w:val="left"/>
        <w:rPr>
          <w:sz w:val="12"/>
        </w:rPr>
      </w:pPr>
      <w:r>
        <w:rPr/>
        <w:pict>
          <v:shape style="position:absolute;margin-left:298.527008pt;margin-top:3.241761pt;width:178.45pt;height:5.75pt;mso-position-horizontal-relative:page;mso-position-vertical-relative:paragraph;z-index:16013312" coordorigin="5971,65" coordsize="3569,115" path="m5971,172l9539,172m5973,172l5973,65m6121,172l6121,98m6269,172l6269,98m6417,172l6417,98m6565,172l6565,65m6713,172l6713,98m6861,172l6861,98m7009,172l7009,98m7157,172l7157,65m7305,172l7305,98m7453,172l7453,98m7601,172l7601,98m7749,169l7749,68m7897,172l7897,98m8045,172l8045,98m8193,172l8193,98m8341,166l8341,65m8489,172l8489,98m8637,172l8637,98m8785,172l8785,98m8933,172l8933,65m9081,172l9081,98m9229,172l9229,98m9377,176l9377,102m9533,179l9533,72e" filled="false" stroked="true" strokeweight=".5pt" strokecolor="#000000">
            <v:path arrowok="t"/>
            <v:stroke dashstyle="solid"/>
            <w10:wrap type="none"/>
          </v:shape>
        </w:pict>
      </w:r>
      <w:r>
        <w:rPr/>
        <w:pict>
          <v:line style="position:absolute;mso-position-horizontal-relative:page;mso-position-vertical-relative:paragraph;z-index:16013824" from="486.298004pt,8.251760pt" to="480.548004pt,8.251760pt" stroked="true" strokeweight=".5pt" strokecolor="#000000">
            <v:stroke dashstyle="solid"/>
            <w10:wrap type="none"/>
          </v:line>
        </w:pict>
      </w:r>
      <w:r>
        <w:rPr>
          <w:sz w:val="12"/>
        </w:rPr>
        <w:t>1</w:t>
      </w:r>
    </w:p>
    <w:p>
      <w:pPr>
        <w:spacing w:line="136" w:lineRule="exact" w:before="0"/>
        <w:ind w:left="71" w:right="0" w:firstLine="0"/>
        <w:jc w:val="left"/>
        <w:rPr>
          <w:sz w:val="12"/>
        </w:rPr>
      </w:pPr>
      <w:r>
        <w:rPr>
          <w:sz w:val="12"/>
        </w:rPr>
        <w:t>2000</w:t>
      </w:r>
    </w:p>
    <w:p>
      <w:pPr>
        <w:spacing w:after="0" w:line="136" w:lineRule="exact"/>
        <w:jc w:val="left"/>
        <w:rPr>
          <w:sz w:val="12"/>
        </w:rPr>
        <w:sectPr>
          <w:type w:val="continuous"/>
          <w:pgSz w:w="11880" w:h="16840"/>
          <w:pgMar w:top="1200" w:bottom="280" w:left="620" w:right="620"/>
          <w:cols w:num="4" w:equalWidth="0">
            <w:col w:w="3834" w:space="40"/>
            <w:col w:w="519" w:space="509"/>
            <w:col w:w="3728" w:space="39"/>
            <w:col w:w="1971"/>
          </w:cols>
        </w:sectPr>
      </w:pPr>
    </w:p>
    <w:p>
      <w:pPr>
        <w:pStyle w:val="BodyText"/>
        <w:spacing w:before="6"/>
        <w:rPr>
          <w:sz w:val="29"/>
        </w:rPr>
      </w:pPr>
    </w:p>
    <w:p>
      <w:pPr>
        <w:spacing w:after="0"/>
        <w:rPr>
          <w:sz w:val="29"/>
        </w:rPr>
        <w:sectPr>
          <w:pgSz w:w="11880" w:h="16840"/>
          <w:pgMar w:header="566" w:footer="597" w:top="760" w:bottom="780" w:left="620" w:right="620"/>
        </w:sectPr>
      </w:pPr>
    </w:p>
    <w:p>
      <w:pPr>
        <w:pStyle w:val="Heading9"/>
        <w:spacing w:before="127"/>
      </w:pPr>
      <w:bookmarkStart w:name="Other forecasts" w:id="85"/>
      <w:bookmarkEnd w:id="85"/>
      <w:r>
        <w:rPr>
          <w:b w:val="0"/>
        </w:rPr>
      </w:r>
      <w:bookmarkStart w:name="_bookmark33" w:id="86"/>
      <w:bookmarkEnd w:id="86"/>
      <w:r>
        <w:rPr>
          <w:b w:val="0"/>
        </w:rPr>
      </w:r>
      <w:bookmarkStart w:name="_bookmark34" w:id="87"/>
      <w:bookmarkEnd w:id="87"/>
      <w:r>
        <w:rPr>
          <w:b w:val="0"/>
        </w:rPr>
      </w:r>
      <w:r>
        <w:rPr>
          <w:color w:val="0093C1"/>
        </w:rPr>
        <w:t>Chart 6.8</w:t>
      </w:r>
    </w:p>
    <w:p>
      <w:pPr>
        <w:spacing w:line="249" w:lineRule="auto" w:before="10"/>
        <w:ind w:left="200" w:right="21" w:firstLine="0"/>
        <w:jc w:val="left"/>
        <w:rPr>
          <w:b/>
          <w:sz w:val="20"/>
        </w:rPr>
      </w:pPr>
      <w:r>
        <w:rPr>
          <w:b/>
          <w:color w:val="0093C1"/>
          <w:sz w:val="20"/>
        </w:rPr>
        <w:t>Distribution of RPIX inflation forecasts for 2000 Q1</w:t>
      </w:r>
    </w:p>
    <w:p>
      <w:pPr>
        <w:pStyle w:val="ListParagraph"/>
        <w:numPr>
          <w:ilvl w:val="1"/>
          <w:numId w:val="28"/>
        </w:numPr>
        <w:tabs>
          <w:tab w:pos="3649" w:val="left" w:leader="none"/>
          <w:tab w:pos="3650" w:val="left" w:leader="none"/>
          <w:tab w:pos="5699" w:val="left" w:leader="none"/>
        </w:tabs>
        <w:spacing w:line="240" w:lineRule="auto" w:before="88" w:after="0"/>
        <w:ind w:left="3649" w:right="0" w:hanging="3450"/>
        <w:jc w:val="left"/>
        <w:rPr>
          <w:b/>
          <w:sz w:val="28"/>
        </w:rPr>
      </w:pPr>
      <w:r>
        <w:rPr>
          <w:b/>
          <w:color w:val="009483"/>
          <w:sz w:val="28"/>
          <w:u w:val="thick" w:color="0093C1"/>
        </w:rPr>
        <w:br w:type="column"/>
        <w:t>Other</w:t>
      </w:r>
      <w:r>
        <w:rPr>
          <w:b/>
          <w:color w:val="009483"/>
          <w:spacing w:val="-13"/>
          <w:sz w:val="28"/>
          <w:u w:val="thick" w:color="0093C1"/>
        </w:rPr>
        <w:t> </w:t>
      </w:r>
      <w:r>
        <w:rPr>
          <w:b/>
          <w:color w:val="009483"/>
          <w:sz w:val="28"/>
          <w:u w:val="thick" w:color="0093C1"/>
        </w:rPr>
        <w:t>forecasts</w:t>
        <w:tab/>
      </w:r>
    </w:p>
    <w:p>
      <w:pPr>
        <w:spacing w:line="243" w:lineRule="exact" w:before="264"/>
        <w:ind w:left="200" w:right="0" w:firstLine="0"/>
        <w:jc w:val="left"/>
        <w:rPr>
          <w:sz w:val="24"/>
        </w:rPr>
      </w:pPr>
      <w:r>
        <w:rPr>
          <w:color w:val="231F20"/>
          <w:sz w:val="24"/>
        </w:rPr>
        <w:t>To assist comparisons, some changes have been made</w:t>
      </w:r>
    </w:p>
    <w:p>
      <w:pPr>
        <w:spacing w:after="0" w:line="243" w:lineRule="exact"/>
        <w:jc w:val="left"/>
        <w:rPr>
          <w:sz w:val="24"/>
        </w:rPr>
        <w:sectPr>
          <w:type w:val="continuous"/>
          <w:pgSz w:w="11880" w:h="16840"/>
          <w:pgMar w:top="1200" w:bottom="280" w:left="620" w:right="620"/>
          <w:cols w:num="2" w:equalWidth="0">
            <w:col w:w="3924" w:space="842"/>
            <w:col w:w="5874"/>
          </w:cols>
        </w:sectPr>
      </w:pPr>
    </w:p>
    <w:p>
      <w:pPr>
        <w:pStyle w:val="BodyText"/>
        <w:spacing w:before="5"/>
        <w:rPr>
          <w:sz w:val="11"/>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208" w:lineRule="auto" w:before="0"/>
        <w:ind w:left="950" w:right="-20" w:hanging="60"/>
        <w:jc w:val="left"/>
        <w:rPr>
          <w:sz w:val="12"/>
        </w:rPr>
      </w:pPr>
      <w:r>
        <w:rPr>
          <w:sz w:val="12"/>
        </w:rPr>
        <w:t>Lower quartile and median</w:t>
      </w:r>
    </w:p>
    <w:p>
      <w:pPr>
        <w:pStyle w:val="BodyText"/>
        <w:spacing w:before="4"/>
        <w:rPr>
          <w:sz w:val="5"/>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1"/>
        </w:rPr>
      </w:pPr>
      <w:r>
        <w:rPr/>
        <w:pict>
          <v:shape style="position:absolute;margin-left:43pt;margin-top:14.293623pt;width:5pt;height:.1pt;mso-position-horizontal-relative:page;mso-position-vertical-relative:paragraph;z-index:-15440896;mso-wrap-distance-left:0;mso-wrap-distance-right:0" coordorigin="860,286" coordsize="100,0" path="m960,286l860,286e" filled="false" stroked="true" strokeweight=".5pt" strokecolor="#000000">
            <v:path arrowok="t"/>
            <v:stroke dashstyle="solid"/>
            <w10:wrap type="topAndBottom"/>
          </v:shape>
        </w:pict>
      </w:r>
      <w:r>
        <w:rPr/>
        <w:pict>
          <v:shape style="position:absolute;margin-left:43pt;margin-top:29.293623pt;width:5pt;height:.1pt;mso-position-horizontal-relative:page;mso-position-vertical-relative:paragraph;z-index:-15440384;mso-wrap-distance-left:0;mso-wrap-distance-right:0" coordorigin="860,586" coordsize="100,0" path="m960,586l860,586e" filled="false" stroked="true" strokeweight=".5pt" strokecolor="#000000">
            <v:path arrowok="t"/>
            <v:stroke dashstyle="solid"/>
            <w10:wrap type="topAndBottom"/>
          </v:shape>
        </w:pict>
      </w:r>
      <w:r>
        <w:rPr/>
        <w:pict>
          <v:shape style="position:absolute;margin-left:43pt;margin-top:44.293625pt;width:5pt;height:.1pt;mso-position-horizontal-relative:page;mso-position-vertical-relative:paragraph;z-index:-15439872;mso-wrap-distance-left:0;mso-wrap-distance-right:0" coordorigin="860,886" coordsize="100,0" path="m960,886l860,886e" filled="false" stroked="true" strokeweight=".5pt" strokecolor="#000000">
            <v:path arrowok="t"/>
            <v:stroke dashstyle="solid"/>
            <w10:wrap type="topAndBottom"/>
          </v:shape>
        </w:pict>
      </w:r>
      <w:r>
        <w:rPr/>
        <w:pict>
          <v:shape style="position:absolute;margin-left:43pt;margin-top:59.293625pt;width:5pt;height:.1pt;mso-position-horizontal-relative:page;mso-position-vertical-relative:paragraph;z-index:-15439360;mso-wrap-distance-left:0;mso-wrap-distance-right:0" coordorigin="860,1186" coordsize="100,0" path="m960,1186l860,1186e" filled="false" stroked="true" strokeweight=".5pt" strokecolor="#000000">
            <v:path arrowok="t"/>
            <v:stroke dashstyle="solid"/>
            <w10:wrap type="topAndBottom"/>
          </v:shape>
        </w:pict>
      </w:r>
      <w:r>
        <w:rPr/>
        <w:pict>
          <v:shape style="position:absolute;margin-left:43pt;margin-top:74.293625pt;width:5pt;height:.1pt;mso-position-horizontal-relative:page;mso-position-vertical-relative:paragraph;z-index:-15438848;mso-wrap-distance-left:0;mso-wrap-distance-right:0" coordorigin="860,1486" coordsize="100,0" path="m960,1486l860,1486e" filled="false" stroked="true" strokeweight=".5pt" strokecolor="#000000">
            <v:path arrowok="t"/>
            <v:stroke dashstyle="solid"/>
            <w10:wrap type="topAndBottom"/>
          </v:shape>
        </w:pict>
      </w:r>
      <w:r>
        <w:rPr/>
        <w:pict>
          <v:shape style="position:absolute;margin-left:43pt;margin-top:89.293625pt;width:5pt;height:.1pt;mso-position-horizontal-relative:page;mso-position-vertical-relative:paragraph;z-index:-15438336;mso-wrap-distance-left:0;mso-wrap-distance-right:0" coordorigin="860,1786" coordsize="100,0" path="m960,1786l860,1786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9"/>
        </w:rPr>
      </w:pPr>
    </w:p>
    <w:p>
      <w:pPr>
        <w:pStyle w:val="BodyText"/>
        <w:spacing w:before="3"/>
        <w:rPr>
          <w:sz w:val="11"/>
        </w:rPr>
      </w:pPr>
      <w:r>
        <w:rPr/>
        <w:br w:type="column"/>
      </w:r>
      <w:r>
        <w:rPr>
          <w:sz w:val="11"/>
        </w:rPr>
      </w:r>
    </w:p>
    <w:p>
      <w:pPr>
        <w:spacing w:line="208" w:lineRule="auto" w:before="0"/>
        <w:ind w:left="210" w:right="-20" w:hanging="60"/>
        <w:jc w:val="left"/>
        <w:rPr>
          <w:sz w:val="12"/>
        </w:rPr>
      </w:pPr>
      <w:r>
        <w:rPr>
          <w:sz w:val="12"/>
        </w:rPr>
        <w:t>Upper quartile</w:t>
      </w:r>
    </w:p>
    <w:p>
      <w:pPr>
        <w:spacing w:line="228" w:lineRule="auto" w:before="0"/>
        <w:ind w:left="420" w:right="0" w:firstLine="0"/>
        <w:jc w:val="left"/>
        <w:rPr>
          <w:sz w:val="12"/>
        </w:rPr>
      </w:pPr>
      <w:r>
        <w:rPr/>
        <w:br w:type="column"/>
      </w:r>
      <w:r>
        <w:rPr>
          <w:sz w:val="12"/>
        </w:rPr>
        <w:t>Number of foreca</w:t>
      </w:r>
      <w:r>
        <w:rPr>
          <w:sz w:val="12"/>
          <w:u w:val="single"/>
        </w:rPr>
        <w:t>st</w:t>
      </w:r>
      <w:r>
        <w:rPr>
          <w:sz w:val="12"/>
        </w:rPr>
        <w:t>s</w:t>
      </w:r>
      <w:r>
        <w:rPr>
          <w:spacing w:val="-10"/>
          <w:sz w:val="12"/>
        </w:rPr>
        <w:t> </w:t>
      </w:r>
      <w:r>
        <w:rPr>
          <w:position w:val="-7"/>
          <w:sz w:val="12"/>
        </w:rPr>
        <w:t>20</w:t>
      </w:r>
    </w:p>
    <w:p>
      <w:pPr>
        <w:spacing w:before="156"/>
        <w:ind w:left="0" w:right="38" w:firstLine="0"/>
        <w:jc w:val="right"/>
        <w:rPr>
          <w:sz w:val="12"/>
        </w:rPr>
      </w:pPr>
      <w:r>
        <w:rPr/>
        <w:pict>
          <v:group style="position:absolute;margin-left:51.75pt;margin-top:-3.76543pt;width:150.5pt;height:152pt;mso-position-horizontal-relative:page;mso-position-vertical-relative:paragraph;z-index:-20068864" coordorigin="1035,-75" coordsize="3010,3040">
            <v:rect style="position:absolute;left:2240;top:224;width:140;height:2700" filled="true" fillcolor="#faab54" stroked="false">
              <v:fill type="solid"/>
            </v:rect>
            <v:rect style="position:absolute;left:2240;top:224;width:140;height:2700" filled="false" stroked="true" strokeweight=".5pt" strokecolor="#000000">
              <v:stroke dashstyle="solid"/>
            </v:rect>
            <v:rect style="position:absolute;left:2080;top:2184;width:140;height:740" filled="true" fillcolor="#008256" stroked="false">
              <v:fill type="solid"/>
            </v:rect>
            <v:rect style="position:absolute;left:2080;top:2184;width:140;height:740" filled="false" stroked="true" strokeweight=".5pt" strokecolor="#000000">
              <v:stroke dashstyle="solid"/>
            </v:rect>
            <v:rect style="position:absolute;left:2380;top:1424;width:140;height:1500" filled="true" fillcolor="#0066a5" stroked="false">
              <v:fill type="solid"/>
            </v:rect>
            <v:rect style="position:absolute;left:2380;top:1424;width:140;height:1500" filled="false" stroked="true" strokeweight=".5pt" strokecolor="#000000">
              <v:stroke dashstyle="solid"/>
            </v:rect>
            <v:rect style="position:absolute;left:2540;top:2784;width:140;height:140" filled="true" fillcolor="#0066a5" stroked="false">
              <v:fill type="solid"/>
            </v:rect>
            <v:rect style="position:absolute;left:2540;top:2784;width:140;height:140" filled="false" stroked="true" strokeweight=".5pt" strokecolor="#000000">
              <v:stroke dashstyle="solid"/>
            </v:rect>
            <v:rect style="position:absolute;left:1780;top:2784;width:140;height:140" filled="true" fillcolor="#008256" stroked="false">
              <v:fill type="solid"/>
            </v:rect>
            <v:rect style="position:absolute;left:1780;top:2784;width:140;height:140" filled="false" stroked="true" strokeweight=".5pt" strokecolor="#000000">
              <v:stroke dashstyle="solid"/>
            </v:rect>
            <v:rect style="position:absolute;left:3300;top:2784;width:140;height:140" filled="true" fillcolor="#0066a5" stroked="false">
              <v:fill type="solid"/>
            </v:rect>
            <v:rect style="position:absolute;left:3300;top:2784;width:140;height:140" filled="false" stroked="true" strokeweight=".5pt" strokecolor="#000000">
              <v:stroke dashstyle="solid"/>
            </v:rect>
            <v:shape style="position:absolute;left:1040;top:2924;width:3000;height:2" coordorigin="1040,2925" coordsize="3000,0" path="m1040,2925l4040,2925m1040,2925l1040,2925e" filled="false" stroked="true" strokeweight=".5pt" strokecolor="#000000">
              <v:path arrowok="t"/>
              <v:stroke dashstyle="solid"/>
            </v:shape>
            <v:shape style="position:absolute;left:1140;top:2924;width:80;height:2" coordorigin="1140,2925" coordsize="80,0" path="m1140,2925l1220,2925,1140,2925e" filled="false" stroked="true" strokeweight=".5pt" strokecolor="#000000">
              <v:path arrowok="t"/>
              <v:stroke dashstyle="solid"/>
            </v:shape>
            <v:line style="position:absolute" from="1180,2925" to="1180,2925" stroked="true" strokeweight=".5pt" strokecolor="#000000">
              <v:stroke dashstyle="solid"/>
            </v:line>
            <v:shape style="position:absolute;left:1300;top:2924;width:80;height:2" coordorigin="1300,2925" coordsize="80,0" path="m1300,2925l1380,2925,1300,2925e" filled="false" stroked="true" strokeweight=".5pt" strokecolor="#000000">
              <v:path arrowok="t"/>
              <v:stroke dashstyle="solid"/>
            </v:shape>
            <v:line style="position:absolute" from="1340,2925" to="1340,2925" stroked="true" strokeweight=".5pt" strokecolor="#000000">
              <v:stroke dashstyle="solid"/>
            </v:line>
            <v:shape style="position:absolute;left:1440;top:2924;width:80;height:2" coordorigin="1440,2925" coordsize="80,0" path="m1440,2925l1520,2925,1440,2925e" filled="false" stroked="true" strokeweight=".5pt" strokecolor="#000000">
              <v:path arrowok="t"/>
              <v:stroke dashstyle="solid"/>
            </v:shape>
            <v:line style="position:absolute" from="1480,2925" to="1480,2925" stroked="true" strokeweight=".5pt" strokecolor="#000000">
              <v:stroke dashstyle="solid"/>
            </v:line>
            <v:shape style="position:absolute;left:1740;top:2924;width:80;height:2" coordorigin="1740,2925" coordsize="80,0" path="m1740,2925l1820,2925,1740,2925e" filled="false" stroked="true" strokeweight=".5pt" strokecolor="#000000">
              <v:path arrowok="t"/>
              <v:stroke dashstyle="solid"/>
            </v:shape>
            <v:line style="position:absolute" from="1780,2925" to="1780,2925" stroked="true" strokeweight=".5pt" strokecolor="#000000">
              <v:stroke dashstyle="solid"/>
            </v:line>
            <v:shape style="position:absolute;left:2200;top:2924;width:80;height:2" coordorigin="2200,2925" coordsize="80,0" path="m2200,2925l2280,2925,2200,2925e" filled="false" stroked="true" strokeweight=".5pt" strokecolor="#000000">
              <v:path arrowok="t"/>
              <v:stroke dashstyle="solid"/>
            </v:shape>
            <v:line style="position:absolute" from="2240,2925" to="2240,2925" stroked="true" strokeweight=".5pt" strokecolor="#000000">
              <v:stroke dashstyle="solid"/>
            </v:line>
            <v:shape style="position:absolute;left:3400;top:2924;width:80;height:2" coordorigin="3400,2925" coordsize="80,0" path="m3400,2925l3480,2925,3400,2925e" filled="false" stroked="true" strokeweight=".5pt" strokecolor="#000000">
              <v:path arrowok="t"/>
              <v:stroke dashstyle="solid"/>
            </v:shape>
            <v:line style="position:absolute" from="3440,2925" to="3440,2925" stroked="true" strokeweight=".5pt" strokecolor="#000000">
              <v:stroke dashstyle="solid"/>
            </v:line>
            <v:shape style="position:absolute;left:3560;top:2924;width:60;height:2" coordorigin="3560,2925" coordsize="60,0" path="m3560,2925l3620,2925,3560,2925e" filled="false" stroked="true" strokeweight=".5pt" strokecolor="#000000">
              <v:path arrowok="t"/>
              <v:stroke dashstyle="solid"/>
            </v:shape>
            <v:line style="position:absolute" from="3580,2925" to="3580,2925" stroked="true" strokeweight=".5pt" strokecolor="#000000">
              <v:stroke dashstyle="solid"/>
            </v:line>
            <v:shape style="position:absolute;left:3700;top:2924;width:80;height:2" coordorigin="3700,2925" coordsize="80,0" path="m3700,2925l3780,2925,3700,2925e" filled="false" stroked="true" strokeweight=".5pt" strokecolor="#000000">
              <v:path arrowok="t"/>
              <v:stroke dashstyle="solid"/>
            </v:shape>
            <v:line style="position:absolute" from="3740,2925" to="3740,2925" stroked="true" strokeweight=".5pt" strokecolor="#000000">
              <v:stroke dashstyle="solid"/>
            </v:line>
            <v:shape style="position:absolute;left:3860;top:2924;width:60;height:2" coordorigin="3860,2925" coordsize="60,0" path="m3860,2925l3920,2925,3860,2925e" filled="false" stroked="true" strokeweight=".5pt" strokecolor="#000000">
              <v:path arrowok="t"/>
              <v:stroke dashstyle="solid"/>
            </v:shape>
            <v:shape style="position:absolute;left:1040;top:2924;width:3000;height:40" coordorigin="1040,2925" coordsize="3000,40" path="m3900,2925l3900,2925m1040,2925l1040,2965m1180,2925l1180,2965m1340,2925l1340,2965m1480,2925l1480,2965m1640,2925l1640,2965m1780,2925l1780,2965m1940,2925l1940,2965m2080,2925l2080,2965m2240,2925l2240,2965m2380,2925l2380,2965m2540,2925l2540,2965m2680,2925l2680,2965m2840,2925l2840,2965m2980,2925l2980,2965m3140,2925l3140,2965m3280,2925l3280,2965m3440,2925l3440,2965m3580,2925l3580,2965m3740,2925l3740,2965m3900,2925l3900,2965m4040,2925l4040,2965e" filled="false" stroked="true" strokeweight=".5pt" strokecolor="#000000">
              <v:path arrowok="t"/>
              <v:stroke dashstyle="solid"/>
            </v:shape>
            <v:line style="position:absolute" from="2380,2920" to="2380,-75" stroked="true" strokeweight=".5pt" strokecolor="#0066a5">
              <v:stroke dashstyle="dash"/>
            </v:line>
            <v:rect style="position:absolute;left:2245;top:228;width:34;height:2693" filled="true" fillcolor="#008256" stroked="false">
              <v:fill type="solid"/>
            </v:rect>
            <v:line style="position:absolute" from="2280,2920" to="2280,-75" stroked="true" strokeweight=".5pt" strokecolor="#0066a5">
              <v:stroke dashstyle="dash"/>
            </v:line>
            <w10:wrap type="none"/>
          </v:group>
        </w:pict>
      </w:r>
      <w:r>
        <w:rPr/>
        <w:pict>
          <v:line style="position:absolute;mso-position-horizontal-relative:page;mso-position-vertical-relative:paragraph;z-index:16026112" from="213pt,11.234571pt" to="208pt,11.234571pt" stroked="true" strokeweight=".5pt" strokecolor="#000000">
            <v:stroke dashstyle="solid"/>
            <w10:wrap type="none"/>
          </v:line>
        </w:pict>
      </w:r>
      <w:r>
        <w:rPr>
          <w:sz w:val="12"/>
        </w:rPr>
        <w:t>18</w:t>
      </w:r>
    </w:p>
    <w:p>
      <w:pPr>
        <w:pStyle w:val="BodyText"/>
        <w:spacing w:before="5"/>
        <w:rPr>
          <w:sz w:val="13"/>
        </w:rPr>
      </w:pPr>
    </w:p>
    <w:p>
      <w:pPr>
        <w:spacing w:before="1"/>
        <w:ind w:left="0" w:right="38" w:firstLine="0"/>
        <w:jc w:val="right"/>
        <w:rPr>
          <w:sz w:val="12"/>
        </w:rPr>
      </w:pPr>
      <w:r>
        <w:rPr/>
        <w:pict>
          <v:line style="position:absolute;mso-position-horizontal-relative:page;mso-position-vertical-relative:paragraph;z-index:16025600" from="213pt,3.818555pt" to="208pt,3.818555pt" stroked="true" strokeweight=".5pt" strokecolor="#000000">
            <v:stroke dashstyle="solid"/>
            <w10:wrap type="none"/>
          </v:line>
        </w:pict>
      </w:r>
      <w:r>
        <w:rPr>
          <w:sz w:val="12"/>
        </w:rPr>
        <w:t>16</w:t>
      </w:r>
    </w:p>
    <w:p>
      <w:pPr>
        <w:pStyle w:val="BodyText"/>
        <w:spacing w:before="5"/>
        <w:rPr>
          <w:sz w:val="13"/>
        </w:rPr>
      </w:pPr>
    </w:p>
    <w:p>
      <w:pPr>
        <w:spacing w:before="0"/>
        <w:ind w:left="0" w:right="38" w:firstLine="0"/>
        <w:jc w:val="right"/>
        <w:rPr>
          <w:sz w:val="12"/>
        </w:rPr>
      </w:pPr>
      <w:r>
        <w:rPr/>
        <w:pict>
          <v:line style="position:absolute;mso-position-horizontal-relative:page;mso-position-vertical-relative:paragraph;z-index:16025088" from="213pt,4.101563pt" to="208pt,4.101563pt" stroked="true" strokeweight=".5pt" strokecolor="#000000">
            <v:stroke dashstyle="solid"/>
            <w10:wrap type="none"/>
          </v:line>
        </w:pict>
      </w:r>
      <w:r>
        <w:rPr>
          <w:sz w:val="12"/>
        </w:rPr>
        <w:t>14</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24576" from="213pt,4.101563pt" to="208pt,4.101563pt" stroked="true" strokeweight=".5pt" strokecolor="#000000">
            <v:stroke dashstyle="solid"/>
            <w10:wrap type="none"/>
          </v:line>
        </w:pict>
      </w:r>
      <w:r>
        <w:rPr>
          <w:sz w:val="12"/>
        </w:rPr>
        <w:t>12</w:t>
      </w:r>
    </w:p>
    <w:p>
      <w:pPr>
        <w:pStyle w:val="BodyText"/>
        <w:spacing w:before="3"/>
        <w:rPr>
          <w:sz w:val="15"/>
        </w:rPr>
      </w:pPr>
    </w:p>
    <w:p>
      <w:pPr>
        <w:spacing w:before="0"/>
        <w:ind w:left="0" w:right="38" w:firstLine="0"/>
        <w:jc w:val="right"/>
        <w:rPr>
          <w:sz w:val="12"/>
        </w:rPr>
      </w:pPr>
      <w:r>
        <w:rPr/>
        <w:pict>
          <v:line style="position:absolute;mso-position-horizontal-relative:page;mso-position-vertical-relative:paragraph;z-index:16024064" from="213pt,3.43457pt" to="208pt,3.43457pt" stroked="true" strokeweight=".5pt" strokecolor="#000000">
            <v:stroke dashstyle="solid"/>
            <w10:wrap type="none"/>
          </v:line>
        </w:pict>
      </w:r>
      <w:r>
        <w:rPr>
          <w:sz w:val="12"/>
        </w:rPr>
        <w:t>10</w:t>
      </w:r>
    </w:p>
    <w:p>
      <w:pPr>
        <w:pStyle w:val="BodyText"/>
        <w:spacing w:before="11"/>
        <w:rPr>
          <w:sz w:val="12"/>
        </w:rPr>
      </w:pPr>
    </w:p>
    <w:p>
      <w:pPr>
        <w:spacing w:before="0"/>
        <w:ind w:left="0" w:right="38" w:firstLine="0"/>
        <w:jc w:val="right"/>
        <w:rPr>
          <w:sz w:val="12"/>
        </w:rPr>
      </w:pPr>
      <w:r>
        <w:rPr/>
        <w:pict>
          <v:line style="position:absolute;mso-position-horizontal-relative:page;mso-position-vertical-relative:paragraph;z-index:16023552" from="213pt,4.101563pt" to="208pt,4.101563pt" stroked="true" strokeweight=".5pt" strokecolor="#000000">
            <v:stroke dashstyle="solid"/>
            <w10:wrap type="none"/>
          </v:line>
        </w:pict>
      </w:r>
      <w:r>
        <w:rPr>
          <w:sz w:val="12"/>
        </w:rPr>
        <w:t>8</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23040" from="213pt,4.101563pt" to="208pt,4.101563pt" stroked="true" strokeweight=".5pt" strokecolor="#000000">
            <v:stroke dashstyle="solid"/>
            <w10:wrap type="none"/>
          </v:line>
        </w:pict>
      </w:r>
      <w:r>
        <w:rPr>
          <w:sz w:val="12"/>
        </w:rPr>
        <w:t>6</w:t>
      </w:r>
    </w:p>
    <w:p>
      <w:pPr>
        <w:pStyle w:val="Heading5"/>
        <w:spacing w:line="242" w:lineRule="auto" w:before="37"/>
        <w:ind w:left="890" w:right="441"/>
      </w:pPr>
      <w:r>
        <w:rPr/>
        <w:br w:type="column"/>
      </w:r>
      <w:r>
        <w:rPr>
          <w:color w:val="231F20"/>
        </w:rPr>
        <w:t>to the Bank’s survey of other forecasts to align the findings more closely with the MPC’s projections. Hence, the focus is on projections for 2000 Q1, as this is the end of the MPC’s forecast period. Chart 6.8 shows the distribution of central forecasts for</w:t>
      </w:r>
    </w:p>
    <w:p>
      <w:pPr>
        <w:spacing w:line="242" w:lineRule="auto" w:before="6"/>
        <w:ind w:left="890" w:right="0" w:firstLine="0"/>
        <w:jc w:val="left"/>
        <w:rPr>
          <w:sz w:val="24"/>
        </w:rPr>
      </w:pPr>
      <w:r>
        <w:rPr>
          <w:color w:val="231F20"/>
          <w:sz w:val="24"/>
        </w:rPr>
        <w:t>twelve-month RPIX inflation in 2000 Q1. The median expectation is around 2.5%, which is in line with the inflation target.</w:t>
      </w:r>
    </w:p>
    <w:p>
      <w:pPr>
        <w:spacing w:after="0" w:line="242" w:lineRule="auto"/>
        <w:jc w:val="left"/>
        <w:rPr>
          <w:sz w:val="24"/>
        </w:rPr>
        <w:sectPr>
          <w:type w:val="continuous"/>
          <w:pgSz w:w="11880" w:h="16840"/>
          <w:pgMar w:top="1200" w:bottom="280" w:left="620" w:right="620"/>
          <w:cols w:num="4" w:equalWidth="0">
            <w:col w:w="1600" w:space="40"/>
            <w:col w:w="577" w:space="39"/>
            <w:col w:w="1581" w:space="239"/>
            <w:col w:w="6564"/>
          </w:cols>
        </w:sectPr>
      </w:pPr>
    </w:p>
    <w:p>
      <w:pPr>
        <w:pStyle w:val="BodyText"/>
        <w:spacing w:before="9"/>
        <w:rPr>
          <w:sz w:val="20"/>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1"/>
        <w:rPr>
          <w:sz w:val="20"/>
        </w:rPr>
      </w:pPr>
      <w:r>
        <w:rPr/>
        <w:pict>
          <v:shape style="position:absolute;margin-left:43pt;margin-top:14.25pt;width:5pt;height:.1pt;mso-position-horizontal-relative:page;mso-position-vertical-relative:paragraph;z-index:-15437312;mso-wrap-distance-left:0;mso-wrap-distance-right:0" coordorigin="860,285" coordsize="100,0" path="m960,285l860,285e" filled="false" stroked="true" strokeweight=".5pt" strokecolor="#000000">
            <v:path arrowok="t"/>
            <v:stroke dashstyle="solid"/>
            <w10:wrap type="topAndBottom"/>
          </v:shape>
        </w:pict>
      </w:r>
      <w:r>
        <w:rPr/>
        <w:pict>
          <v:shape style="position:absolute;margin-left:43pt;margin-top:29.25pt;width:5pt;height:.1pt;mso-position-horizontal-relative:page;mso-position-vertical-relative:paragraph;z-index:-15436800;mso-wrap-distance-left:0;mso-wrap-distance-right:0" coordorigin="860,585" coordsize="100,0" path="m960,585l860,585e" filled="false" stroked="true" strokeweight=".5pt" strokecolor="#000000">
            <v:path arrowok="t"/>
            <v:stroke dashstyle="solid"/>
            <w10:wrap type="topAndBottom"/>
          </v:shape>
        </w:pict>
      </w:r>
    </w:p>
    <w:p>
      <w:pPr>
        <w:pStyle w:val="BodyText"/>
        <w:spacing w:before="3"/>
        <w:rPr>
          <w:sz w:val="19"/>
        </w:rPr>
      </w:pPr>
    </w:p>
    <w:p>
      <w:pPr>
        <w:spacing w:line="118" w:lineRule="exact" w:before="4"/>
        <w:ind w:left="350" w:right="0" w:firstLine="0"/>
        <w:jc w:val="left"/>
        <w:rPr>
          <w:sz w:val="12"/>
        </w:rPr>
      </w:pPr>
      <w:r>
        <w:rPr>
          <w:sz w:val="12"/>
        </w:rPr>
        <w:t>0.0 0.6 1.2 1.8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spacing w:line="118" w:lineRule="exact" w:before="0"/>
        <w:ind w:left="110" w:right="0" w:firstLine="0"/>
        <w:jc w:val="left"/>
        <w:rPr>
          <w:sz w:val="12"/>
        </w:rPr>
      </w:pPr>
      <w:r>
        <w:rPr>
          <w:sz w:val="12"/>
        </w:rPr>
        <w:t>2.4</w:t>
      </w:r>
    </w:p>
    <w:p>
      <w:pPr>
        <w:pStyle w:val="BodyText"/>
        <w:spacing w:before="1"/>
        <w:rPr>
          <w:sz w:val="14"/>
        </w:rPr>
      </w:pPr>
      <w:r>
        <w:rPr/>
        <w:br w:type="column"/>
      </w:r>
      <w:r>
        <w:rPr>
          <w:sz w:val="14"/>
        </w:rPr>
      </w:r>
    </w:p>
    <w:p>
      <w:pPr>
        <w:spacing w:before="0"/>
        <w:ind w:left="1976" w:right="0" w:firstLine="0"/>
        <w:jc w:val="left"/>
        <w:rPr>
          <w:sz w:val="12"/>
        </w:rPr>
      </w:pPr>
      <w:r>
        <w:rPr>
          <w:sz w:val="12"/>
        </w:rPr>
        <w:t>4</w:t>
      </w:r>
    </w:p>
    <w:p>
      <w:pPr>
        <w:pStyle w:val="BodyText"/>
        <w:spacing w:before="1"/>
        <w:rPr>
          <w:sz w:val="14"/>
        </w:rPr>
      </w:pPr>
    </w:p>
    <w:p>
      <w:pPr>
        <w:spacing w:before="0"/>
        <w:ind w:left="1976" w:right="0" w:firstLine="0"/>
        <w:jc w:val="left"/>
        <w:rPr>
          <w:sz w:val="12"/>
        </w:rPr>
      </w:pPr>
      <w:r>
        <w:rPr/>
        <w:pict>
          <v:line style="position:absolute;mso-position-horizontal-relative:page;mso-position-vertical-relative:paragraph;z-index:16022016" from="213pt,4.101563pt" to="208pt,4.101563pt" stroked="true" strokeweight=".5pt" strokecolor="#000000">
            <v:stroke dashstyle="solid"/>
            <w10:wrap type="none"/>
          </v:line>
        </w:pict>
      </w:r>
      <w:r>
        <w:rPr/>
        <w:pict>
          <v:line style="position:absolute;mso-position-horizontal-relative:page;mso-position-vertical-relative:paragraph;z-index:16022528" from="213pt,-10.898438pt" to="208pt,-10.898438pt" stroked="true" strokeweight=".5pt" strokecolor="#000000">
            <v:stroke dashstyle="solid"/>
            <w10:wrap type="none"/>
          </v:line>
        </w:pict>
      </w:r>
      <w:r>
        <w:rPr>
          <w:sz w:val="12"/>
        </w:rPr>
        <w:t>2</w:t>
      </w:r>
    </w:p>
    <w:p>
      <w:pPr>
        <w:pStyle w:val="BodyText"/>
        <w:spacing w:before="1"/>
        <w:rPr>
          <w:sz w:val="14"/>
        </w:rPr>
      </w:pPr>
    </w:p>
    <w:p>
      <w:pPr>
        <w:spacing w:line="129" w:lineRule="exact" w:before="0"/>
        <w:ind w:left="1976" w:right="0" w:firstLine="0"/>
        <w:jc w:val="left"/>
        <w:rPr>
          <w:sz w:val="12"/>
        </w:rPr>
      </w:pPr>
      <w:r>
        <w:rPr/>
        <w:pict>
          <v:line style="position:absolute;mso-position-horizontal-relative:page;mso-position-vertical-relative:paragraph;z-index:16021504" from="213pt,4.101563pt" to="208pt,4.101563pt" stroked="true" strokeweight=".5pt" strokecolor="#000000">
            <v:stroke dashstyle="solid"/>
            <w10:wrap type="none"/>
          </v:line>
        </w:pict>
      </w:r>
      <w:r>
        <w:rPr>
          <w:sz w:val="12"/>
        </w:rPr>
        <w:t>0</w:t>
      </w:r>
    </w:p>
    <w:p>
      <w:pPr>
        <w:spacing w:line="109" w:lineRule="exact" w:before="0"/>
        <w:ind w:left="89" w:right="0" w:firstLine="0"/>
        <w:jc w:val="left"/>
        <w:rPr>
          <w:sz w:val="12"/>
        </w:rPr>
      </w:pPr>
      <w:r>
        <w:rPr>
          <w:sz w:val="12"/>
        </w:rPr>
        <w:t>3.0 3.6 4.2 4.8 5.4 6.0</w:t>
      </w:r>
    </w:p>
    <w:p>
      <w:pPr>
        <w:pStyle w:val="BodyText"/>
        <w:spacing w:before="1"/>
        <w:rPr>
          <w:sz w:val="26"/>
        </w:rPr>
      </w:pPr>
      <w:r>
        <w:rPr/>
        <w:br w:type="column"/>
      </w:r>
      <w:r>
        <w:rPr>
          <w:sz w:val="26"/>
        </w:rPr>
      </w:r>
    </w:p>
    <w:p>
      <w:pPr>
        <w:pStyle w:val="Heading5"/>
        <w:spacing w:line="280" w:lineRule="atLeast"/>
        <w:ind w:left="350" w:right="182"/>
      </w:pPr>
      <w:r>
        <w:rPr>
          <w:color w:val="231F20"/>
        </w:rPr>
        <w:t>Other forecasters have also provided the Bank with their assessments of the probabilities that they attach to various possible inflation outcomes (see Table 6.B).</w:t>
      </w:r>
    </w:p>
    <w:p>
      <w:pPr>
        <w:spacing w:after="0" w:line="280" w:lineRule="atLeast"/>
        <w:sectPr>
          <w:type w:val="continuous"/>
          <w:pgSz w:w="11880" w:h="16840"/>
          <w:pgMar w:top="1200" w:bottom="280" w:left="620" w:right="620"/>
          <w:cols w:num="4" w:equalWidth="0">
            <w:col w:w="1421" w:space="40"/>
            <w:col w:w="261" w:space="39"/>
            <w:col w:w="2077" w:space="777"/>
            <w:col w:w="6025"/>
          </w:cols>
        </w:sectPr>
      </w:pPr>
    </w:p>
    <w:p>
      <w:pPr>
        <w:spacing w:line="6" w:lineRule="exact" w:before="0"/>
        <w:ind w:left="1410" w:right="0" w:firstLine="0"/>
        <w:jc w:val="left"/>
        <w:rPr>
          <w:sz w:val="12"/>
        </w:rPr>
      </w:pPr>
      <w:r>
        <w:rPr>
          <w:sz w:val="12"/>
        </w:rPr>
        <w:t>Range of forecasts</w:t>
      </w:r>
    </w:p>
    <w:p>
      <w:pPr>
        <w:pStyle w:val="BodyText"/>
        <w:spacing w:before="7"/>
        <w:rPr>
          <w:sz w:val="15"/>
        </w:rPr>
      </w:pPr>
    </w:p>
    <w:p>
      <w:pPr>
        <w:spacing w:before="0"/>
        <w:ind w:left="200" w:right="0" w:firstLine="0"/>
        <w:jc w:val="left"/>
        <w:rPr>
          <w:sz w:val="12"/>
        </w:rPr>
      </w:pPr>
      <w:r>
        <w:rPr>
          <w:color w:val="231F20"/>
          <w:sz w:val="12"/>
        </w:rPr>
        <w:t>Source: Forecasts of 36 other forecasters as of January 1998.</w:t>
      </w:r>
    </w:p>
    <w:p>
      <w:pPr>
        <w:pStyle w:val="BodyText"/>
        <w:rPr>
          <w:sz w:val="12"/>
        </w:rPr>
      </w:pPr>
    </w:p>
    <w:p>
      <w:pPr>
        <w:pStyle w:val="BodyText"/>
        <w:rPr>
          <w:sz w:val="12"/>
        </w:rPr>
      </w:pPr>
    </w:p>
    <w:p>
      <w:pPr>
        <w:pStyle w:val="BodyText"/>
        <w:spacing w:before="2"/>
        <w:rPr>
          <w:sz w:val="17"/>
        </w:rPr>
      </w:pPr>
    </w:p>
    <w:p>
      <w:pPr>
        <w:pStyle w:val="Heading9"/>
        <w:spacing w:before="0"/>
        <w:ind w:left="185"/>
      </w:pPr>
      <w:r>
        <w:rPr>
          <w:color w:val="0093C1"/>
        </w:rPr>
        <w:t>Table 6.B</w:t>
      </w:r>
    </w:p>
    <w:p>
      <w:pPr>
        <w:spacing w:before="10"/>
        <w:ind w:left="185" w:right="0" w:firstLine="0"/>
        <w:jc w:val="left"/>
        <w:rPr>
          <w:sz w:val="12"/>
        </w:rPr>
      </w:pPr>
      <w:r>
        <w:rPr>
          <w:b/>
          <w:color w:val="0093C1"/>
          <w:sz w:val="20"/>
        </w:rPr>
        <w:t>Expected RPIX inflation</w:t>
      </w:r>
      <w:r>
        <w:rPr>
          <w:color w:val="231F20"/>
          <w:position w:val="4"/>
          <w:sz w:val="12"/>
        </w:rPr>
        <w:t>(a)</w:t>
      </w:r>
    </w:p>
    <w:p>
      <w:pPr>
        <w:spacing w:before="106"/>
        <w:ind w:left="185" w:right="0" w:firstLine="0"/>
        <w:jc w:val="left"/>
        <w:rPr>
          <w:sz w:val="14"/>
        </w:rPr>
      </w:pPr>
      <w:r>
        <w:rPr>
          <w:color w:val="231F20"/>
          <w:sz w:val="14"/>
        </w:rPr>
        <w:t>Probability, per cent</w:t>
      </w:r>
    </w:p>
    <w:p>
      <w:pPr>
        <w:tabs>
          <w:tab w:pos="3874" w:val="left" w:leader="none"/>
        </w:tabs>
        <w:spacing w:before="119"/>
        <w:ind w:left="1384" w:right="0" w:firstLine="0"/>
        <w:jc w:val="left"/>
        <w:rPr>
          <w:sz w:val="14"/>
        </w:rPr>
      </w:pPr>
      <w:r>
        <w:rPr>
          <w:color w:val="231F20"/>
          <w:sz w:val="14"/>
          <w:u w:val="single" w:color="231F20"/>
        </w:rPr>
        <w:t>Range:</w:t>
        <w:tab/>
      </w: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775"/>
        <w:gridCol w:w="720"/>
        <w:gridCol w:w="720"/>
        <w:gridCol w:w="594"/>
      </w:tblGrid>
      <w:tr>
        <w:trPr>
          <w:trHeight w:val="287" w:hRule="atLeast"/>
        </w:trPr>
        <w:tc>
          <w:tcPr>
            <w:tcW w:w="980" w:type="dxa"/>
            <w:vMerge w:val="restart"/>
          </w:tcPr>
          <w:p>
            <w:pPr>
              <w:pStyle w:val="TableParagraph"/>
              <w:rPr>
                <w:sz w:val="18"/>
              </w:rPr>
            </w:pPr>
          </w:p>
        </w:tc>
        <w:tc>
          <w:tcPr>
            <w:tcW w:w="775" w:type="dxa"/>
          </w:tcPr>
          <w:p>
            <w:pPr>
              <w:pStyle w:val="TableParagraph"/>
              <w:spacing w:line="140" w:lineRule="exact" w:before="12"/>
              <w:ind w:left="269" w:right="229"/>
              <w:rPr>
                <w:sz w:val="14"/>
              </w:rPr>
            </w:pPr>
            <w:r>
              <w:rPr>
                <w:color w:val="231F20"/>
                <w:sz w:val="14"/>
              </w:rPr>
              <w:t>Less than</w:t>
            </w:r>
          </w:p>
        </w:tc>
        <w:tc>
          <w:tcPr>
            <w:tcW w:w="720" w:type="dxa"/>
          </w:tcPr>
          <w:p>
            <w:pPr>
              <w:pStyle w:val="TableParagraph"/>
              <w:spacing w:line="145" w:lineRule="exact"/>
              <w:ind w:left="215"/>
              <w:rPr>
                <w:sz w:val="14"/>
              </w:rPr>
            </w:pPr>
            <w:r>
              <w:rPr>
                <w:color w:val="231F20"/>
                <w:sz w:val="14"/>
              </w:rPr>
              <w:t>1.5%</w:t>
            </w:r>
          </w:p>
          <w:p>
            <w:pPr>
              <w:pStyle w:val="TableParagraph"/>
              <w:spacing w:line="123" w:lineRule="exact"/>
              <w:ind w:left="214"/>
              <w:rPr>
                <w:sz w:val="14"/>
              </w:rPr>
            </w:pPr>
            <w:r>
              <w:rPr>
                <w:color w:val="231F20"/>
                <w:sz w:val="14"/>
              </w:rPr>
              <w:t>to</w:t>
            </w:r>
          </w:p>
        </w:tc>
        <w:tc>
          <w:tcPr>
            <w:tcW w:w="720" w:type="dxa"/>
          </w:tcPr>
          <w:p>
            <w:pPr>
              <w:pStyle w:val="TableParagraph"/>
              <w:spacing w:line="145" w:lineRule="exact"/>
              <w:ind w:left="215"/>
              <w:rPr>
                <w:sz w:val="14"/>
              </w:rPr>
            </w:pPr>
            <w:r>
              <w:rPr>
                <w:color w:val="231F20"/>
                <w:sz w:val="14"/>
              </w:rPr>
              <w:t>2.5%</w:t>
            </w:r>
          </w:p>
          <w:p>
            <w:pPr>
              <w:pStyle w:val="TableParagraph"/>
              <w:spacing w:line="123" w:lineRule="exact"/>
              <w:ind w:left="215"/>
              <w:rPr>
                <w:sz w:val="14"/>
              </w:rPr>
            </w:pPr>
            <w:r>
              <w:rPr>
                <w:color w:val="231F20"/>
                <w:sz w:val="14"/>
              </w:rPr>
              <w:t>to</w:t>
            </w:r>
          </w:p>
        </w:tc>
        <w:tc>
          <w:tcPr>
            <w:tcW w:w="594" w:type="dxa"/>
          </w:tcPr>
          <w:p>
            <w:pPr>
              <w:pStyle w:val="TableParagraph"/>
              <w:spacing w:line="140" w:lineRule="exact" w:before="12"/>
              <w:ind w:left="215" w:right="56" w:hanging="1"/>
              <w:rPr>
                <w:sz w:val="14"/>
              </w:rPr>
            </w:pPr>
            <w:r>
              <w:rPr>
                <w:color w:val="231F20"/>
                <w:sz w:val="14"/>
              </w:rPr>
              <w:t>More than</w:t>
            </w:r>
          </w:p>
        </w:tc>
      </w:tr>
      <w:tr>
        <w:trPr>
          <w:trHeight w:val="206" w:hRule="atLeast"/>
        </w:trPr>
        <w:tc>
          <w:tcPr>
            <w:tcW w:w="980" w:type="dxa"/>
            <w:vMerge/>
            <w:tcBorders>
              <w:top w:val="nil"/>
            </w:tcBorders>
          </w:tcPr>
          <w:p>
            <w:pPr>
              <w:rPr>
                <w:sz w:val="2"/>
                <w:szCs w:val="2"/>
              </w:rPr>
            </w:pPr>
          </w:p>
        </w:tc>
        <w:tc>
          <w:tcPr>
            <w:tcW w:w="775" w:type="dxa"/>
          </w:tcPr>
          <w:p>
            <w:pPr>
              <w:pStyle w:val="TableParagraph"/>
              <w:spacing w:line="143" w:lineRule="exact"/>
              <w:ind w:left="249" w:right="193"/>
              <w:jc w:val="center"/>
              <w:rPr>
                <w:sz w:val="14"/>
              </w:rPr>
            </w:pPr>
            <w:r>
              <w:rPr>
                <w:color w:val="231F20"/>
                <w:sz w:val="14"/>
                <w:u w:val="single" w:color="231F20"/>
              </w:rPr>
              <w:t>1.5%</w:t>
            </w:r>
          </w:p>
        </w:tc>
        <w:tc>
          <w:tcPr>
            <w:tcW w:w="720" w:type="dxa"/>
          </w:tcPr>
          <w:p>
            <w:pPr>
              <w:pStyle w:val="TableParagraph"/>
              <w:spacing w:line="143" w:lineRule="exact"/>
              <w:ind w:right="211"/>
              <w:jc w:val="right"/>
              <w:rPr>
                <w:sz w:val="14"/>
              </w:rPr>
            </w:pPr>
            <w:r>
              <w:rPr>
                <w:color w:val="231F20"/>
                <w:sz w:val="14"/>
                <w:u w:val="single" w:color="231F20"/>
              </w:rPr>
              <w:t>2.5%</w:t>
            </w:r>
          </w:p>
        </w:tc>
        <w:tc>
          <w:tcPr>
            <w:tcW w:w="720" w:type="dxa"/>
          </w:tcPr>
          <w:p>
            <w:pPr>
              <w:pStyle w:val="TableParagraph"/>
              <w:spacing w:line="143" w:lineRule="exact"/>
              <w:ind w:right="211"/>
              <w:jc w:val="right"/>
              <w:rPr>
                <w:sz w:val="14"/>
              </w:rPr>
            </w:pPr>
            <w:r>
              <w:rPr>
                <w:color w:val="231F20"/>
                <w:sz w:val="14"/>
                <w:u w:val="single" w:color="231F20"/>
              </w:rPr>
              <w:t>3.5%</w:t>
            </w:r>
          </w:p>
        </w:tc>
        <w:tc>
          <w:tcPr>
            <w:tcW w:w="594" w:type="dxa"/>
          </w:tcPr>
          <w:p>
            <w:pPr>
              <w:pStyle w:val="TableParagraph"/>
              <w:spacing w:line="143" w:lineRule="exact"/>
              <w:ind w:left="214" w:right="48"/>
              <w:jc w:val="center"/>
              <w:rPr>
                <w:sz w:val="14"/>
              </w:rPr>
            </w:pPr>
            <w:r>
              <w:rPr>
                <w:color w:val="231F20"/>
                <w:sz w:val="14"/>
                <w:u w:val="single" w:color="231F20"/>
              </w:rPr>
              <w:t>3.5% </w:t>
            </w:r>
          </w:p>
        </w:tc>
      </w:tr>
      <w:tr>
        <w:trPr>
          <w:trHeight w:val="210" w:hRule="atLeast"/>
        </w:trPr>
        <w:tc>
          <w:tcPr>
            <w:tcW w:w="980" w:type="dxa"/>
          </w:tcPr>
          <w:p>
            <w:pPr>
              <w:pStyle w:val="TableParagraph"/>
              <w:spacing w:line="133" w:lineRule="exact" w:before="56"/>
              <w:ind w:left="50"/>
              <w:rPr>
                <w:sz w:val="14"/>
              </w:rPr>
            </w:pPr>
            <w:r>
              <w:rPr>
                <w:color w:val="231F20"/>
                <w:sz w:val="14"/>
              </w:rPr>
              <w:t>1998 Q4</w:t>
            </w:r>
          </w:p>
        </w:tc>
        <w:tc>
          <w:tcPr>
            <w:tcW w:w="775" w:type="dxa"/>
          </w:tcPr>
          <w:p>
            <w:pPr>
              <w:pStyle w:val="TableParagraph"/>
              <w:spacing w:line="133" w:lineRule="exact" w:before="56"/>
              <w:ind w:left="155"/>
              <w:jc w:val="center"/>
              <w:rPr>
                <w:sz w:val="14"/>
              </w:rPr>
            </w:pPr>
            <w:r>
              <w:rPr>
                <w:color w:val="231F20"/>
                <w:sz w:val="14"/>
              </w:rPr>
              <w:t>8</w:t>
            </w:r>
          </w:p>
        </w:tc>
        <w:tc>
          <w:tcPr>
            <w:tcW w:w="720" w:type="dxa"/>
          </w:tcPr>
          <w:p>
            <w:pPr>
              <w:pStyle w:val="TableParagraph"/>
              <w:spacing w:line="133" w:lineRule="exact" w:before="56"/>
              <w:ind w:right="232"/>
              <w:jc w:val="right"/>
              <w:rPr>
                <w:sz w:val="14"/>
              </w:rPr>
            </w:pPr>
            <w:r>
              <w:rPr>
                <w:color w:val="231F20"/>
                <w:sz w:val="14"/>
              </w:rPr>
              <w:t>36</w:t>
            </w:r>
          </w:p>
        </w:tc>
        <w:tc>
          <w:tcPr>
            <w:tcW w:w="720" w:type="dxa"/>
          </w:tcPr>
          <w:p>
            <w:pPr>
              <w:pStyle w:val="TableParagraph"/>
              <w:spacing w:line="133" w:lineRule="exact" w:before="56"/>
              <w:ind w:right="232"/>
              <w:jc w:val="right"/>
              <w:rPr>
                <w:sz w:val="14"/>
              </w:rPr>
            </w:pPr>
            <w:r>
              <w:rPr>
                <w:color w:val="231F20"/>
                <w:sz w:val="14"/>
              </w:rPr>
              <w:t>44</w:t>
            </w:r>
          </w:p>
        </w:tc>
        <w:tc>
          <w:tcPr>
            <w:tcW w:w="594" w:type="dxa"/>
          </w:tcPr>
          <w:p>
            <w:pPr>
              <w:pStyle w:val="TableParagraph"/>
              <w:spacing w:line="133" w:lineRule="exact" w:before="56"/>
              <w:ind w:left="264" w:right="48"/>
              <w:jc w:val="center"/>
              <w:rPr>
                <w:sz w:val="14"/>
              </w:rPr>
            </w:pPr>
            <w:r>
              <w:rPr>
                <w:color w:val="231F20"/>
                <w:sz w:val="14"/>
              </w:rPr>
              <w:t>12</w:t>
            </w:r>
          </w:p>
        </w:tc>
      </w:tr>
      <w:tr>
        <w:trPr>
          <w:trHeight w:val="139" w:hRule="atLeast"/>
        </w:trPr>
        <w:tc>
          <w:tcPr>
            <w:tcW w:w="980" w:type="dxa"/>
          </w:tcPr>
          <w:p>
            <w:pPr>
              <w:pStyle w:val="TableParagraph"/>
              <w:spacing w:line="120" w:lineRule="exact"/>
              <w:ind w:left="50"/>
              <w:rPr>
                <w:sz w:val="14"/>
              </w:rPr>
            </w:pPr>
            <w:r>
              <w:rPr>
                <w:color w:val="231F20"/>
                <w:sz w:val="14"/>
              </w:rPr>
              <w:t>1999 Q4</w:t>
            </w:r>
          </w:p>
        </w:tc>
        <w:tc>
          <w:tcPr>
            <w:tcW w:w="775" w:type="dxa"/>
          </w:tcPr>
          <w:p>
            <w:pPr>
              <w:pStyle w:val="TableParagraph"/>
              <w:spacing w:line="120" w:lineRule="exact"/>
              <w:ind w:left="249" w:right="164"/>
              <w:jc w:val="center"/>
              <w:rPr>
                <w:sz w:val="14"/>
              </w:rPr>
            </w:pPr>
            <w:r>
              <w:rPr>
                <w:color w:val="231F20"/>
                <w:sz w:val="14"/>
              </w:rPr>
              <w:t>10</w:t>
            </w:r>
          </w:p>
        </w:tc>
        <w:tc>
          <w:tcPr>
            <w:tcW w:w="720" w:type="dxa"/>
          </w:tcPr>
          <w:p>
            <w:pPr>
              <w:pStyle w:val="TableParagraph"/>
              <w:spacing w:line="120" w:lineRule="exact"/>
              <w:ind w:right="232"/>
              <w:jc w:val="right"/>
              <w:rPr>
                <w:sz w:val="14"/>
              </w:rPr>
            </w:pPr>
            <w:r>
              <w:rPr>
                <w:color w:val="231F20"/>
                <w:sz w:val="14"/>
              </w:rPr>
              <w:t>37</w:t>
            </w:r>
          </w:p>
        </w:tc>
        <w:tc>
          <w:tcPr>
            <w:tcW w:w="720" w:type="dxa"/>
          </w:tcPr>
          <w:p>
            <w:pPr>
              <w:pStyle w:val="TableParagraph"/>
              <w:spacing w:line="120" w:lineRule="exact"/>
              <w:ind w:right="232"/>
              <w:jc w:val="right"/>
              <w:rPr>
                <w:sz w:val="14"/>
              </w:rPr>
            </w:pPr>
            <w:r>
              <w:rPr>
                <w:color w:val="231F20"/>
                <w:sz w:val="14"/>
              </w:rPr>
              <w:t>39</w:t>
            </w:r>
          </w:p>
        </w:tc>
        <w:tc>
          <w:tcPr>
            <w:tcW w:w="594" w:type="dxa"/>
          </w:tcPr>
          <w:p>
            <w:pPr>
              <w:pStyle w:val="TableParagraph"/>
              <w:spacing w:line="120" w:lineRule="exact"/>
              <w:ind w:left="264" w:right="48"/>
              <w:jc w:val="center"/>
              <w:rPr>
                <w:sz w:val="14"/>
              </w:rPr>
            </w:pPr>
            <w:r>
              <w:rPr>
                <w:color w:val="231F20"/>
                <w:sz w:val="14"/>
              </w:rPr>
              <w:t>14</w:t>
            </w:r>
          </w:p>
        </w:tc>
      </w:tr>
      <w:tr>
        <w:trPr>
          <w:trHeight w:val="147" w:hRule="atLeast"/>
        </w:trPr>
        <w:tc>
          <w:tcPr>
            <w:tcW w:w="980" w:type="dxa"/>
          </w:tcPr>
          <w:p>
            <w:pPr>
              <w:pStyle w:val="TableParagraph"/>
              <w:spacing w:line="128" w:lineRule="exact"/>
              <w:ind w:left="50"/>
              <w:rPr>
                <w:sz w:val="12"/>
              </w:rPr>
            </w:pPr>
            <w:r>
              <w:rPr>
                <w:color w:val="231F20"/>
                <w:sz w:val="14"/>
              </w:rPr>
              <w:t>2000 Q1 </w:t>
            </w:r>
            <w:r>
              <w:rPr>
                <w:color w:val="231F20"/>
                <w:sz w:val="12"/>
              </w:rPr>
              <w:t>(b)</w:t>
            </w:r>
          </w:p>
        </w:tc>
        <w:tc>
          <w:tcPr>
            <w:tcW w:w="775" w:type="dxa"/>
          </w:tcPr>
          <w:p>
            <w:pPr>
              <w:pStyle w:val="TableParagraph"/>
              <w:spacing w:line="128" w:lineRule="exact"/>
              <w:ind w:left="249" w:right="164"/>
              <w:jc w:val="center"/>
              <w:rPr>
                <w:sz w:val="14"/>
              </w:rPr>
            </w:pPr>
            <w:r>
              <w:rPr>
                <w:color w:val="231F20"/>
                <w:sz w:val="14"/>
              </w:rPr>
              <w:t>11</w:t>
            </w:r>
          </w:p>
        </w:tc>
        <w:tc>
          <w:tcPr>
            <w:tcW w:w="720" w:type="dxa"/>
          </w:tcPr>
          <w:p>
            <w:pPr>
              <w:pStyle w:val="TableParagraph"/>
              <w:spacing w:line="128" w:lineRule="exact"/>
              <w:ind w:right="232"/>
              <w:jc w:val="right"/>
              <w:rPr>
                <w:sz w:val="14"/>
              </w:rPr>
            </w:pPr>
            <w:r>
              <w:rPr>
                <w:color w:val="231F20"/>
                <w:sz w:val="14"/>
              </w:rPr>
              <w:t>39</w:t>
            </w:r>
          </w:p>
        </w:tc>
        <w:tc>
          <w:tcPr>
            <w:tcW w:w="720" w:type="dxa"/>
          </w:tcPr>
          <w:p>
            <w:pPr>
              <w:pStyle w:val="TableParagraph"/>
              <w:spacing w:line="128" w:lineRule="exact"/>
              <w:ind w:right="232"/>
              <w:jc w:val="right"/>
              <w:rPr>
                <w:sz w:val="14"/>
              </w:rPr>
            </w:pPr>
            <w:r>
              <w:rPr>
                <w:color w:val="231F20"/>
                <w:sz w:val="14"/>
              </w:rPr>
              <w:t>37</w:t>
            </w:r>
          </w:p>
        </w:tc>
        <w:tc>
          <w:tcPr>
            <w:tcW w:w="594" w:type="dxa"/>
          </w:tcPr>
          <w:p>
            <w:pPr>
              <w:pStyle w:val="TableParagraph"/>
              <w:spacing w:line="128" w:lineRule="exact"/>
              <w:ind w:left="264" w:right="48"/>
              <w:jc w:val="center"/>
              <w:rPr>
                <w:sz w:val="14"/>
              </w:rPr>
            </w:pPr>
            <w:r>
              <w:rPr>
                <w:color w:val="231F20"/>
                <w:sz w:val="14"/>
              </w:rPr>
              <w:t>14</w:t>
            </w:r>
          </w:p>
        </w:tc>
      </w:tr>
    </w:tbl>
    <w:p>
      <w:pPr>
        <w:pStyle w:val="ListParagraph"/>
        <w:numPr>
          <w:ilvl w:val="0"/>
          <w:numId w:val="29"/>
        </w:numPr>
        <w:tabs>
          <w:tab w:pos="425" w:val="left" w:leader="none"/>
        </w:tabs>
        <w:spacing w:line="208" w:lineRule="auto" w:before="137" w:after="0"/>
        <w:ind w:left="425" w:right="73" w:hanging="240"/>
        <w:jc w:val="left"/>
        <w:rPr>
          <w:sz w:val="12"/>
        </w:rPr>
      </w:pPr>
      <w:r>
        <w:rPr>
          <w:color w:val="231F20"/>
          <w:sz w:val="12"/>
        </w:rPr>
        <w:t>38 other forecasters provided the Bank with their assessments of the likelihood, at three time horizons, of expected twelve-month RPIX inflation falling in the </w:t>
      </w:r>
      <w:r>
        <w:rPr>
          <w:color w:val="231F20"/>
          <w:spacing w:val="-3"/>
          <w:sz w:val="12"/>
        </w:rPr>
        <w:t>ranges </w:t>
      </w:r>
      <w:r>
        <w:rPr>
          <w:color w:val="231F20"/>
          <w:sz w:val="12"/>
        </w:rPr>
        <w:t>shown above. This table represents the means of the responses of each range. </w:t>
      </w:r>
      <w:r>
        <w:rPr>
          <w:color w:val="231F20"/>
          <w:spacing w:val="-5"/>
          <w:sz w:val="12"/>
        </w:rPr>
        <w:t>For </w:t>
      </w:r>
      <w:r>
        <w:rPr>
          <w:color w:val="231F20"/>
          <w:sz w:val="12"/>
        </w:rPr>
        <w:t>example, on average, forecasters assign a probability of 11% to inflation turning out to be less than 1.5% in 2000 Q1. Rows may not sum to 100 because of rounding.</w:t>
      </w:r>
    </w:p>
    <w:p>
      <w:pPr>
        <w:pStyle w:val="ListParagraph"/>
        <w:numPr>
          <w:ilvl w:val="0"/>
          <w:numId w:val="29"/>
        </w:numPr>
        <w:tabs>
          <w:tab w:pos="426" w:val="left" w:leader="none"/>
        </w:tabs>
        <w:spacing w:line="123" w:lineRule="exact" w:before="0" w:after="0"/>
        <w:ind w:left="425" w:right="0" w:hanging="241"/>
        <w:jc w:val="left"/>
        <w:rPr>
          <w:sz w:val="12"/>
        </w:rPr>
      </w:pPr>
      <w:r>
        <w:rPr>
          <w:color w:val="231F20"/>
          <w:sz w:val="12"/>
        </w:rPr>
        <w:t>36 forecasters.</w:t>
      </w:r>
    </w:p>
    <w:p>
      <w:pPr>
        <w:pStyle w:val="BodyText"/>
        <w:rPr>
          <w:sz w:val="12"/>
        </w:rPr>
      </w:pPr>
    </w:p>
    <w:p>
      <w:pPr>
        <w:pStyle w:val="BodyText"/>
        <w:rPr>
          <w:sz w:val="12"/>
        </w:rPr>
      </w:pPr>
    </w:p>
    <w:p>
      <w:pPr>
        <w:pStyle w:val="BodyText"/>
        <w:rPr>
          <w:sz w:val="12"/>
        </w:rPr>
      </w:pPr>
    </w:p>
    <w:p>
      <w:pPr>
        <w:pStyle w:val="BodyText"/>
        <w:spacing w:before="7"/>
        <w:rPr>
          <w:sz w:val="11"/>
        </w:rPr>
      </w:pPr>
    </w:p>
    <w:p>
      <w:pPr>
        <w:pStyle w:val="Heading9"/>
        <w:spacing w:before="0"/>
        <w:ind w:left="180"/>
      </w:pPr>
      <w:r>
        <w:rPr>
          <w:color w:val="0093C1"/>
        </w:rPr>
        <w:t>Table 6.C</w:t>
      </w:r>
    </w:p>
    <w:p>
      <w:pPr>
        <w:spacing w:before="10"/>
        <w:ind w:left="180" w:right="0" w:firstLine="0"/>
        <w:jc w:val="left"/>
        <w:rPr>
          <w:sz w:val="12"/>
        </w:rPr>
      </w:pPr>
      <w:r>
        <w:rPr>
          <w:b/>
          <w:color w:val="0093C1"/>
          <w:sz w:val="20"/>
        </w:rPr>
        <w:t>Expected GDP growth</w:t>
      </w:r>
      <w:r>
        <w:rPr>
          <w:color w:val="231F20"/>
          <w:position w:val="4"/>
          <w:sz w:val="12"/>
        </w:rPr>
        <w:t>(a)</w:t>
      </w:r>
    </w:p>
    <w:p>
      <w:pPr>
        <w:spacing w:before="106"/>
        <w:ind w:left="180" w:right="0" w:firstLine="0"/>
        <w:jc w:val="left"/>
        <w:rPr>
          <w:sz w:val="14"/>
        </w:rPr>
      </w:pPr>
      <w:r>
        <w:rPr>
          <w:color w:val="231F20"/>
          <w:sz w:val="14"/>
        </w:rPr>
        <w:t>Probability, per cent</w:t>
      </w:r>
    </w:p>
    <w:p>
      <w:pPr>
        <w:tabs>
          <w:tab w:pos="1619" w:val="left" w:leader="none"/>
          <w:tab w:pos="2199" w:val="left" w:leader="none"/>
          <w:tab w:pos="2819" w:val="left" w:leader="none"/>
          <w:tab w:pos="3399" w:val="left" w:leader="none"/>
          <w:tab w:pos="4019" w:val="left" w:leader="none"/>
          <w:tab w:pos="4349" w:val="left" w:leader="none"/>
        </w:tabs>
        <w:spacing w:line="218" w:lineRule="auto" w:before="131"/>
        <w:ind w:left="999" w:right="104" w:firstLine="0"/>
        <w:jc w:val="left"/>
        <w:rPr>
          <w:sz w:val="14"/>
        </w:rPr>
      </w:pPr>
      <w:r>
        <w:rPr>
          <w:color w:val="231F20"/>
          <w:sz w:val="14"/>
          <w:u w:val="single" w:color="231F20"/>
        </w:rPr>
        <w:t>Range:</w:t>
        <w:tab/>
        <w:tab/>
        <w:tab/>
        <w:tab/>
        <w:tab/>
        <w:tab/>
      </w:r>
      <w:r>
        <w:rPr>
          <w:color w:val="231F20"/>
          <w:sz w:val="14"/>
        </w:rPr>
        <w:t> less</w:t>
        <w:tab/>
        <w:t>0%</w:t>
        <w:tab/>
        <w:t>1%</w:t>
        <w:tab/>
        <w:t>2%</w:t>
        <w:tab/>
        <w:t>3%</w:t>
        <w:tab/>
        <w:t>More than</w:t>
        <w:tab/>
        <w:t>to</w:t>
        <w:tab/>
        <w:t>to</w:t>
        <w:tab/>
        <w:t>to</w:t>
        <w:tab/>
        <w:t>to</w:t>
        <w:tab/>
        <w:t>than </w:t>
      </w:r>
      <w:r>
        <w:rPr>
          <w:color w:val="231F20"/>
          <w:sz w:val="14"/>
          <w:u w:val="single" w:color="231F20"/>
        </w:rPr>
        <w:t>0%</w:t>
      </w:r>
      <w:r>
        <w:rPr>
          <w:color w:val="231F20"/>
          <w:sz w:val="14"/>
        </w:rPr>
        <w:tab/>
      </w:r>
      <w:r>
        <w:rPr>
          <w:color w:val="231F20"/>
          <w:sz w:val="14"/>
          <w:u w:val="single" w:color="231F20"/>
        </w:rPr>
        <w:t>1%</w:t>
      </w:r>
      <w:r>
        <w:rPr>
          <w:color w:val="231F20"/>
          <w:sz w:val="14"/>
        </w:rPr>
        <w:tab/>
      </w:r>
      <w:r>
        <w:rPr>
          <w:color w:val="231F20"/>
          <w:sz w:val="14"/>
          <w:u w:val="single" w:color="231F20"/>
        </w:rPr>
        <w:t>2%</w:t>
      </w:r>
      <w:r>
        <w:rPr>
          <w:color w:val="231F20"/>
          <w:sz w:val="14"/>
        </w:rPr>
        <w:tab/>
      </w:r>
      <w:r>
        <w:rPr>
          <w:color w:val="231F20"/>
          <w:sz w:val="14"/>
          <w:u w:val="single" w:color="231F20"/>
        </w:rPr>
        <w:t>3%</w:t>
      </w:r>
      <w:r>
        <w:rPr>
          <w:color w:val="231F20"/>
          <w:sz w:val="14"/>
        </w:rPr>
        <w:tab/>
      </w:r>
      <w:r>
        <w:rPr>
          <w:color w:val="231F20"/>
          <w:sz w:val="14"/>
          <w:u w:val="single" w:color="231F20"/>
        </w:rPr>
        <w:t>4%</w:t>
      </w:r>
      <w:r>
        <w:rPr>
          <w:color w:val="231F20"/>
          <w:sz w:val="14"/>
        </w:rPr>
        <w:tab/>
      </w:r>
      <w:r>
        <w:rPr>
          <w:color w:val="231F20"/>
          <w:sz w:val="14"/>
          <w:u w:val="single" w:color="231F20"/>
        </w:rPr>
        <w:t>4%</w:t>
      </w:r>
      <w:r>
        <w:rPr>
          <w:color w:val="231F20"/>
          <w:spacing w:val="13"/>
          <w:sz w:val="14"/>
          <w:u w:val="single" w:color="231F20"/>
        </w:rPr>
        <w:t> </w:t>
      </w:r>
    </w:p>
    <w:p>
      <w:pPr>
        <w:tabs>
          <w:tab w:pos="1149" w:val="left" w:leader="none"/>
          <w:tab w:pos="1639" w:val="left" w:leader="none"/>
          <w:tab w:pos="2240" w:val="left" w:leader="none"/>
          <w:tab w:pos="2850" w:val="left" w:leader="none"/>
          <w:tab w:pos="3500" w:val="left" w:leader="none"/>
          <w:tab w:pos="4190" w:val="right" w:leader="none"/>
        </w:tabs>
        <w:spacing w:line="150" w:lineRule="exact" w:before="122"/>
        <w:ind w:left="179" w:right="0" w:firstLine="0"/>
        <w:jc w:val="left"/>
        <w:rPr>
          <w:sz w:val="14"/>
        </w:rPr>
      </w:pPr>
      <w:r>
        <w:rPr>
          <w:color w:val="231F20"/>
          <w:sz w:val="14"/>
        </w:rPr>
        <w:t>1998 Q4</w:t>
        <w:tab/>
        <w:t>4</w:t>
        <w:tab/>
        <w:t>15</w:t>
        <w:tab/>
        <w:t>38</w:t>
        <w:tab/>
        <w:t>32</w:t>
        <w:tab/>
        <w:t>8</w:t>
        <w:tab/>
        <w:t>2</w:t>
      </w:r>
    </w:p>
    <w:p>
      <w:pPr>
        <w:tabs>
          <w:tab w:pos="1149" w:val="left" w:leader="none"/>
          <w:tab w:pos="1639" w:val="left" w:leader="none"/>
          <w:tab w:pos="2240" w:val="left" w:leader="none"/>
          <w:tab w:pos="2850" w:val="left" w:leader="none"/>
          <w:tab w:pos="3430" w:val="left" w:leader="none"/>
          <w:tab w:pos="4190" w:val="right" w:leader="none"/>
        </w:tabs>
        <w:spacing w:line="140" w:lineRule="exact" w:before="0"/>
        <w:ind w:left="179" w:right="0" w:firstLine="0"/>
        <w:jc w:val="left"/>
        <w:rPr>
          <w:sz w:val="14"/>
        </w:rPr>
      </w:pPr>
      <w:r>
        <w:rPr>
          <w:color w:val="231F20"/>
          <w:sz w:val="14"/>
        </w:rPr>
        <w:t>1999 Q4</w:t>
        <w:tab/>
        <w:t>5</w:t>
        <w:tab/>
        <w:t>13</w:t>
        <w:tab/>
        <w:t>32</w:t>
        <w:tab/>
        <w:t>34</w:t>
        <w:tab/>
        <w:t>12</w:t>
        <w:tab/>
        <w:t>4</w:t>
      </w:r>
    </w:p>
    <w:p>
      <w:pPr>
        <w:tabs>
          <w:tab w:pos="1149" w:val="left" w:leader="none"/>
          <w:tab w:pos="1639" w:val="left" w:leader="none"/>
          <w:tab w:pos="2239" w:val="left" w:leader="none"/>
          <w:tab w:pos="2849" w:val="left" w:leader="none"/>
          <w:tab w:pos="3429" w:val="left" w:leader="none"/>
          <w:tab w:pos="4190" w:val="right" w:leader="none"/>
        </w:tabs>
        <w:spacing w:line="150" w:lineRule="exact" w:before="0"/>
        <w:ind w:left="179" w:right="0" w:firstLine="0"/>
        <w:jc w:val="left"/>
        <w:rPr>
          <w:sz w:val="14"/>
        </w:rPr>
      </w:pPr>
      <w:r>
        <w:rPr>
          <w:color w:val="231F20"/>
          <w:sz w:val="14"/>
        </w:rPr>
        <w:t>2000</w:t>
      </w:r>
      <w:r>
        <w:rPr>
          <w:color w:val="231F20"/>
          <w:spacing w:val="-1"/>
          <w:sz w:val="14"/>
        </w:rPr>
        <w:t> </w:t>
      </w:r>
      <w:r>
        <w:rPr>
          <w:color w:val="231F20"/>
          <w:sz w:val="14"/>
        </w:rPr>
        <w:t>Q1</w:t>
      </w:r>
      <w:r>
        <w:rPr>
          <w:color w:val="231F20"/>
          <w:spacing w:val="-1"/>
          <w:sz w:val="14"/>
        </w:rPr>
        <w:t> </w:t>
      </w:r>
      <w:r>
        <w:rPr>
          <w:color w:val="231F20"/>
          <w:sz w:val="12"/>
        </w:rPr>
        <w:t>(b)</w:t>
        <w:tab/>
      </w:r>
      <w:r>
        <w:rPr>
          <w:color w:val="231F20"/>
          <w:sz w:val="14"/>
        </w:rPr>
        <w:t>5</w:t>
        <w:tab/>
        <w:t>11</w:t>
        <w:tab/>
        <w:t>30</w:t>
        <w:tab/>
        <w:t>36</w:t>
        <w:tab/>
        <w:t>13</w:t>
        <w:tab/>
        <w:t>6</w:t>
      </w:r>
    </w:p>
    <w:p>
      <w:pPr>
        <w:pStyle w:val="ListParagraph"/>
        <w:numPr>
          <w:ilvl w:val="0"/>
          <w:numId w:val="30"/>
        </w:numPr>
        <w:tabs>
          <w:tab w:pos="420" w:val="left" w:leader="none"/>
        </w:tabs>
        <w:spacing w:line="208" w:lineRule="auto" w:before="132" w:after="0"/>
        <w:ind w:left="420" w:right="38" w:hanging="240"/>
        <w:jc w:val="left"/>
        <w:rPr>
          <w:sz w:val="12"/>
        </w:rPr>
      </w:pPr>
      <w:r>
        <w:rPr>
          <w:color w:val="231F20"/>
          <w:sz w:val="12"/>
        </w:rPr>
        <w:t>37 other forecasters provided the Bank with their assessments of the likelihood, at three time horizons, of expected annual GDP growth falling in the ranges shown above. This table represents the means of responses of each range.  For example, on average, forecasters assign a probability of 5% to annual GDP growth turning out to be less than 0% in 2000 Q1. Rows may not sum to 100 because of</w:t>
      </w:r>
      <w:r>
        <w:rPr>
          <w:color w:val="231F20"/>
          <w:spacing w:val="-18"/>
          <w:sz w:val="12"/>
        </w:rPr>
        <w:t> </w:t>
      </w:r>
      <w:r>
        <w:rPr>
          <w:color w:val="231F20"/>
          <w:sz w:val="12"/>
        </w:rPr>
        <w:t>rounding.</w:t>
      </w:r>
    </w:p>
    <w:p>
      <w:pPr>
        <w:pStyle w:val="ListParagraph"/>
        <w:numPr>
          <w:ilvl w:val="0"/>
          <w:numId w:val="30"/>
        </w:numPr>
        <w:tabs>
          <w:tab w:pos="421" w:val="left" w:leader="none"/>
        </w:tabs>
        <w:spacing w:line="123" w:lineRule="exact" w:before="0" w:after="0"/>
        <w:ind w:left="420" w:right="0" w:hanging="241"/>
        <w:jc w:val="left"/>
        <w:rPr>
          <w:sz w:val="12"/>
        </w:rPr>
      </w:pPr>
      <w:r>
        <w:rPr>
          <w:color w:val="231F20"/>
          <w:sz w:val="12"/>
        </w:rPr>
        <w:t>34 forecasters.</w:t>
      </w:r>
    </w:p>
    <w:p>
      <w:pPr>
        <w:pStyle w:val="BodyText"/>
        <w:rPr>
          <w:sz w:val="12"/>
        </w:rPr>
      </w:pPr>
    </w:p>
    <w:p>
      <w:pPr>
        <w:pStyle w:val="BodyText"/>
        <w:rPr>
          <w:sz w:val="12"/>
        </w:rPr>
      </w:pPr>
    </w:p>
    <w:p>
      <w:pPr>
        <w:pStyle w:val="BodyText"/>
        <w:spacing w:before="8"/>
        <w:rPr>
          <w:sz w:val="9"/>
        </w:rPr>
      </w:pPr>
    </w:p>
    <w:p>
      <w:pPr>
        <w:pStyle w:val="Heading9"/>
        <w:spacing w:before="0"/>
        <w:ind w:left="170"/>
      </w:pPr>
      <w:r>
        <w:rPr>
          <w:color w:val="0093C1"/>
        </w:rPr>
        <w:t>Table 6.D</w:t>
      </w:r>
    </w:p>
    <w:p>
      <w:pPr>
        <w:spacing w:line="249" w:lineRule="auto" w:before="10"/>
        <w:ind w:left="170" w:right="737" w:firstLine="0"/>
        <w:jc w:val="left"/>
        <w:rPr>
          <w:b/>
          <w:sz w:val="20"/>
        </w:rPr>
      </w:pPr>
      <w:r>
        <w:rPr>
          <w:b/>
          <w:color w:val="0093C1"/>
          <w:sz w:val="20"/>
        </w:rPr>
        <w:t>Merrill Lynch-Gallup Survey of UK fund managers’ inflation expectations</w:t>
      </w:r>
    </w:p>
    <w:p>
      <w:pPr>
        <w:spacing w:before="98"/>
        <w:ind w:left="170" w:right="0" w:firstLine="0"/>
        <w:jc w:val="left"/>
        <w:rPr>
          <w:sz w:val="14"/>
        </w:rPr>
      </w:pPr>
      <w:r>
        <w:rPr>
          <w:color w:val="231F20"/>
          <w:sz w:val="14"/>
        </w:rPr>
        <w:t>Percentage increases in prices</w:t>
      </w:r>
    </w:p>
    <w:p>
      <w:pPr>
        <w:tabs>
          <w:tab w:pos="4259" w:val="left" w:leader="none"/>
        </w:tabs>
        <w:spacing w:before="119"/>
        <w:ind w:left="1609" w:right="0" w:firstLine="0"/>
        <w:jc w:val="left"/>
        <w:rPr>
          <w:sz w:val="14"/>
        </w:rPr>
      </w:pPr>
      <w:r>
        <w:rPr>
          <w:color w:val="231F20"/>
          <w:sz w:val="14"/>
          <w:u w:val="single" w:color="231F20"/>
        </w:rPr>
        <w:t>Month of survey</w:t>
        <w:tab/>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613"/>
        <w:gridCol w:w="578"/>
        <w:gridCol w:w="618"/>
        <w:gridCol w:w="592"/>
        <w:gridCol w:w="451"/>
      </w:tblGrid>
      <w:tr>
        <w:trPr>
          <w:trHeight w:val="357" w:hRule="atLeast"/>
        </w:trPr>
        <w:tc>
          <w:tcPr>
            <w:tcW w:w="1308" w:type="dxa"/>
          </w:tcPr>
          <w:p>
            <w:pPr>
              <w:pStyle w:val="TableParagraph"/>
              <w:spacing w:line="208" w:lineRule="auto" w:before="11"/>
              <w:ind w:left="50" w:right="160"/>
              <w:rPr>
                <w:sz w:val="14"/>
              </w:rPr>
            </w:pPr>
            <w:r>
              <w:rPr>
                <w:color w:val="231F20"/>
                <w:sz w:val="14"/>
              </w:rPr>
              <w:t>Twelve-month RPI inflation in:</w:t>
            </w:r>
          </w:p>
        </w:tc>
        <w:tc>
          <w:tcPr>
            <w:tcW w:w="613" w:type="dxa"/>
          </w:tcPr>
          <w:p>
            <w:pPr>
              <w:pStyle w:val="TableParagraph"/>
              <w:spacing w:line="145" w:lineRule="exact"/>
              <w:ind w:left="182"/>
              <w:rPr>
                <w:sz w:val="14"/>
              </w:rPr>
            </w:pPr>
            <w:r>
              <w:rPr>
                <w:color w:val="231F20"/>
                <w:sz w:val="14"/>
              </w:rPr>
              <w:t>1997</w:t>
            </w:r>
          </w:p>
          <w:p>
            <w:pPr>
              <w:pStyle w:val="TableParagraph"/>
              <w:spacing w:line="150" w:lineRule="exact"/>
              <w:ind w:left="181"/>
              <w:rPr>
                <w:sz w:val="14"/>
              </w:rPr>
            </w:pPr>
            <w:r>
              <w:rPr>
                <w:color w:val="231F20"/>
                <w:sz w:val="14"/>
                <w:u w:val="single" w:color="231F20"/>
              </w:rPr>
              <w:t>Sept.</w:t>
            </w:r>
          </w:p>
        </w:tc>
        <w:tc>
          <w:tcPr>
            <w:tcW w:w="578" w:type="dxa"/>
          </w:tcPr>
          <w:p>
            <w:pPr>
              <w:pStyle w:val="TableParagraph"/>
              <w:spacing w:before="134"/>
              <w:ind w:left="127" w:right="167"/>
              <w:jc w:val="center"/>
              <w:rPr>
                <w:sz w:val="14"/>
              </w:rPr>
            </w:pPr>
            <w:r>
              <w:rPr>
                <w:color w:val="231F20"/>
                <w:sz w:val="14"/>
                <w:u w:val="single" w:color="231F20"/>
              </w:rPr>
              <w:t>Oct.</w:t>
            </w:r>
          </w:p>
        </w:tc>
        <w:tc>
          <w:tcPr>
            <w:tcW w:w="618" w:type="dxa"/>
          </w:tcPr>
          <w:p>
            <w:pPr>
              <w:pStyle w:val="TableParagraph"/>
              <w:spacing w:before="134"/>
              <w:ind w:right="148"/>
              <w:jc w:val="right"/>
              <w:rPr>
                <w:sz w:val="14"/>
              </w:rPr>
            </w:pPr>
            <w:r>
              <w:rPr>
                <w:color w:val="231F20"/>
                <w:sz w:val="14"/>
                <w:u w:val="single" w:color="231F20"/>
              </w:rPr>
              <w:t>Nov</w:t>
            </w:r>
            <w:r>
              <w:rPr>
                <w:color w:val="231F20"/>
                <w:sz w:val="14"/>
              </w:rPr>
              <w:t>.</w:t>
            </w:r>
          </w:p>
        </w:tc>
        <w:tc>
          <w:tcPr>
            <w:tcW w:w="592" w:type="dxa"/>
          </w:tcPr>
          <w:p>
            <w:pPr>
              <w:pStyle w:val="TableParagraph"/>
              <w:spacing w:before="134"/>
              <w:ind w:right="176"/>
              <w:jc w:val="right"/>
              <w:rPr>
                <w:sz w:val="14"/>
              </w:rPr>
            </w:pPr>
            <w:r>
              <w:rPr>
                <w:color w:val="231F20"/>
                <w:sz w:val="14"/>
                <w:u w:val="single" w:color="231F20"/>
              </w:rPr>
              <w:t>Dec.</w:t>
            </w:r>
          </w:p>
        </w:tc>
        <w:tc>
          <w:tcPr>
            <w:tcW w:w="451" w:type="dxa"/>
          </w:tcPr>
          <w:p>
            <w:pPr>
              <w:pStyle w:val="TableParagraph"/>
              <w:spacing w:before="134"/>
              <w:ind w:right="46"/>
              <w:jc w:val="right"/>
              <w:rPr>
                <w:sz w:val="14"/>
              </w:rPr>
            </w:pPr>
            <w:r>
              <w:rPr>
                <w:color w:val="231F20"/>
                <w:sz w:val="14"/>
                <w:u w:val="single" w:color="231F20"/>
              </w:rPr>
              <w:t>Jan.</w:t>
            </w:r>
          </w:p>
        </w:tc>
      </w:tr>
      <w:tr>
        <w:trPr>
          <w:trHeight w:val="210" w:hRule="atLeast"/>
        </w:trPr>
        <w:tc>
          <w:tcPr>
            <w:tcW w:w="1308" w:type="dxa"/>
          </w:tcPr>
          <w:p>
            <w:pPr>
              <w:pStyle w:val="TableParagraph"/>
              <w:spacing w:line="133" w:lineRule="exact" w:before="56"/>
              <w:ind w:left="50"/>
              <w:rPr>
                <w:sz w:val="14"/>
              </w:rPr>
            </w:pPr>
            <w:r>
              <w:rPr>
                <w:color w:val="231F20"/>
                <w:sz w:val="14"/>
              </w:rPr>
              <w:t>December 1998</w:t>
            </w:r>
          </w:p>
        </w:tc>
        <w:tc>
          <w:tcPr>
            <w:tcW w:w="613" w:type="dxa"/>
          </w:tcPr>
          <w:p>
            <w:pPr>
              <w:pStyle w:val="TableParagraph"/>
              <w:spacing w:line="133" w:lineRule="exact" w:before="56"/>
              <w:ind w:left="209" w:right="134"/>
              <w:jc w:val="center"/>
              <w:rPr>
                <w:sz w:val="14"/>
              </w:rPr>
            </w:pPr>
            <w:r>
              <w:rPr>
                <w:color w:val="231F20"/>
                <w:sz w:val="14"/>
              </w:rPr>
              <w:t>3.2</w:t>
            </w:r>
          </w:p>
        </w:tc>
        <w:tc>
          <w:tcPr>
            <w:tcW w:w="578" w:type="dxa"/>
          </w:tcPr>
          <w:p>
            <w:pPr>
              <w:pStyle w:val="TableParagraph"/>
              <w:spacing w:line="133" w:lineRule="exact" w:before="56"/>
              <w:ind w:left="130" w:right="106"/>
              <w:jc w:val="center"/>
              <w:rPr>
                <w:sz w:val="14"/>
              </w:rPr>
            </w:pPr>
            <w:r>
              <w:rPr>
                <w:color w:val="231F20"/>
                <w:sz w:val="14"/>
              </w:rPr>
              <w:t>3.2</w:t>
            </w:r>
          </w:p>
        </w:tc>
        <w:tc>
          <w:tcPr>
            <w:tcW w:w="618" w:type="dxa"/>
          </w:tcPr>
          <w:p>
            <w:pPr>
              <w:pStyle w:val="TableParagraph"/>
              <w:spacing w:line="133" w:lineRule="exact" w:before="56"/>
              <w:ind w:right="165"/>
              <w:jc w:val="right"/>
              <w:rPr>
                <w:sz w:val="14"/>
              </w:rPr>
            </w:pPr>
            <w:r>
              <w:rPr>
                <w:color w:val="231F20"/>
                <w:sz w:val="14"/>
              </w:rPr>
              <w:t>3.2</w:t>
            </w:r>
          </w:p>
        </w:tc>
        <w:tc>
          <w:tcPr>
            <w:tcW w:w="592" w:type="dxa"/>
          </w:tcPr>
          <w:p>
            <w:pPr>
              <w:pStyle w:val="TableParagraph"/>
              <w:spacing w:line="133" w:lineRule="exact" w:before="56"/>
              <w:ind w:right="187"/>
              <w:jc w:val="right"/>
              <w:rPr>
                <w:sz w:val="14"/>
              </w:rPr>
            </w:pPr>
            <w:r>
              <w:rPr>
                <w:color w:val="231F20"/>
                <w:sz w:val="14"/>
              </w:rPr>
              <w:t>3.2</w:t>
            </w:r>
          </w:p>
        </w:tc>
        <w:tc>
          <w:tcPr>
            <w:tcW w:w="451" w:type="dxa"/>
          </w:tcPr>
          <w:p>
            <w:pPr>
              <w:pStyle w:val="TableParagraph"/>
              <w:spacing w:line="133" w:lineRule="exact" w:before="56"/>
              <w:ind w:right="48"/>
              <w:jc w:val="right"/>
              <w:rPr>
                <w:sz w:val="14"/>
              </w:rPr>
            </w:pPr>
            <w:r>
              <w:rPr>
                <w:color w:val="231F20"/>
                <w:sz w:val="14"/>
              </w:rPr>
              <w:t>3.2</w:t>
            </w:r>
          </w:p>
        </w:tc>
      </w:tr>
      <w:tr>
        <w:trPr>
          <w:trHeight w:val="147" w:hRule="atLeast"/>
        </w:trPr>
        <w:tc>
          <w:tcPr>
            <w:tcW w:w="1308" w:type="dxa"/>
          </w:tcPr>
          <w:p>
            <w:pPr>
              <w:pStyle w:val="TableParagraph"/>
              <w:spacing w:line="128" w:lineRule="exact"/>
              <w:ind w:left="50"/>
              <w:rPr>
                <w:sz w:val="14"/>
              </w:rPr>
            </w:pPr>
            <w:r>
              <w:rPr>
                <w:color w:val="231F20"/>
                <w:sz w:val="14"/>
              </w:rPr>
              <w:t>December 1999</w:t>
            </w:r>
          </w:p>
        </w:tc>
        <w:tc>
          <w:tcPr>
            <w:tcW w:w="613" w:type="dxa"/>
          </w:tcPr>
          <w:p>
            <w:pPr>
              <w:pStyle w:val="TableParagraph"/>
              <w:spacing w:line="128" w:lineRule="exact"/>
              <w:ind w:left="209" w:right="161"/>
              <w:jc w:val="center"/>
              <w:rPr>
                <w:sz w:val="14"/>
              </w:rPr>
            </w:pPr>
            <w:r>
              <w:rPr>
                <w:color w:val="231F20"/>
                <w:sz w:val="14"/>
              </w:rPr>
              <w:t>n.a.</w:t>
            </w:r>
          </w:p>
        </w:tc>
        <w:tc>
          <w:tcPr>
            <w:tcW w:w="578" w:type="dxa"/>
          </w:tcPr>
          <w:p>
            <w:pPr>
              <w:pStyle w:val="TableParagraph"/>
              <w:spacing w:line="128" w:lineRule="exact"/>
              <w:ind w:left="130" w:right="130"/>
              <w:jc w:val="center"/>
              <w:rPr>
                <w:sz w:val="14"/>
              </w:rPr>
            </w:pPr>
            <w:r>
              <w:rPr>
                <w:color w:val="231F20"/>
                <w:sz w:val="14"/>
              </w:rPr>
              <w:t>n.a.</w:t>
            </w:r>
          </w:p>
        </w:tc>
        <w:tc>
          <w:tcPr>
            <w:tcW w:w="618" w:type="dxa"/>
          </w:tcPr>
          <w:p>
            <w:pPr>
              <w:pStyle w:val="TableParagraph"/>
              <w:spacing w:line="128" w:lineRule="exact"/>
              <w:ind w:right="165"/>
              <w:jc w:val="right"/>
              <w:rPr>
                <w:sz w:val="14"/>
              </w:rPr>
            </w:pPr>
            <w:r>
              <w:rPr>
                <w:color w:val="231F20"/>
                <w:sz w:val="14"/>
              </w:rPr>
              <w:t>n.a.</w:t>
            </w:r>
          </w:p>
        </w:tc>
        <w:tc>
          <w:tcPr>
            <w:tcW w:w="592" w:type="dxa"/>
          </w:tcPr>
          <w:p>
            <w:pPr>
              <w:pStyle w:val="TableParagraph"/>
              <w:spacing w:line="128" w:lineRule="exact"/>
              <w:ind w:right="187"/>
              <w:jc w:val="right"/>
              <w:rPr>
                <w:sz w:val="14"/>
              </w:rPr>
            </w:pPr>
            <w:r>
              <w:rPr>
                <w:color w:val="231F20"/>
                <w:sz w:val="14"/>
              </w:rPr>
              <w:t>n.a.</w:t>
            </w:r>
          </w:p>
        </w:tc>
        <w:tc>
          <w:tcPr>
            <w:tcW w:w="451" w:type="dxa"/>
          </w:tcPr>
          <w:p>
            <w:pPr>
              <w:pStyle w:val="TableParagraph"/>
              <w:spacing w:line="128" w:lineRule="exact"/>
              <w:ind w:right="48"/>
              <w:jc w:val="right"/>
              <w:rPr>
                <w:sz w:val="14"/>
              </w:rPr>
            </w:pPr>
            <w:r>
              <w:rPr>
                <w:color w:val="231F20"/>
                <w:sz w:val="14"/>
              </w:rPr>
              <w:t>2.9</w:t>
            </w:r>
          </w:p>
        </w:tc>
      </w:tr>
    </w:tbl>
    <w:p>
      <w:pPr>
        <w:pStyle w:val="Heading5"/>
        <w:spacing w:line="242" w:lineRule="auto" w:before="4"/>
        <w:ind w:left="170" w:right="149"/>
      </w:pPr>
      <w:r>
        <w:rPr/>
        <w:br w:type="column"/>
      </w:r>
      <w:r>
        <w:rPr>
          <w:color w:val="231F20"/>
        </w:rPr>
        <w:t>Overall, outside forecasters assign a 50% probability to inflation being above the target in the first quarter of 2000, and a 50% probability to it being below. These figures are slightly different from the MPC’s projections, summarised in Table 6.A, which attach a somewhat higher probability to inflation being above 2</w:t>
      </w:r>
      <w:r>
        <w:rPr>
          <w:color w:val="231F20"/>
          <w:position w:val="8"/>
          <w:sz w:val="12"/>
        </w:rPr>
        <w:t>1</w:t>
      </w:r>
      <w:r>
        <w:rPr>
          <w:color w:val="231F20"/>
        </w:rPr>
        <w:t>/</w:t>
      </w:r>
      <w:r>
        <w:rPr>
          <w:color w:val="231F20"/>
          <w:sz w:val="12"/>
        </w:rPr>
        <w:t>2</w:t>
      </w:r>
      <w:r>
        <w:rPr>
          <w:color w:val="231F20"/>
        </w:rPr>
        <w:t>% than below.</w:t>
      </w:r>
    </w:p>
    <w:p>
      <w:pPr>
        <w:pStyle w:val="BodyText"/>
        <w:spacing w:before="10"/>
        <w:rPr>
          <w:sz w:val="26"/>
        </w:rPr>
      </w:pPr>
    </w:p>
    <w:p>
      <w:pPr>
        <w:spacing w:line="242" w:lineRule="auto" w:before="0"/>
        <w:ind w:left="170" w:right="188" w:firstLine="0"/>
        <w:jc w:val="left"/>
        <w:rPr>
          <w:sz w:val="24"/>
        </w:rPr>
      </w:pPr>
      <w:r>
        <w:rPr>
          <w:color w:val="231F20"/>
          <w:sz w:val="24"/>
        </w:rPr>
        <w:t>For the first time, other forecasters </w:t>
      </w:r>
      <w:r>
        <w:rPr>
          <w:color w:val="231F20"/>
          <w:spacing w:val="-3"/>
          <w:sz w:val="24"/>
        </w:rPr>
        <w:t>have </w:t>
      </w:r>
      <w:r>
        <w:rPr>
          <w:color w:val="231F20"/>
          <w:sz w:val="24"/>
        </w:rPr>
        <w:t>provided the Bank with their assessment of the prospects for output. Their average central projection for GDP growth in the year to 1998 Q4 is for growth of around 1</w:t>
      </w:r>
      <w:r>
        <w:rPr>
          <w:color w:val="231F20"/>
          <w:position w:val="8"/>
          <w:sz w:val="12"/>
        </w:rPr>
        <w:t>3</w:t>
      </w:r>
      <w:r>
        <w:rPr>
          <w:color w:val="231F20"/>
          <w:sz w:val="24"/>
        </w:rPr>
        <w:t>/</w:t>
      </w:r>
      <w:r>
        <w:rPr>
          <w:color w:val="231F20"/>
          <w:sz w:val="12"/>
        </w:rPr>
        <w:t>4</w:t>
      </w:r>
      <w:r>
        <w:rPr>
          <w:color w:val="231F20"/>
          <w:sz w:val="24"/>
        </w:rPr>
        <w:t>%, rising to 2</w:t>
      </w:r>
      <w:r>
        <w:rPr>
          <w:color w:val="231F20"/>
          <w:position w:val="8"/>
          <w:sz w:val="12"/>
        </w:rPr>
        <w:t>1</w:t>
      </w:r>
      <w:r>
        <w:rPr>
          <w:color w:val="231F20"/>
          <w:sz w:val="24"/>
        </w:rPr>
        <w:t>/</w:t>
      </w:r>
      <w:r>
        <w:rPr>
          <w:color w:val="231F20"/>
          <w:sz w:val="12"/>
        </w:rPr>
        <w:t>4</w:t>
      </w:r>
      <w:r>
        <w:rPr>
          <w:color w:val="231F20"/>
          <w:sz w:val="24"/>
        </w:rPr>
        <w:t>% in the year to 1999 Q4.  These figures are similar to the </w:t>
      </w:r>
      <w:r>
        <w:rPr>
          <w:color w:val="231F20"/>
          <w:spacing w:val="-3"/>
          <w:sz w:val="24"/>
        </w:rPr>
        <w:t>MPC’s </w:t>
      </w:r>
      <w:r>
        <w:rPr>
          <w:color w:val="231F20"/>
          <w:sz w:val="24"/>
        </w:rPr>
        <w:t>central projection during the next two years. The forecasters’ distribution of possible </w:t>
      </w:r>
      <w:r>
        <w:rPr>
          <w:color w:val="231F20"/>
          <w:spacing w:val="-3"/>
          <w:sz w:val="24"/>
        </w:rPr>
        <w:t>outcomes </w:t>
      </w:r>
      <w:r>
        <w:rPr>
          <w:color w:val="231F20"/>
          <w:sz w:val="24"/>
        </w:rPr>
        <w:t>for GDP growth in 1998 and 1999 (see </w:t>
      </w:r>
      <w:r>
        <w:rPr>
          <w:color w:val="231F20"/>
          <w:spacing w:val="-4"/>
          <w:sz w:val="24"/>
        </w:rPr>
        <w:t>Table </w:t>
      </w:r>
      <w:r>
        <w:rPr>
          <w:color w:val="231F20"/>
          <w:sz w:val="24"/>
        </w:rPr>
        <w:t>6.C) shows a broadly symmetrical</w:t>
      </w:r>
      <w:r>
        <w:rPr>
          <w:color w:val="231F20"/>
          <w:spacing w:val="-1"/>
          <w:sz w:val="24"/>
        </w:rPr>
        <w:t> </w:t>
      </w:r>
      <w:r>
        <w:rPr>
          <w:color w:val="231F20"/>
          <w:sz w:val="24"/>
        </w:rPr>
        <w:t>distribution.</w:t>
      </w:r>
    </w:p>
    <w:p>
      <w:pPr>
        <w:pStyle w:val="BodyText"/>
        <w:spacing w:before="9"/>
        <w:rPr>
          <w:sz w:val="28"/>
        </w:rPr>
      </w:pPr>
    </w:p>
    <w:p>
      <w:pPr>
        <w:spacing w:line="242" w:lineRule="auto" w:before="1"/>
        <w:ind w:left="170" w:right="149" w:firstLine="0"/>
        <w:jc w:val="left"/>
        <w:rPr>
          <w:sz w:val="24"/>
        </w:rPr>
      </w:pPr>
      <w:r>
        <w:rPr>
          <w:color w:val="231F20"/>
          <w:sz w:val="24"/>
        </w:rPr>
        <w:t>The Merrill Lynch-Gallup Survey of fund managers suggests that inflation expectations for December 1998 have not, at 3.2%, changed during the past three months (see Table 6.D). They expect inflation to fall to 2.9% by December 1999, but those expectations relate to RPI inflation, which is affected by anticipated changes in interest rates. Ta</w:t>
      </w:r>
      <w:hyperlink w:history="true" w:anchor="_bookmark18">
        <w:r>
          <w:rPr>
            <w:color w:val="231F20"/>
            <w:sz w:val="24"/>
          </w:rPr>
          <w:t>ble 3.B (see Section 3)</w:t>
        </w:r>
      </w:hyperlink>
      <w:r>
        <w:rPr>
          <w:color w:val="231F20"/>
          <w:sz w:val="24"/>
        </w:rPr>
        <w:t> shows that according to the Barclays Basix Survey, inflation expectations were broadly flat between September and December.</w:t>
      </w:r>
    </w:p>
    <w:p>
      <w:pPr>
        <w:pStyle w:val="BodyText"/>
        <w:spacing w:before="10"/>
        <w:rPr>
          <w:sz w:val="28"/>
        </w:rPr>
      </w:pPr>
    </w:p>
    <w:p>
      <w:pPr>
        <w:spacing w:line="242" w:lineRule="auto" w:before="0"/>
        <w:ind w:left="170" w:right="149" w:firstLine="0"/>
        <w:jc w:val="left"/>
        <w:rPr>
          <w:sz w:val="24"/>
        </w:rPr>
      </w:pPr>
      <w:r>
        <w:rPr>
          <w:color w:val="231F20"/>
          <w:sz w:val="24"/>
        </w:rPr>
        <w:t>Longer-term market expectations of RPI inflation, derived by comparing conventional with index-linked government bond prices, have fallen below 3% at maturities of five and ten years (see Chart 6.9).</w:t>
      </w:r>
    </w:p>
    <w:p>
      <w:pPr>
        <w:spacing w:before="5"/>
        <w:ind w:left="170" w:right="0" w:firstLine="0"/>
        <w:jc w:val="left"/>
        <w:rPr>
          <w:sz w:val="24"/>
        </w:rPr>
      </w:pPr>
      <w:r>
        <w:rPr>
          <w:color w:val="231F20"/>
          <w:sz w:val="24"/>
        </w:rPr>
        <w:t>Longer-term inflation expectations can also be gleaned</w:t>
      </w:r>
    </w:p>
    <w:p>
      <w:pPr>
        <w:spacing w:after="0"/>
        <w:jc w:val="left"/>
        <w:rPr>
          <w:sz w:val="24"/>
        </w:rPr>
        <w:sectPr>
          <w:type w:val="continuous"/>
          <w:pgSz w:w="11880" w:h="16840"/>
          <w:pgMar w:top="1200" w:bottom="280" w:left="620" w:right="620"/>
          <w:cols w:num="2" w:equalWidth="0">
            <w:col w:w="4467" w:space="329"/>
            <w:col w:w="5844"/>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6"/>
        <w:rPr>
          <w:sz w:val="20"/>
        </w:rPr>
      </w:pPr>
    </w:p>
    <w:p>
      <w:pPr>
        <w:pStyle w:val="Heading9"/>
        <w:spacing w:before="0"/>
        <w:ind w:left="220"/>
      </w:pPr>
      <w:r>
        <w:rPr>
          <w:color w:val="0093C1"/>
        </w:rPr>
        <w:t>Chart 6.9</w:t>
      </w:r>
    </w:p>
    <w:p>
      <w:pPr>
        <w:spacing w:before="10"/>
        <w:ind w:left="220" w:right="0" w:firstLine="0"/>
        <w:jc w:val="left"/>
        <w:rPr>
          <w:sz w:val="12"/>
        </w:rPr>
      </w:pPr>
      <w:r>
        <w:rPr>
          <w:b/>
          <w:color w:val="0093C1"/>
          <w:sz w:val="20"/>
        </w:rPr>
        <w:t>Implied forward inflation rates</w:t>
      </w:r>
      <w:r>
        <w:rPr>
          <w:color w:val="231F20"/>
          <w:position w:val="4"/>
          <w:sz w:val="12"/>
        </w:rPr>
        <w:t>(a)</w:t>
      </w:r>
    </w:p>
    <w:p>
      <w:pPr>
        <w:pStyle w:val="BodyText"/>
        <w:spacing w:before="6" w:after="40"/>
      </w:pPr>
    </w:p>
    <w:p>
      <w:pPr>
        <w:pStyle w:val="BodyText"/>
        <w:spacing w:line="20" w:lineRule="exact"/>
        <w:ind w:left="305"/>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rPr>
          <w:sz w:val="27"/>
        </w:rPr>
      </w:pPr>
      <w:r>
        <w:rPr/>
        <w:pict>
          <v:shape style="position:absolute;margin-left:46.5pt;margin-top:17.750977pt;width:4pt;height:.1pt;mso-position-horizontal-relative:page;mso-position-vertical-relative:paragraph;z-index:-15430144;mso-wrap-distance-left:0;mso-wrap-distance-right:0" coordorigin="930,355" coordsize="80,0" path="m1010,355l930,355e" filled="false" stroked="true" strokeweight=".5pt" strokecolor="#000000">
            <v:path arrowok="t"/>
            <v:stroke dashstyle="solid"/>
            <w10:wrap type="topAndBottom"/>
          </v:shape>
        </w:pict>
      </w:r>
    </w:p>
    <w:p>
      <w:pPr>
        <w:pStyle w:val="BodyText"/>
        <w:rPr>
          <w:sz w:val="20"/>
        </w:rPr>
      </w:pPr>
    </w:p>
    <w:p>
      <w:pPr>
        <w:pStyle w:val="BodyText"/>
        <w:spacing w:before="4"/>
        <w:rPr>
          <w:sz w:val="25"/>
        </w:rPr>
      </w:pPr>
      <w:r>
        <w:rPr/>
        <w:pict>
          <v:shape style="position:absolute;margin-left:46.5pt;margin-top:16.800976pt;width:4pt;height:.1pt;mso-position-horizontal-relative:page;mso-position-vertical-relative:paragraph;z-index:-15429632;mso-wrap-distance-left:0;mso-wrap-distance-right:0" coordorigin="930,336" coordsize="80,0" path="m1010,336l930,336e" filled="false" stroked="true" strokeweight=".5pt" strokecolor="#000000">
            <v:path arrowok="t"/>
            <v:stroke dashstyle="solid"/>
            <w10:wrap type="topAndBottom"/>
          </v:shape>
        </w:pict>
      </w:r>
    </w:p>
    <w:p>
      <w:pPr>
        <w:pStyle w:val="BodyText"/>
        <w:rPr>
          <w:sz w:val="20"/>
        </w:rPr>
      </w:pPr>
    </w:p>
    <w:p>
      <w:pPr>
        <w:pStyle w:val="BodyText"/>
        <w:spacing w:before="4"/>
        <w:rPr>
          <w:sz w:val="25"/>
        </w:rPr>
      </w:pPr>
      <w:r>
        <w:rPr/>
        <w:pict>
          <v:shape style="position:absolute;margin-left:46.5pt;margin-top:16.800976pt;width:4pt;height:.1pt;mso-position-horizontal-relative:page;mso-position-vertical-relative:paragraph;z-index:-15429120;mso-wrap-distance-left:0;mso-wrap-distance-right:0" coordorigin="930,336" coordsize="80,0" path="m1010,336l930,336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spacing w:line="119" w:lineRule="exact" w:before="0"/>
        <w:ind w:left="220" w:right="0" w:firstLine="0"/>
        <w:jc w:val="left"/>
        <w:rPr>
          <w:sz w:val="12"/>
        </w:rPr>
      </w:pPr>
      <w:r>
        <w:rPr>
          <w:sz w:val="12"/>
        </w:rPr>
        <w:t>Per cent</w:t>
      </w:r>
    </w:p>
    <w:p>
      <w:pPr>
        <w:spacing w:line="119" w:lineRule="exact" w:before="0"/>
        <w:ind w:left="653" w:right="0" w:firstLine="0"/>
        <w:jc w:val="left"/>
        <w:rPr>
          <w:sz w:val="12"/>
        </w:rPr>
      </w:pPr>
      <w:r>
        <w:rPr/>
        <w:pict>
          <v:line style="position:absolute;mso-position-horizontal-relative:page;mso-position-vertical-relative:paragraph;z-index:16033792" from="216.5pt,2.151855pt" to="211.5pt,2.151855pt" stroked="true" strokeweight=".5pt" strokecolor="#000000">
            <v:stroke dashstyle="solid"/>
            <w10:wrap type="none"/>
          </v:line>
        </w:pict>
      </w:r>
      <w:r>
        <w:rPr>
          <w:sz w:val="12"/>
        </w:rPr>
        <w:t>7</w:t>
      </w:r>
    </w:p>
    <w:p>
      <w:pPr>
        <w:pStyle w:val="BodyText"/>
        <w:rPr>
          <w:sz w:val="12"/>
        </w:rPr>
      </w:pPr>
    </w:p>
    <w:p>
      <w:pPr>
        <w:pStyle w:val="BodyText"/>
        <w:rPr>
          <w:sz w:val="12"/>
        </w:rPr>
      </w:pPr>
    </w:p>
    <w:p>
      <w:pPr>
        <w:pStyle w:val="BodyText"/>
        <w:spacing w:before="7"/>
        <w:rPr>
          <w:sz w:val="15"/>
        </w:rPr>
      </w:pPr>
    </w:p>
    <w:p>
      <w:pPr>
        <w:spacing w:before="0"/>
        <w:ind w:left="0" w:right="38" w:firstLine="0"/>
        <w:jc w:val="right"/>
        <w:rPr>
          <w:sz w:val="12"/>
        </w:rPr>
      </w:pPr>
      <w:r>
        <w:rPr/>
        <w:pict>
          <v:group style="position:absolute;margin-left:55pt;margin-top:-7.745709pt;width:152pt;height:109.7pt;mso-position-horizontal-relative:page;mso-position-vertical-relative:paragraph;z-index:16031232" coordorigin="1100,-155" coordsize="3040,2194">
            <v:shape style="position:absolute;left:1110;top:268;width:3020;height:1620" coordorigin="1110,269" coordsize="3020,1620" path="m1110,669l1150,729,1190,449,1230,749,1290,1009,1330,969,1370,1049,1410,949,1450,1089,1490,1309,1570,1429,1610,1529,1650,1489,1690,1369,1750,1369,1790,1129,1830,1009,1870,1209,1910,1489,1950,1489,1990,1569,2030,1449,2070,1569,2110,1549,2150,1349,2210,909,2250,669,2290,549,2330,349,2370,529,2410,369,2450,269,2490,329,2530,409,2570,449,2610,389,2670,549,2710,589,2790,829,2830,969,2870,909,2910,969,2950,1069,2990,1209,3030,1389,3070,1609,3130,1669,3210,1309,3250,1229,3290,1289,3330,1309,3370,1389,3410,1409,3450,1469,3490,1489,3530,1409,3590,1389,3630,1449,3670,1589,3750,1389,3790,1609,3830,1689,3870,1569,3910,1589,3950,1709,3990,1749,4050,1629,4090,1689,4130,1889e" filled="false" stroked="true" strokeweight="1pt" strokecolor="#ed1b2d">
              <v:path arrowok="t"/>
              <v:stroke dashstyle="solid"/>
            </v:shape>
            <v:shape style="position:absolute;left:1110;top:208;width:3020;height:1820" coordorigin="1110,209" coordsize="3020,1820" path="m1110,809l1150,889,1190,829,1230,1069,1290,1149,1330,1049,1370,1169,1410,1109,1450,1109,1490,849,1530,949,1570,1129,1650,929,1690,969,1750,1009,1790,689,1830,709,1870,869,1910,1229,1950,1309,1990,1309,2030,1189,2070,1409,2110,1429,2150,1169,2210,749,2330,209,2370,429,2410,429,2450,389,2490,469,2570,669,2610,609,2670,709,2710,749,2790,869,2830,869,2870,769,2910,789,2950,869,2990,909,3070,1189,3130,1309,3170,1089,3210,969,3250,949,3290,969,3330,969,3370,1009,3410,1089,3450,1089,3490,1229,3530,1289,3590,1269,3630,1329,3670,1449,3710,1309,3750,1249,3790,1569,3830,1669,3870,1609,3910,1589,3950,1709,3990,1869,4050,1729,4090,1829,4130,2029e" filled="false" stroked="true" strokeweight="1pt" strokecolor="#0066a5">
              <v:path arrowok="t"/>
              <v:stroke dashstyle="solid"/>
            </v:shape>
            <v:shape style="position:absolute;left:1110;top:-112;width:3020;height:2120" coordorigin="1110,-111" coordsize="3020,2120" path="m1110,929l1150,929,1190,1009,1230,1169,1290,1129,1330,989,1370,1209,1410,1269,1450,1029,1490,-111,1530,-11,1570,269,1610,-31,1650,29,1690,249,1750,329,1790,209,1830,389,1870,629,1910,929,1950,1049,1990,1029,2030,1109,2070,1389,2110,1369,2150,1169,2210,969,2250,989,2290,869,2330,929,2370,1029,2410,989,2450,869,2490,949,2530,989,2570,1049,2610,989,2670,1049,2710,1049,2750,1069,2790,1009,2830,909,2870,769,2910,749,2950,789,2990,669,3070,869,3130,889,3170,709,3210,669,3250,729,3290,749,3330,729,3370,749,3450,749,3490,849,3530,1009,3590,1109,3630,1089,3670,1189,3710,1129,3750,1089,3790,1469,3830,1549,3870,1649,3910,1569,3990,1769,4050,1749,4090,1869,4130,2009e" filled="false" stroked="true" strokeweight="1pt" strokecolor="#faab54">
              <v:path arrowok="t"/>
              <v:stroke dashstyle="solid"/>
            </v:shape>
            <v:line style="position:absolute" from="3327,445" to="3327,865" stroked="true" strokeweight=".5pt" strokecolor="#000000">
              <v:stroke dashstyle="solid"/>
            </v:line>
            <v:shape style="position:absolute;left:3301;top:848;width:51;height:85" coordorigin="3301,848" coordsize="51,85" path="m3352,848l3301,848,3308,864,3312,876,3327,933,3328,924,3330,914,3333,902,3337,889,3341,878,3352,848xe" filled="true" fillcolor="#000000" stroked="false">
              <v:path arrowok="t"/>
              <v:fill type="solid"/>
            </v:shape>
            <v:shape style="position:absolute;left:1560;top:-155;width:453;height:133" type="#_x0000_t202" filled="false" stroked="false">
              <v:textbox inset="0,0,0,0">
                <w:txbxContent>
                  <w:p>
                    <w:pPr>
                      <w:spacing w:line="133" w:lineRule="exact" w:before="0"/>
                      <w:ind w:left="0" w:right="0" w:firstLine="0"/>
                      <w:jc w:val="left"/>
                      <w:rPr>
                        <w:sz w:val="12"/>
                      </w:rPr>
                    </w:pPr>
                    <w:r>
                      <w:rPr>
                        <w:sz w:val="12"/>
                      </w:rPr>
                      <w:t>Ten-year</w:t>
                    </w:r>
                  </w:p>
                </w:txbxContent>
              </v:textbox>
              <w10:wrap type="none"/>
            </v:shape>
            <v:shape style="position:absolute;left:3126;top:305;width:480;height:133" type="#_x0000_t202" filled="false" stroked="false">
              <v:textbox inset="0,0,0,0">
                <w:txbxContent>
                  <w:p>
                    <w:pPr>
                      <w:spacing w:line="133" w:lineRule="exact" w:before="0"/>
                      <w:ind w:left="0" w:right="0" w:firstLine="0"/>
                      <w:jc w:val="left"/>
                      <w:rPr>
                        <w:sz w:val="12"/>
                      </w:rPr>
                    </w:pPr>
                    <w:r>
                      <w:rPr>
                        <w:sz w:val="12"/>
                      </w:rPr>
                      <w:t>Five-year</w:t>
                    </w:r>
                  </w:p>
                </w:txbxContent>
              </v:textbox>
              <w10:wrap type="none"/>
            </v:shape>
            <v:shape style="position:absolute;left:3000;top:1651;width:547;height:133" type="#_x0000_t202" filled="false" stroked="false">
              <v:textbox inset="0,0,0,0">
                <w:txbxContent>
                  <w:p>
                    <w:pPr>
                      <w:spacing w:line="133" w:lineRule="exact" w:before="0"/>
                      <w:ind w:left="0" w:right="0" w:firstLine="0"/>
                      <w:jc w:val="left"/>
                      <w:rPr>
                        <w:sz w:val="12"/>
                      </w:rPr>
                    </w:pPr>
                    <w:r>
                      <w:rPr>
                        <w:sz w:val="12"/>
                      </w:rPr>
                      <w:t>Three-year</w:t>
                    </w:r>
                  </w:p>
                </w:txbxContent>
              </v:textbox>
              <w10:wrap type="none"/>
            </v:shape>
            <w10:wrap type="none"/>
          </v:group>
        </w:pict>
      </w:r>
      <w:r>
        <w:rPr/>
        <w:pict>
          <v:line style="position:absolute;mso-position-horizontal-relative:page;mso-position-vertical-relative:paragraph;z-index:16033280" from="216.5pt,3.43457pt" to="211.5pt,3.43457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32768" from="216.5pt,3.43457pt" to="211.5pt,3.43457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32256" from="216.5pt,3.43457pt" to="211.5pt,3.43457pt" stroked="true" strokeweight=".5pt" strokecolor="#000000">
            <v:stroke dashstyle="solid"/>
            <w10:wrap type="none"/>
          </v:line>
        </w:pict>
      </w:r>
      <w:r>
        <w:rPr>
          <w:sz w:val="12"/>
        </w:rPr>
        <w:t>4</w:t>
      </w:r>
    </w:p>
    <w:p>
      <w:pPr>
        <w:pStyle w:val="BodyText"/>
        <w:rPr>
          <w:sz w:val="26"/>
        </w:rPr>
      </w:pPr>
      <w:r>
        <w:rPr/>
        <w:br w:type="column"/>
      </w:r>
      <w:r>
        <w:rPr>
          <w:sz w:val="26"/>
        </w:rPr>
      </w:r>
    </w:p>
    <w:p>
      <w:pPr>
        <w:pStyle w:val="Heading5"/>
        <w:spacing w:line="242" w:lineRule="auto" w:before="208"/>
        <w:ind w:left="220" w:right="193"/>
      </w:pPr>
      <w:r>
        <w:rPr>
          <w:color w:val="231F20"/>
        </w:rPr>
        <w:t>from the biannual survey of forecasts by Consensus Economics, which indicates that the average rate of inflation expected in the next five years fell between the first and second half of 1997.</w:t>
      </w:r>
    </w:p>
    <w:p>
      <w:pPr>
        <w:pStyle w:val="BodyText"/>
        <w:rPr>
          <w:sz w:val="26"/>
        </w:rPr>
      </w:pPr>
    </w:p>
    <w:p>
      <w:pPr>
        <w:pStyle w:val="BodyText"/>
        <w:spacing w:before="2"/>
        <w:rPr>
          <w:sz w:val="23"/>
        </w:rPr>
      </w:pPr>
    </w:p>
    <w:p>
      <w:pPr>
        <w:spacing w:line="242" w:lineRule="auto" w:before="0"/>
        <w:ind w:left="220" w:right="268" w:firstLine="0"/>
        <w:jc w:val="left"/>
        <w:rPr>
          <w:b/>
          <w:sz w:val="24"/>
        </w:rPr>
      </w:pPr>
      <w:r>
        <w:rPr>
          <w:b/>
          <w:color w:val="231F20"/>
          <w:sz w:val="24"/>
        </w:rPr>
        <w:t>The implications of the latest projection for the stance of monetary policy are discussed in the Overview at the beginning of the </w:t>
      </w:r>
      <w:r>
        <w:rPr>
          <w:b/>
          <w:i/>
          <w:color w:val="231F20"/>
          <w:sz w:val="24"/>
        </w:rPr>
        <w:t>Report</w:t>
      </w:r>
      <w:r>
        <w:rPr>
          <w:b/>
          <w:color w:val="231F20"/>
          <w:sz w:val="24"/>
        </w:rPr>
        <w:t>.</w:t>
      </w:r>
    </w:p>
    <w:p>
      <w:pPr>
        <w:spacing w:after="0" w:line="242" w:lineRule="auto"/>
        <w:jc w:val="left"/>
        <w:rPr>
          <w:sz w:val="24"/>
        </w:rPr>
        <w:sectPr>
          <w:type w:val="continuous"/>
          <w:pgSz w:w="11880" w:h="16840"/>
          <w:pgMar w:top="1200" w:bottom="280" w:left="620" w:right="620"/>
          <w:cols w:num="3" w:equalWidth="0">
            <w:col w:w="3054" w:space="46"/>
            <w:col w:w="754" w:space="926"/>
            <w:col w:w="5860"/>
          </w:cols>
        </w:sectPr>
      </w:pPr>
    </w:p>
    <w:p>
      <w:pPr>
        <w:pStyle w:val="BodyText"/>
        <w:spacing w:before="3"/>
        <w:rPr>
          <w:b/>
          <w:sz w:val="15"/>
        </w:rPr>
      </w:pPr>
    </w:p>
    <w:p>
      <w:pPr>
        <w:spacing w:before="96"/>
        <w:ind w:left="0" w:right="3071" w:firstLine="0"/>
        <w:jc w:val="center"/>
        <w:rPr>
          <w:sz w:val="12"/>
        </w:rPr>
      </w:pPr>
      <w:r>
        <w:rPr/>
        <w:pict>
          <v:line style="position:absolute;mso-position-horizontal-relative:page;mso-position-vertical-relative:paragraph;z-index:16029184" from="50.5pt,8.234571pt" to="46.5pt,8.234571pt" stroked="true" strokeweight=".5pt" strokecolor="#000000">
            <v:stroke dashstyle="solid"/>
            <w10:wrap type="none"/>
          </v:line>
        </w:pict>
      </w:r>
      <w:r>
        <w:rPr/>
        <w:pict>
          <v:line style="position:absolute;mso-position-horizontal-relative:page;mso-position-vertical-relative:paragraph;z-index:16031744" from="216.5pt,8.234571pt" to="211.5pt,8.234571pt" stroked="true" strokeweight=".5pt" strokecolor="#000000">
            <v:stroke dashstyle="solid"/>
            <w10:wrap type="none"/>
          </v:line>
        </w:pict>
      </w:r>
      <w:r>
        <w:rPr>
          <w:sz w:val="12"/>
        </w:rPr>
        <w:t>3</w:t>
      </w:r>
    </w:p>
    <w:p>
      <w:pPr>
        <w:pStyle w:val="BodyText"/>
        <w:rPr>
          <w:sz w:val="20"/>
        </w:rPr>
      </w:pPr>
    </w:p>
    <w:p>
      <w:pPr>
        <w:pStyle w:val="BodyText"/>
        <w:rPr>
          <w:sz w:val="12"/>
        </w:rPr>
      </w:pPr>
    </w:p>
    <w:p>
      <w:pPr>
        <w:spacing w:before="94"/>
        <w:ind w:left="0" w:right="3071" w:firstLine="0"/>
        <w:jc w:val="center"/>
        <w:rPr>
          <w:sz w:val="12"/>
        </w:rPr>
      </w:pPr>
      <w:r>
        <w:rPr/>
        <w:pict>
          <v:group style="position:absolute;margin-left:46.417pt;margin-top:8.739571pt;width:171.7pt;height:7.7pt;mso-position-horizontal-relative:page;mso-position-vertical-relative:paragraph;z-index:-20061184" coordorigin="928,175" coordsize="3434,154">
            <v:shape style="position:absolute;left:928;top:182;width:3405;height:140" coordorigin="928,183" coordsize="3405,140" path="m4130,223l4130,323m3630,223l3630,323m3110,223l3110,323m2610,223l2610,323m2110,223l2110,323m1610,223l1610,323m928,323l4332,323m1235,283l1235,323m1360,283l1360,323m1485,283l1485,323m1735,283l1735,323m1860,283l1860,323m1985,283l1985,323m2235,283l2235,323m2360,283l2360,323m2485,283l2485,323m2735,283l2735,323m2860,283l2860,323m2985,283l2985,323m3240,283l3240,323m3370,283l3370,323m3500,283l3500,323m3755,283l3755,323m3880,283l3880,323m4005,283l4005,323m1110,223l1110,323m4330,183l4230,183e" filled="false" stroked="true" strokeweight=".5pt" strokecolor="#000000">
              <v:path arrowok="t"/>
              <v:stroke dashstyle="solid"/>
            </v:shape>
            <v:shape style="position:absolute;left:4316;top:180;width:40;height:143" coordorigin="4317,180" coordsize="40,143" path="m4337,180l4337,217,4317,233,4357,247,4317,267,4357,284,4333,294,4333,323e" filled="false" stroked="true" strokeweight=".5pt" strokecolor="#000000">
              <v:path arrowok="t"/>
              <v:stroke dashstyle="solid"/>
            </v:shape>
            <v:line style="position:absolute" from="1010,183" to="930,183" stroked="true" strokeweight=".5pt" strokecolor="#000000">
              <v:stroke dashstyle="solid"/>
            </v:line>
            <v:shape style="position:absolute;left:994;top:179;width:40;height:137" coordorigin="995,180" coordsize="40,137" path="m1015,180l1015,216,995,233,1035,246,995,266,1035,283,1012,293,1011,316e" filled="false" stroked="true" strokeweight=".5pt" strokecolor="#000000">
              <v:path arrowok="t"/>
              <v:stroke dashstyle="solid"/>
            </v:shape>
            <w10:wrap type="none"/>
          </v:group>
        </w:pict>
      </w:r>
      <w:r>
        <w:rPr>
          <w:sz w:val="12"/>
        </w:rPr>
        <w:t>2</w:t>
      </w:r>
    </w:p>
    <w:p>
      <w:pPr>
        <w:tabs>
          <w:tab w:pos="1179" w:val="left" w:leader="none"/>
          <w:tab w:pos="1699" w:val="left" w:leader="none"/>
          <w:tab w:pos="2199" w:val="left" w:leader="none"/>
          <w:tab w:pos="2699" w:val="left" w:leader="none"/>
          <w:tab w:pos="3199" w:val="left" w:leader="none"/>
        </w:tabs>
        <w:spacing w:before="38"/>
        <w:ind w:left="640" w:right="0" w:firstLine="0"/>
        <w:jc w:val="left"/>
        <w:rPr>
          <w:sz w:val="12"/>
        </w:rPr>
      </w:pPr>
      <w:r>
        <w:rPr>
          <w:sz w:val="12"/>
        </w:rPr>
        <w:t>1992</w:t>
        <w:tab/>
        <w:t>93</w:t>
        <w:tab/>
        <w:t>94</w:t>
        <w:tab/>
        <w:t>95</w:t>
        <w:tab/>
        <w:t>96</w:t>
        <w:tab/>
        <w:t>97 98</w:t>
      </w:r>
      <w:r>
        <w:rPr>
          <w:spacing w:val="13"/>
          <w:sz w:val="12"/>
        </w:rPr>
        <w:t> </w:t>
      </w:r>
      <w:r>
        <w:rPr>
          <w:position w:val="7"/>
          <w:sz w:val="12"/>
        </w:rPr>
        <w:t>0</w:t>
      </w:r>
    </w:p>
    <w:p>
      <w:pPr>
        <w:pStyle w:val="BodyText"/>
        <w:spacing w:before="6"/>
        <w:rPr>
          <w:sz w:val="13"/>
        </w:rPr>
      </w:pPr>
    </w:p>
    <w:p>
      <w:pPr>
        <w:spacing w:before="1"/>
        <w:ind w:left="220" w:right="0" w:firstLine="0"/>
        <w:jc w:val="left"/>
        <w:rPr>
          <w:sz w:val="12"/>
        </w:rPr>
      </w:pPr>
      <w:r>
        <w:rPr>
          <w:color w:val="231F20"/>
          <w:sz w:val="12"/>
        </w:rPr>
        <w:t>Source: Bank of England.</w:t>
      </w:r>
    </w:p>
    <w:p>
      <w:pPr>
        <w:spacing w:before="102"/>
        <w:ind w:left="220" w:right="0" w:firstLine="0"/>
        <w:jc w:val="left"/>
        <w:rPr>
          <w:sz w:val="12"/>
        </w:rPr>
      </w:pPr>
      <w:r>
        <w:rPr>
          <w:color w:val="231F20"/>
          <w:sz w:val="12"/>
        </w:rPr>
        <w:t>(a) Calendar-month average.</w:t>
      </w:r>
    </w:p>
    <w:p>
      <w:pPr>
        <w:spacing w:after="0"/>
        <w:jc w:val="left"/>
        <w:rPr>
          <w:sz w:val="12"/>
        </w:rPr>
        <w:sectPr>
          <w:type w:val="continuous"/>
          <w:pgSz w:w="11880" w:h="16840"/>
          <w:pgMar w:top="1200" w:bottom="280" w:left="620" w:right="620"/>
        </w:sectPr>
      </w:pPr>
    </w:p>
    <w:p>
      <w:pPr>
        <w:pStyle w:val="BodyText"/>
        <w:rPr>
          <w:sz w:val="20"/>
        </w:rPr>
      </w:pPr>
      <w:r>
        <w:rPr/>
        <w:pict>
          <v:group style="position:absolute;margin-left:39pt;margin-top:39.669998pt;width:517pt;height:740.35pt;mso-position-horizontal-relative:page;mso-position-vertical-relative:page;z-index:-20055552"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56;height:5887" type="#_x0000_t75" stroked="false">
              <v:imagedata r:id="rId101"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665" w:lineRule="exact" w:before="212"/>
        <w:ind w:right="1275"/>
      </w:pPr>
      <w:bookmarkStart w:name="_bookmark35" w:id="88"/>
      <w:bookmarkEnd w:id="88"/>
      <w:r>
        <w:rPr>
          <w:b w:val="0"/>
        </w:rPr>
      </w:r>
      <w:r>
        <w:rPr>
          <w:color w:val="231F20"/>
        </w:rPr>
        <w:t>Annex:</w:t>
      </w:r>
    </w:p>
    <w:p>
      <w:pPr>
        <w:spacing w:line="223" w:lineRule="auto" w:before="15"/>
        <w:ind w:left="1995" w:right="1858" w:firstLine="0"/>
        <w:jc w:val="center"/>
        <w:rPr>
          <w:b/>
          <w:sz w:val="60"/>
        </w:rPr>
      </w:pPr>
      <w:r>
        <w:rPr>
          <w:b/>
          <w:color w:val="231F20"/>
          <w:sz w:val="60"/>
        </w:rPr>
        <w:t>Minutes and Press Notices of the monthly</w:t>
      </w:r>
    </w:p>
    <w:p>
      <w:pPr>
        <w:spacing w:line="223" w:lineRule="auto" w:before="0"/>
        <w:ind w:left="1408" w:right="1272" w:firstLine="0"/>
        <w:jc w:val="center"/>
        <w:rPr>
          <w:b/>
          <w:sz w:val="60"/>
        </w:rPr>
      </w:pPr>
      <w:r>
        <w:rPr>
          <w:b/>
          <w:color w:val="231F20"/>
          <w:sz w:val="60"/>
        </w:rPr>
        <w:t>Monetary Policy Committee meetings</w:t>
      </w:r>
    </w:p>
    <w:p>
      <w:pPr>
        <w:spacing w:after="0" w:line="223" w:lineRule="auto"/>
        <w:jc w:val="center"/>
        <w:rPr>
          <w:sz w:val="60"/>
        </w:rPr>
        <w:sectPr>
          <w:headerReference w:type="default" r:id="rId98"/>
          <w:footerReference w:type="default" r:id="rId99"/>
          <w:footerReference w:type="even" r:id="rId100"/>
          <w:pgSz w:w="11880" w:h="16840"/>
          <w:pgMar w:header="0" w:footer="597" w:top="800" w:bottom="780" w:left="620" w:right="620"/>
          <w:pgNumType w:start="51"/>
        </w:sectPr>
      </w:pPr>
    </w:p>
    <w:p>
      <w:pPr>
        <w:pStyle w:val="BodyText"/>
        <w:rPr>
          <w:b/>
          <w:sz w:val="20"/>
        </w:rPr>
      </w:pPr>
    </w:p>
    <w:p>
      <w:pPr>
        <w:pStyle w:val="BodyText"/>
        <w:rPr>
          <w:b/>
          <w:sz w:val="20"/>
        </w:rPr>
      </w:pPr>
    </w:p>
    <w:p>
      <w:pPr>
        <w:pStyle w:val="BodyText"/>
        <w:spacing w:before="2"/>
        <w:rPr>
          <w:b/>
          <w:sz w:val="20"/>
        </w:rPr>
      </w:pPr>
    </w:p>
    <w:p>
      <w:pPr>
        <w:pStyle w:val="Heading2"/>
        <w:ind w:left="190"/>
      </w:pPr>
      <w:bookmarkStart w:name="_bookmark36" w:id="89"/>
      <w:bookmarkEnd w:id="89"/>
      <w:r>
        <w:rPr>
          <w:b w:val="0"/>
        </w:rPr>
      </w:r>
      <w:r>
        <w:rPr>
          <w:color w:val="009483"/>
        </w:rPr>
        <w:t>Minutes of the Monetary Policy Committee meeting on 5–6 November 1997</w:t>
      </w:r>
    </w:p>
    <w:p>
      <w:pPr>
        <w:pStyle w:val="BodyText"/>
        <w:spacing w:before="1"/>
        <w:rPr>
          <w:b/>
          <w:sz w:val="28"/>
        </w:rPr>
      </w:pPr>
    </w:p>
    <w:p>
      <w:pPr>
        <w:spacing w:after="0"/>
        <w:rPr>
          <w:sz w:val="28"/>
        </w:rPr>
        <w:sectPr>
          <w:headerReference w:type="even" r:id="rId102"/>
          <w:headerReference w:type="default" r:id="rId103"/>
          <w:pgSz w:w="11880" w:h="16840"/>
          <w:pgMar w:header="566" w:footer="597" w:top="760" w:bottom="780" w:left="620" w:right="620"/>
        </w:sectPr>
      </w:pPr>
    </w:p>
    <w:p>
      <w:pPr>
        <w:pStyle w:val="ListParagraph"/>
        <w:numPr>
          <w:ilvl w:val="0"/>
          <w:numId w:val="31"/>
        </w:numPr>
        <w:tabs>
          <w:tab w:pos="659" w:val="left" w:leader="none"/>
          <w:tab w:pos="661" w:val="left" w:leader="none"/>
        </w:tabs>
        <w:spacing w:line="232" w:lineRule="auto" w:before="97" w:after="0"/>
        <w:ind w:left="179" w:right="58" w:firstLine="0"/>
        <w:jc w:val="left"/>
        <w:rPr>
          <w:sz w:val="18"/>
        </w:rPr>
      </w:pPr>
      <w:r>
        <w:rPr>
          <w:color w:val="231F20"/>
          <w:sz w:val="18"/>
        </w:rPr>
        <w:t>The meeting was preceded by a presentation by Bank staff </w:t>
      </w:r>
      <w:r>
        <w:rPr>
          <w:color w:val="231F20"/>
          <w:spacing w:val="-9"/>
          <w:sz w:val="18"/>
        </w:rPr>
        <w:t>of </w:t>
      </w:r>
      <w:r>
        <w:rPr>
          <w:color w:val="231F20"/>
          <w:sz w:val="18"/>
        </w:rPr>
        <w:t>the most recent data on monetary and economic conditions, and also by discussions on the November inflation forecast and analysis. The staff presentation is summarised in the Annex to these minutes; it has been updated to incorporate data that subsequently became available to the Monetary Policy Committee before its meeting. The November </w:t>
      </w:r>
      <w:r>
        <w:rPr>
          <w:i/>
          <w:color w:val="231F20"/>
          <w:sz w:val="18"/>
        </w:rPr>
        <w:t>Inflation Report </w:t>
      </w:r>
      <w:r>
        <w:rPr>
          <w:color w:val="231F20"/>
          <w:sz w:val="18"/>
        </w:rPr>
        <w:t>was published on Wednesday, 12 November.</w:t>
      </w:r>
    </w:p>
    <w:p>
      <w:pPr>
        <w:pStyle w:val="ListParagraph"/>
        <w:numPr>
          <w:ilvl w:val="0"/>
          <w:numId w:val="31"/>
        </w:numPr>
        <w:tabs>
          <w:tab w:pos="659" w:val="left" w:leader="none"/>
          <w:tab w:pos="661" w:val="left" w:leader="none"/>
        </w:tabs>
        <w:spacing w:line="232" w:lineRule="auto" w:before="174" w:after="0"/>
        <w:ind w:left="179" w:right="73" w:firstLine="0"/>
        <w:jc w:val="left"/>
        <w:rPr>
          <w:sz w:val="18"/>
        </w:rPr>
      </w:pPr>
      <w:r>
        <w:rPr>
          <w:color w:val="231F20"/>
          <w:sz w:val="18"/>
        </w:rPr>
        <w:t>The Committee began by discussing issues raised by recent economic developments—monetary growth, the balance of </w:t>
      </w:r>
      <w:r>
        <w:rPr>
          <w:color w:val="231F20"/>
          <w:spacing w:val="-3"/>
          <w:sz w:val="18"/>
        </w:rPr>
        <w:t>demand </w:t>
      </w:r>
      <w:r>
        <w:rPr>
          <w:color w:val="231F20"/>
          <w:sz w:val="18"/>
        </w:rPr>
        <w:t>and supply in the goods and labour markets, including the latest retail sales data and retail margins, and the impact of the exchange rate on net trade. It then reviewed the possible implications of developments in the Asian economies and recent financial market volatility.</w:t>
      </w:r>
    </w:p>
    <w:p>
      <w:pPr>
        <w:pStyle w:val="BodyText"/>
        <w:spacing w:before="11"/>
        <w:rPr>
          <w:sz w:val="21"/>
        </w:rPr>
      </w:pPr>
    </w:p>
    <w:p>
      <w:pPr>
        <w:pStyle w:val="Heading7"/>
        <w:ind w:left="180"/>
      </w:pPr>
      <w:r>
        <w:rPr>
          <w:color w:val="009483"/>
        </w:rPr>
        <w:t>Monetary growth</w:t>
      </w:r>
    </w:p>
    <w:p>
      <w:pPr>
        <w:pStyle w:val="ListParagraph"/>
        <w:numPr>
          <w:ilvl w:val="0"/>
          <w:numId w:val="31"/>
        </w:numPr>
        <w:tabs>
          <w:tab w:pos="659" w:val="left" w:leader="none"/>
          <w:tab w:pos="661" w:val="left" w:leader="none"/>
        </w:tabs>
        <w:spacing w:line="232" w:lineRule="auto" w:before="89" w:after="0"/>
        <w:ind w:left="180" w:right="58" w:firstLine="0"/>
        <w:jc w:val="left"/>
        <w:rPr>
          <w:sz w:val="18"/>
        </w:rPr>
      </w:pPr>
      <w:r>
        <w:rPr>
          <w:color w:val="231F20"/>
          <w:sz w:val="18"/>
        </w:rPr>
        <w:t>M4 lending had slowed slightly over the quarter, driven by a fall in the growth of company borrowing. But otherwise the </w:t>
      </w:r>
      <w:r>
        <w:rPr>
          <w:color w:val="231F20"/>
          <w:spacing w:val="-3"/>
          <w:sz w:val="18"/>
        </w:rPr>
        <w:t>picture </w:t>
      </w:r>
      <w:r>
        <w:rPr>
          <w:color w:val="231F20"/>
          <w:sz w:val="18"/>
        </w:rPr>
        <w:t>was much the same as in August. In particular, Divisia money had grown more than expected and the broad money balances of Other Financial Institutions (OFIs) had continued to grow at a very fast rate. Analysis by Bank staff using models of sectoral demand for money suggested that there probably remained a liquidity overhang in the OFI sector, and in particular amongst Life Assurance companies and Pension Funds (L</w:t>
      </w:r>
      <w:r>
        <w:rPr>
          <w:color w:val="231F20"/>
          <w:sz w:val="14"/>
        </w:rPr>
        <w:t>APFs</w:t>
      </w:r>
      <w:r>
        <w:rPr>
          <w:color w:val="231F20"/>
          <w:sz w:val="18"/>
        </w:rPr>
        <w:t>). Staff work also suggested that the level of M4 velocity was below trend, supporting the picture from sectoral analysis that there was probably an aggregate money overhang. It seemed possible though that much of the decline in M4 velocity in recent years could be explained by the rise in the wealth/income ratio.</w:t>
      </w:r>
    </w:p>
    <w:p>
      <w:pPr>
        <w:pStyle w:val="ListParagraph"/>
        <w:numPr>
          <w:ilvl w:val="0"/>
          <w:numId w:val="31"/>
        </w:numPr>
        <w:tabs>
          <w:tab w:pos="659" w:val="left" w:leader="none"/>
          <w:tab w:pos="661" w:val="left" w:leader="none"/>
        </w:tabs>
        <w:spacing w:line="232" w:lineRule="auto" w:before="169" w:after="0"/>
        <w:ind w:left="180" w:right="118" w:firstLine="0"/>
        <w:jc w:val="left"/>
        <w:rPr>
          <w:sz w:val="18"/>
        </w:rPr>
      </w:pPr>
      <w:r>
        <w:rPr>
          <w:color w:val="231F20"/>
          <w:sz w:val="18"/>
        </w:rPr>
        <w:t>There were various possible interpretations of the implications of the monetary situation for future demand and inflationary pressures. There was an argument that the large cumulative growth in broad money over recent years did not represent a clear inflationary threat, given the possibility that </w:t>
      </w:r>
      <w:r>
        <w:rPr>
          <w:color w:val="231F20"/>
          <w:spacing w:val="-5"/>
          <w:sz w:val="18"/>
        </w:rPr>
        <w:t>much </w:t>
      </w:r>
      <w:r>
        <w:rPr>
          <w:color w:val="231F20"/>
          <w:sz w:val="18"/>
        </w:rPr>
        <w:t>of it could be explained by the increase in the wealth/income ratio. However, it was not clear that this increase represented a sustained change; it might alternatively be transitory, caused by asset price appreciation in a loose monetary environment. And even if it </w:t>
      </w:r>
      <w:r>
        <w:rPr>
          <w:color w:val="231F20"/>
          <w:spacing w:val="-5"/>
          <w:sz w:val="18"/>
        </w:rPr>
        <w:t>were </w:t>
      </w:r>
      <w:r>
        <w:rPr>
          <w:color w:val="231F20"/>
          <w:sz w:val="18"/>
        </w:rPr>
        <w:t>sustained, it still left a material overhang in the OFI sector.</w:t>
      </w:r>
    </w:p>
    <w:p>
      <w:pPr>
        <w:pStyle w:val="ListParagraph"/>
        <w:numPr>
          <w:ilvl w:val="0"/>
          <w:numId w:val="31"/>
        </w:numPr>
        <w:tabs>
          <w:tab w:pos="659" w:val="left" w:leader="none"/>
          <w:tab w:pos="661" w:val="left" w:leader="none"/>
        </w:tabs>
        <w:spacing w:line="232" w:lineRule="auto" w:before="173" w:after="0"/>
        <w:ind w:left="179" w:right="39" w:firstLine="0"/>
        <w:jc w:val="left"/>
        <w:rPr>
          <w:sz w:val="18"/>
        </w:rPr>
      </w:pPr>
      <w:r>
        <w:rPr>
          <w:color w:val="231F20"/>
          <w:sz w:val="18"/>
        </w:rPr>
        <w:t>Another possible view was that it was important to look at both aggregate and sectoral money developments. Real broad money balances had been growing at a fast rate, pointing to strong real demand and inflationary pressures. Rapid growth in total OFI money balances could lead increases in wealth, as had been the </w:t>
      </w:r>
      <w:r>
        <w:rPr>
          <w:color w:val="231F20"/>
          <w:spacing w:val="-5"/>
          <w:sz w:val="18"/>
        </w:rPr>
        <w:t>case </w:t>
      </w:r>
      <w:r>
        <w:rPr>
          <w:color w:val="231F20"/>
          <w:sz w:val="18"/>
        </w:rPr>
        <w:t>in the late 1980s when it was a clear symptom of inflationary conditions. Furthermore, there were identified ways in which OFI money growth could enter the transmission mechanism. It could feed through to asset prices or directly into spending if it was passed to the personal or company sectors and not used to repay bank loans.  A variant of this was that, within OFIs, the focus should be on L</w:t>
      </w:r>
      <w:r>
        <w:rPr>
          <w:color w:val="231F20"/>
          <w:sz w:val="14"/>
        </w:rPr>
        <w:t>APF </w:t>
      </w:r>
      <w:r>
        <w:rPr>
          <w:color w:val="231F20"/>
          <w:sz w:val="18"/>
        </w:rPr>
        <w:t>money growth, on the view that growth in OFI balances reflecting increased intermediation via repo markets should not be a concern.</w:t>
      </w:r>
    </w:p>
    <w:p>
      <w:pPr>
        <w:pStyle w:val="ListParagraph"/>
        <w:numPr>
          <w:ilvl w:val="0"/>
          <w:numId w:val="31"/>
        </w:numPr>
        <w:tabs>
          <w:tab w:pos="659" w:val="left" w:leader="none"/>
          <w:tab w:pos="661" w:val="left" w:leader="none"/>
        </w:tabs>
        <w:spacing w:line="232" w:lineRule="auto" w:before="169" w:after="0"/>
        <w:ind w:left="179" w:right="38" w:firstLine="0"/>
        <w:jc w:val="left"/>
        <w:rPr>
          <w:sz w:val="18"/>
        </w:rPr>
      </w:pPr>
      <w:r>
        <w:rPr>
          <w:color w:val="231F20"/>
          <w:sz w:val="18"/>
        </w:rPr>
        <w:t>Another interpretation was that the focus should not be on aggregate M4, but more on Divisia, as an indicator of transactions money, and on total financial wealth. This would be on the </w:t>
      </w:r>
      <w:r>
        <w:rPr>
          <w:color w:val="231F20"/>
          <w:spacing w:val="-3"/>
          <w:sz w:val="18"/>
        </w:rPr>
        <w:t>grounds </w:t>
      </w:r>
      <w:r>
        <w:rPr>
          <w:color w:val="231F20"/>
          <w:sz w:val="18"/>
        </w:rPr>
        <w:t>that the non-transactions element of broad money could not be distinguished conceptually from other wealth holdings. This approach did, however, lead to much the same concern about the outlook for demand and inflation on account of</w:t>
      </w:r>
    </w:p>
    <w:p>
      <w:pPr>
        <w:pStyle w:val="BodyText"/>
        <w:spacing w:line="232" w:lineRule="auto" w:before="97"/>
        <w:ind w:left="179" w:right="667"/>
      </w:pPr>
      <w:r>
        <w:rPr/>
        <w:br w:type="column"/>
      </w:r>
      <w:r>
        <w:rPr>
          <w:color w:val="231F20"/>
        </w:rPr>
        <w:t>higher-than-expected Divisia growth and the rapid growth of financial wealth.</w:t>
      </w:r>
    </w:p>
    <w:p>
      <w:pPr>
        <w:pStyle w:val="BodyText"/>
        <w:spacing w:before="3"/>
        <w:rPr>
          <w:sz w:val="17"/>
        </w:rPr>
      </w:pPr>
    </w:p>
    <w:p>
      <w:pPr>
        <w:pStyle w:val="ListParagraph"/>
        <w:numPr>
          <w:ilvl w:val="0"/>
          <w:numId w:val="31"/>
        </w:numPr>
        <w:tabs>
          <w:tab w:pos="659" w:val="left" w:leader="none"/>
          <w:tab w:pos="661" w:val="left" w:leader="none"/>
        </w:tabs>
        <w:spacing w:line="232" w:lineRule="auto" w:before="0" w:after="0"/>
        <w:ind w:left="179" w:right="564" w:firstLine="0"/>
        <w:jc w:val="left"/>
        <w:rPr>
          <w:sz w:val="18"/>
        </w:rPr>
      </w:pPr>
      <w:r>
        <w:rPr>
          <w:color w:val="231F20"/>
          <w:sz w:val="18"/>
        </w:rPr>
        <w:t>It was agreed that the monetary data continued to </w:t>
      </w:r>
      <w:r>
        <w:rPr>
          <w:color w:val="231F20"/>
          <w:spacing w:val="-3"/>
          <w:sz w:val="18"/>
        </w:rPr>
        <w:t>create </w:t>
      </w:r>
      <w:r>
        <w:rPr>
          <w:color w:val="231F20"/>
          <w:sz w:val="18"/>
        </w:rPr>
        <w:t>upside risks to the inflation outlook.</w:t>
      </w:r>
    </w:p>
    <w:p>
      <w:pPr>
        <w:pStyle w:val="BodyText"/>
        <w:spacing w:before="6"/>
        <w:rPr>
          <w:sz w:val="27"/>
        </w:rPr>
      </w:pPr>
    </w:p>
    <w:p>
      <w:pPr>
        <w:pStyle w:val="Heading7"/>
        <w:ind w:left="179"/>
      </w:pPr>
      <w:r>
        <w:rPr>
          <w:color w:val="009483"/>
        </w:rPr>
        <w:t>Demand and output</w:t>
      </w:r>
    </w:p>
    <w:p>
      <w:pPr>
        <w:pStyle w:val="ListParagraph"/>
        <w:numPr>
          <w:ilvl w:val="0"/>
          <w:numId w:val="31"/>
        </w:numPr>
        <w:tabs>
          <w:tab w:pos="659" w:val="left" w:leader="none"/>
          <w:tab w:pos="661" w:val="left" w:leader="none"/>
        </w:tabs>
        <w:spacing w:line="232" w:lineRule="auto" w:before="109" w:after="0"/>
        <w:ind w:left="179" w:right="164" w:firstLine="0"/>
        <w:jc w:val="left"/>
        <w:rPr>
          <w:sz w:val="18"/>
        </w:rPr>
      </w:pPr>
      <w:r>
        <w:rPr>
          <w:color w:val="231F20"/>
          <w:sz w:val="18"/>
        </w:rPr>
        <w:t>There was an extensive debate on capacity and labour </w:t>
      </w:r>
      <w:r>
        <w:rPr>
          <w:color w:val="231F20"/>
          <w:spacing w:val="-3"/>
          <w:sz w:val="18"/>
        </w:rPr>
        <w:t>market </w:t>
      </w:r>
      <w:r>
        <w:rPr>
          <w:color w:val="231F20"/>
          <w:sz w:val="18"/>
        </w:rPr>
        <w:t>pressures. The key issues were (i) the rate at which pressures on productive capacity were building up; (ii) whether there was any slack left and in particular at what point pressures of demand relative to supply would feed into inflation; and (iii) how quickly demand pressures would abate given the policy tightening already implemented.</w:t>
      </w:r>
    </w:p>
    <w:p>
      <w:pPr>
        <w:pStyle w:val="BodyText"/>
        <w:spacing w:before="11"/>
        <w:rPr>
          <w:sz w:val="16"/>
        </w:rPr>
      </w:pPr>
    </w:p>
    <w:p>
      <w:pPr>
        <w:pStyle w:val="ListParagraph"/>
        <w:numPr>
          <w:ilvl w:val="0"/>
          <w:numId w:val="31"/>
        </w:numPr>
        <w:tabs>
          <w:tab w:pos="659" w:val="left" w:leader="none"/>
          <w:tab w:pos="661" w:val="left" w:leader="none"/>
        </w:tabs>
        <w:spacing w:line="232" w:lineRule="auto" w:before="0" w:after="0"/>
        <w:ind w:left="179" w:right="180" w:firstLine="0"/>
        <w:jc w:val="left"/>
        <w:rPr>
          <w:sz w:val="18"/>
        </w:rPr>
      </w:pPr>
      <w:r>
        <w:rPr>
          <w:color w:val="231F20"/>
          <w:sz w:val="18"/>
        </w:rPr>
        <w:t>At 1%, GDP growth had been faster in Q3 than expected at the time of the August </w:t>
      </w:r>
      <w:r>
        <w:rPr>
          <w:i/>
          <w:color w:val="231F20"/>
          <w:sz w:val="18"/>
        </w:rPr>
        <w:t>Inflation Report</w:t>
      </w:r>
      <w:r>
        <w:rPr>
          <w:color w:val="231F20"/>
          <w:sz w:val="18"/>
        </w:rPr>
        <w:t>, and was well above trend. The labour market had continued to tighten on most measures; for example, claimant count unemployment (excluding Jobseeker’s Allowance effects) had been falling by around 25–30,000 per month, taking short-term unemployment to levels not seen since </w:t>
      </w:r>
      <w:r>
        <w:rPr>
          <w:color w:val="231F20"/>
          <w:spacing w:val="-6"/>
          <w:sz w:val="18"/>
        </w:rPr>
        <w:t>the </w:t>
      </w:r>
      <w:r>
        <w:rPr>
          <w:color w:val="231F20"/>
          <w:sz w:val="18"/>
        </w:rPr>
        <w:t>period of unsustainable growth in the late 1980s. There was clear agreement that, with growth in Q3 continuing well above any plausible estimate of trend, the degree of slack was lower than anticipated in August. But there could be no certainty about where output was in relation to trend.</w:t>
      </w:r>
    </w:p>
    <w:p>
      <w:pPr>
        <w:pStyle w:val="BodyText"/>
        <w:spacing w:before="7"/>
        <w:rPr>
          <w:sz w:val="16"/>
        </w:rPr>
      </w:pPr>
    </w:p>
    <w:p>
      <w:pPr>
        <w:pStyle w:val="ListParagraph"/>
        <w:numPr>
          <w:ilvl w:val="0"/>
          <w:numId w:val="31"/>
        </w:numPr>
        <w:tabs>
          <w:tab w:pos="659" w:val="left" w:leader="none"/>
          <w:tab w:pos="661" w:val="left" w:leader="none"/>
        </w:tabs>
        <w:spacing w:line="232" w:lineRule="auto" w:before="0" w:after="0"/>
        <w:ind w:left="179" w:right="193" w:firstLine="0"/>
        <w:jc w:val="left"/>
        <w:rPr>
          <w:sz w:val="18"/>
        </w:rPr>
      </w:pPr>
      <w:r>
        <w:rPr>
          <w:color w:val="231F20"/>
          <w:sz w:val="18"/>
        </w:rPr>
        <w:t>There was some evidence that pressures on capacity might not be immediately threatening and might in fact be declining. The Q3 British Chamber of Commerce (BCC) survey suggested that </w:t>
      </w:r>
      <w:r>
        <w:rPr>
          <w:color w:val="231F20"/>
          <w:spacing w:val="-6"/>
          <w:sz w:val="18"/>
        </w:rPr>
        <w:t>the </w:t>
      </w:r>
      <w:r>
        <w:rPr>
          <w:color w:val="231F20"/>
          <w:sz w:val="18"/>
        </w:rPr>
        <w:t>number of manufacturing firms operating at full capacity was, at 30%, around the long-run average; and recruitment intentions, while still positive, had fallen since Q2. The number of service sector firms at full capacity remained above the long-run average but had declined from the 1996 peak. It was suggested that pressures in the service sector were easing as extra capacity came on stream; the BCC survey balance of service sector firms investing in plant and machinery was higher than at any point since the survey began in 1989. Firms were also reporting increased levels of training.</w:t>
      </w:r>
    </w:p>
    <w:p>
      <w:pPr>
        <w:pStyle w:val="BodyText"/>
        <w:spacing w:before="3"/>
      </w:pPr>
    </w:p>
    <w:p>
      <w:pPr>
        <w:pStyle w:val="ListParagraph"/>
        <w:numPr>
          <w:ilvl w:val="0"/>
          <w:numId w:val="31"/>
        </w:numPr>
        <w:tabs>
          <w:tab w:pos="659" w:val="left" w:leader="none"/>
          <w:tab w:pos="661" w:val="left" w:leader="none"/>
        </w:tabs>
        <w:spacing w:line="232" w:lineRule="auto" w:before="0" w:after="0"/>
        <w:ind w:left="179" w:right="169" w:firstLine="0"/>
        <w:jc w:val="left"/>
        <w:rPr>
          <w:sz w:val="18"/>
        </w:rPr>
      </w:pPr>
      <w:r>
        <w:rPr>
          <w:color w:val="231F20"/>
          <w:sz w:val="18"/>
        </w:rPr>
        <w:t>But there was also opposing evidence. The BCC survey recorded a balance of nearly 70% of manufacturing firms experiencing recruitment difficulties, compared with a long-run average balance of around 50%; and a balance of over 60% of service sector firms in that position, compared with a long-run average of around 45%. In the October CBI Industrial Trends survey, which gave a more recent reading than the Q3 BCC survey, the balance of manufacturing firms not working below capacity had recently risen sharply, to above 50%. Skilled labour shortages </w:t>
      </w:r>
      <w:r>
        <w:rPr>
          <w:color w:val="231F20"/>
          <w:spacing w:val="-5"/>
          <w:sz w:val="18"/>
        </w:rPr>
        <w:t>were </w:t>
      </w:r>
      <w:r>
        <w:rPr>
          <w:color w:val="231F20"/>
          <w:sz w:val="18"/>
        </w:rPr>
        <w:t>reported as increasing in the manufacturing sector. The Bank’s regional Agents supported this picture for the economy more widely and were warning of increased wage pressures in 1998. But it was suggested that the absence of any recent increases in economy-wide earnings growth might point to sectoral variations in labour market tightening; any premium having to be paid in especially tight sectors might be being offset by lower earnings growth in other sectors.</w:t>
      </w:r>
    </w:p>
    <w:p>
      <w:pPr>
        <w:pStyle w:val="BodyText"/>
        <w:spacing w:before="3"/>
        <w:rPr>
          <w:sz w:val="16"/>
        </w:rPr>
      </w:pPr>
    </w:p>
    <w:p>
      <w:pPr>
        <w:pStyle w:val="ListParagraph"/>
        <w:numPr>
          <w:ilvl w:val="0"/>
          <w:numId w:val="31"/>
        </w:numPr>
        <w:tabs>
          <w:tab w:pos="659" w:val="left" w:leader="none"/>
          <w:tab w:pos="661" w:val="left" w:leader="none"/>
        </w:tabs>
        <w:spacing w:line="232" w:lineRule="auto" w:before="0" w:after="0"/>
        <w:ind w:left="179" w:right="284" w:firstLine="0"/>
        <w:jc w:val="left"/>
        <w:rPr>
          <w:sz w:val="18"/>
        </w:rPr>
      </w:pPr>
      <w:r>
        <w:rPr>
          <w:color w:val="231F20"/>
          <w:sz w:val="18"/>
        </w:rPr>
        <w:t>There was agreement that the important question was at which point the pressure of demand on supply would feed into higher inflation and inflation expectations. In an arithmetic sense, earnings growth of around 4</w:t>
      </w:r>
      <w:r>
        <w:rPr>
          <w:color w:val="231F20"/>
          <w:position w:val="6"/>
          <w:sz w:val="9"/>
        </w:rPr>
        <w:t>1</w:t>
      </w:r>
      <w:r>
        <w:rPr>
          <w:color w:val="231F20"/>
          <w:sz w:val="18"/>
        </w:rPr>
        <w:t>/</w:t>
      </w:r>
      <w:r>
        <w:rPr>
          <w:color w:val="231F20"/>
          <w:sz w:val="9"/>
        </w:rPr>
        <w:t>4</w:t>
      </w:r>
      <w:r>
        <w:rPr>
          <w:color w:val="231F20"/>
          <w:sz w:val="18"/>
        </w:rPr>
        <w:t>%–4</w:t>
      </w:r>
      <w:r>
        <w:rPr>
          <w:color w:val="231F20"/>
          <w:position w:val="6"/>
          <w:sz w:val="9"/>
        </w:rPr>
        <w:t>1</w:t>
      </w:r>
      <w:r>
        <w:rPr>
          <w:color w:val="231F20"/>
          <w:sz w:val="18"/>
        </w:rPr>
        <w:t>/</w:t>
      </w:r>
      <w:r>
        <w:rPr>
          <w:color w:val="231F20"/>
          <w:sz w:val="9"/>
        </w:rPr>
        <w:t>2</w:t>
      </w:r>
      <w:r>
        <w:rPr>
          <w:color w:val="231F20"/>
          <w:sz w:val="18"/>
        </w:rPr>
        <w:t>% could be regarded as </w:t>
      </w:r>
      <w:r>
        <w:rPr>
          <w:color w:val="231F20"/>
          <w:spacing w:val="-3"/>
          <w:sz w:val="18"/>
        </w:rPr>
        <w:t>either </w:t>
      </w:r>
      <w:r>
        <w:rPr>
          <w:color w:val="231F20"/>
          <w:sz w:val="18"/>
        </w:rPr>
        <w:t>the maximum or the minimum consistent with the 2</w:t>
      </w:r>
      <w:r>
        <w:rPr>
          <w:color w:val="231F20"/>
          <w:position w:val="6"/>
          <w:sz w:val="9"/>
        </w:rPr>
        <w:t>1</w:t>
      </w:r>
      <w:r>
        <w:rPr>
          <w:color w:val="231F20"/>
          <w:sz w:val="18"/>
        </w:rPr>
        <w:t>/</w:t>
      </w:r>
      <w:r>
        <w:rPr>
          <w:color w:val="231F20"/>
          <w:sz w:val="9"/>
        </w:rPr>
        <w:t>2</w:t>
      </w:r>
      <w:r>
        <w:rPr>
          <w:color w:val="231F20"/>
          <w:sz w:val="18"/>
        </w:rPr>
        <w:t>% inflation target given trend productivity growth of around 2% a year. It</w:t>
      </w:r>
    </w:p>
    <w:p>
      <w:pPr>
        <w:spacing w:after="0" w:line="232" w:lineRule="auto"/>
        <w:jc w:val="left"/>
        <w:rPr>
          <w:sz w:val="18"/>
        </w:rPr>
        <w:sectPr>
          <w:type w:val="continuous"/>
          <w:pgSz w:w="11880" w:h="16840"/>
          <w:pgMar w:top="1200" w:bottom="280" w:left="620" w:right="620"/>
          <w:cols w:num="2" w:equalWidth="0">
            <w:col w:w="5129" w:space="261"/>
            <w:col w:w="5250"/>
          </w:cols>
        </w:sectPr>
      </w:pPr>
    </w:p>
    <w:p>
      <w:pPr>
        <w:pStyle w:val="BodyText"/>
        <w:rPr>
          <w:sz w:val="20"/>
        </w:rPr>
      </w:pPr>
    </w:p>
    <w:p>
      <w:pPr>
        <w:spacing w:after="0"/>
        <w:rPr>
          <w:sz w:val="20"/>
        </w:rPr>
        <w:sectPr>
          <w:footerReference w:type="even" r:id="rId104"/>
          <w:footerReference w:type="default" r:id="rId105"/>
          <w:pgSz w:w="11880" w:h="16840"/>
          <w:pgMar w:footer="597" w:header="566" w:top="760" w:bottom="780" w:left="620" w:right="620"/>
          <w:pgNumType w:start="54"/>
        </w:sectPr>
      </w:pPr>
    </w:p>
    <w:p>
      <w:pPr>
        <w:pStyle w:val="BodyText"/>
        <w:spacing w:before="7"/>
        <w:rPr>
          <w:sz w:val="19"/>
        </w:rPr>
      </w:pPr>
    </w:p>
    <w:p>
      <w:pPr>
        <w:pStyle w:val="BodyText"/>
        <w:spacing w:line="232" w:lineRule="auto" w:before="1"/>
        <w:ind w:left="194" w:right="67"/>
      </w:pPr>
      <w:r>
        <w:rPr>
          <w:color w:val="231F20"/>
        </w:rPr>
        <w:t>could be argued that, at the current juncture falling unemployment and rising employment should be viewed as a clear warning sign; earnings growth was much more likely to rise and feed into higher retail price increases. Alternatively the last step of this argument might not be axiomatic. Some US commentators were saying that even if wages accelerated, prices need not follow in line, but instead profit margins could fall for a time. That might also </w:t>
      </w:r>
      <w:r>
        <w:rPr>
          <w:color w:val="231F20"/>
          <w:spacing w:val="-3"/>
        </w:rPr>
        <w:t>happen </w:t>
      </w:r>
      <w:r>
        <w:rPr>
          <w:color w:val="231F20"/>
        </w:rPr>
        <w:t>in the United Kingdom.</w:t>
      </w:r>
    </w:p>
    <w:p>
      <w:pPr>
        <w:pStyle w:val="ListParagraph"/>
        <w:numPr>
          <w:ilvl w:val="0"/>
          <w:numId w:val="31"/>
        </w:numPr>
        <w:tabs>
          <w:tab w:pos="674" w:val="left" w:leader="none"/>
          <w:tab w:pos="675" w:val="left" w:leader="none"/>
        </w:tabs>
        <w:spacing w:line="232" w:lineRule="auto" w:before="173" w:after="0"/>
        <w:ind w:left="194" w:right="78" w:firstLine="0"/>
        <w:jc w:val="left"/>
        <w:rPr>
          <w:sz w:val="18"/>
        </w:rPr>
      </w:pPr>
      <w:r>
        <w:rPr>
          <w:color w:val="231F20"/>
          <w:sz w:val="18"/>
        </w:rPr>
        <w:t>The assessment turned on whether there had been a material reduction in the natural rate of unemployment—the rate consistent with stable inflation. It was possible that the natural rate had fallen not only during the 1980s but also again, materially, during the 1990s on account of continuing labour market reforms, such as the introduction of the Jobseeker’s Allowance. On the other hand, it was possible that the natural rate had fallen but that unemployment was nevertheless now close to or at the natural rate. There was agreement that there was enormous uncertainty about the natural rate and also, as discussed at the October meeting, that there could be ‘speed limit’ pressures on inflation as any remaining gap</w:t>
      </w:r>
      <w:r>
        <w:rPr>
          <w:color w:val="231F20"/>
          <w:spacing w:val="4"/>
          <w:sz w:val="18"/>
        </w:rPr>
        <w:t> </w:t>
      </w:r>
      <w:r>
        <w:rPr>
          <w:color w:val="231F20"/>
          <w:spacing w:val="-3"/>
          <w:sz w:val="18"/>
        </w:rPr>
        <w:t>closed.</w:t>
      </w:r>
    </w:p>
    <w:p>
      <w:pPr>
        <w:pStyle w:val="BodyText"/>
        <w:spacing w:before="8"/>
        <w:rPr>
          <w:sz w:val="16"/>
        </w:rPr>
      </w:pPr>
    </w:p>
    <w:p>
      <w:pPr>
        <w:pStyle w:val="ListParagraph"/>
        <w:numPr>
          <w:ilvl w:val="0"/>
          <w:numId w:val="31"/>
        </w:numPr>
        <w:tabs>
          <w:tab w:pos="674" w:val="left" w:leader="none"/>
          <w:tab w:pos="675" w:val="left" w:leader="none"/>
        </w:tabs>
        <w:spacing w:line="232" w:lineRule="auto" w:before="0" w:after="0"/>
        <w:ind w:left="194" w:right="173" w:firstLine="0"/>
        <w:jc w:val="left"/>
        <w:rPr>
          <w:sz w:val="18"/>
        </w:rPr>
      </w:pPr>
      <w:r>
        <w:rPr>
          <w:color w:val="231F20"/>
          <w:sz w:val="18"/>
        </w:rPr>
        <w:t>In summary, all agreed that output growth was still well above trend, that the labour market continued to tighten, and </w:t>
      </w:r>
      <w:r>
        <w:rPr>
          <w:color w:val="231F20"/>
          <w:spacing w:val="-4"/>
          <w:sz w:val="18"/>
        </w:rPr>
        <w:t>that, </w:t>
      </w:r>
      <w:r>
        <w:rPr>
          <w:color w:val="231F20"/>
          <w:sz w:val="18"/>
        </w:rPr>
        <w:t>if any slack remained, it was being ‘used up’ quickly.</w:t>
      </w:r>
    </w:p>
    <w:p>
      <w:pPr>
        <w:pStyle w:val="BodyText"/>
        <w:spacing w:before="11"/>
        <w:rPr>
          <w:sz w:val="23"/>
        </w:rPr>
      </w:pPr>
    </w:p>
    <w:p>
      <w:pPr>
        <w:pStyle w:val="Heading7"/>
        <w:ind w:left="194"/>
      </w:pPr>
      <w:r>
        <w:rPr>
          <w:color w:val="009483"/>
        </w:rPr>
        <w:t>Retail sales and retail margins</w:t>
      </w:r>
    </w:p>
    <w:p>
      <w:pPr>
        <w:pStyle w:val="ListParagraph"/>
        <w:numPr>
          <w:ilvl w:val="0"/>
          <w:numId w:val="31"/>
        </w:numPr>
        <w:tabs>
          <w:tab w:pos="674" w:val="left" w:leader="none"/>
          <w:tab w:pos="675" w:val="left" w:leader="none"/>
        </w:tabs>
        <w:spacing w:line="232" w:lineRule="auto" w:before="109" w:after="0"/>
        <w:ind w:left="194" w:right="38" w:firstLine="0"/>
        <w:jc w:val="left"/>
        <w:rPr>
          <w:sz w:val="18"/>
        </w:rPr>
      </w:pPr>
      <w:r>
        <w:rPr>
          <w:color w:val="231F20"/>
          <w:sz w:val="18"/>
        </w:rPr>
        <w:t>The Committee discussed what weight it should give to </w:t>
      </w:r>
      <w:r>
        <w:rPr>
          <w:color w:val="231F20"/>
          <w:spacing w:val="-3"/>
          <w:sz w:val="18"/>
        </w:rPr>
        <w:t>retail </w:t>
      </w:r>
      <w:r>
        <w:rPr>
          <w:color w:val="231F20"/>
          <w:sz w:val="18"/>
        </w:rPr>
        <w:t>sales having fallen by 1.9% in September. This had widely been attributed to the funeral of Diana, Princess of Wales and also to unusually warm weather depressing sales of clothing and footwear. It had followed eight consecutive monthly rises, the longest such sequence since 1987, suggesting considerable underlying strength. The most recent consumer confidence surveys from M</w:t>
      </w:r>
      <w:r>
        <w:rPr>
          <w:color w:val="231F20"/>
          <w:sz w:val="14"/>
        </w:rPr>
        <w:t>ORI </w:t>
      </w:r>
      <w:r>
        <w:rPr>
          <w:color w:val="231F20"/>
          <w:sz w:val="18"/>
        </w:rPr>
        <w:t>and GFK were both strong, and there was an expectation that spending of the windfalls from the summer’s building society and insurance company demutualisations would continue in Q4, especially around Christmas. The Committee agreed that the September retail sales figure was not, taken on its own, evidence of a slowdown.</w:t>
      </w:r>
    </w:p>
    <w:p>
      <w:pPr>
        <w:pStyle w:val="BodyText"/>
        <w:spacing w:before="7"/>
        <w:rPr>
          <w:sz w:val="16"/>
        </w:rPr>
      </w:pPr>
    </w:p>
    <w:p>
      <w:pPr>
        <w:pStyle w:val="ListParagraph"/>
        <w:numPr>
          <w:ilvl w:val="0"/>
          <w:numId w:val="31"/>
        </w:numPr>
        <w:tabs>
          <w:tab w:pos="674" w:val="left" w:leader="none"/>
          <w:tab w:pos="675" w:val="left" w:leader="none"/>
        </w:tabs>
        <w:spacing w:line="232" w:lineRule="auto" w:before="0" w:after="0"/>
        <w:ind w:left="194" w:right="103" w:firstLine="0"/>
        <w:jc w:val="left"/>
        <w:rPr>
          <w:sz w:val="18"/>
        </w:rPr>
      </w:pPr>
      <w:r>
        <w:rPr>
          <w:color w:val="231F20"/>
          <w:sz w:val="18"/>
        </w:rPr>
        <w:t>The outlook for retail margins was highly uncertain. They had widened during Q3, reflecting the modest pass-through of sterling’s appreciation into retail prices. On one view, the rise in margins was not surprising and might not unwind, given the strength of current and prospective consumption. Cyclically, this was a time to rebuild margins. Moreover, if sterling’s </w:t>
      </w:r>
      <w:r>
        <w:rPr>
          <w:color w:val="231F20"/>
          <w:spacing w:val="-2"/>
          <w:sz w:val="18"/>
        </w:rPr>
        <w:t>appreciation </w:t>
      </w:r>
      <w:r>
        <w:rPr>
          <w:color w:val="231F20"/>
          <w:sz w:val="18"/>
        </w:rPr>
        <w:t>was causing valuation losses on overseas earnings, there was a strong incentive to protect overall profitability by not cutting domestic margins.</w:t>
      </w:r>
    </w:p>
    <w:p>
      <w:pPr>
        <w:pStyle w:val="ListParagraph"/>
        <w:numPr>
          <w:ilvl w:val="0"/>
          <w:numId w:val="31"/>
        </w:numPr>
        <w:tabs>
          <w:tab w:pos="674" w:val="left" w:leader="none"/>
          <w:tab w:pos="675" w:val="left" w:leader="none"/>
        </w:tabs>
        <w:spacing w:line="232" w:lineRule="auto" w:before="173" w:after="0"/>
        <w:ind w:left="194" w:right="573" w:firstLine="0"/>
        <w:jc w:val="left"/>
        <w:rPr>
          <w:sz w:val="18"/>
        </w:rPr>
      </w:pPr>
      <w:r>
        <w:rPr>
          <w:color w:val="231F20"/>
          <w:sz w:val="18"/>
        </w:rPr>
        <w:t>On another view, it would be surprising if retail </w:t>
      </w:r>
      <w:r>
        <w:rPr>
          <w:color w:val="231F20"/>
          <w:spacing w:val="-3"/>
          <w:sz w:val="18"/>
        </w:rPr>
        <w:t>profit </w:t>
      </w:r>
      <w:r>
        <w:rPr>
          <w:color w:val="231F20"/>
          <w:sz w:val="18"/>
        </w:rPr>
        <w:t>margins fell back from current levels, given the lack of </w:t>
      </w:r>
      <w:r>
        <w:rPr>
          <w:color w:val="231F20"/>
          <w:spacing w:val="-3"/>
          <w:sz w:val="18"/>
        </w:rPr>
        <w:t>clear </w:t>
      </w:r>
      <w:r>
        <w:rPr>
          <w:color w:val="231F20"/>
          <w:sz w:val="18"/>
        </w:rPr>
        <w:t>statistical evidence of any past cyclical component in their behaviour.</w:t>
      </w:r>
    </w:p>
    <w:p>
      <w:pPr>
        <w:pStyle w:val="BodyText"/>
        <w:spacing w:before="1"/>
        <w:rPr>
          <w:sz w:val="17"/>
        </w:rPr>
      </w:pPr>
    </w:p>
    <w:p>
      <w:pPr>
        <w:pStyle w:val="ListParagraph"/>
        <w:numPr>
          <w:ilvl w:val="0"/>
          <w:numId w:val="31"/>
        </w:numPr>
        <w:tabs>
          <w:tab w:pos="674" w:val="left" w:leader="none"/>
          <w:tab w:pos="675" w:val="left" w:leader="none"/>
        </w:tabs>
        <w:spacing w:line="232" w:lineRule="auto" w:before="0" w:after="0"/>
        <w:ind w:left="194" w:right="114" w:firstLine="0"/>
        <w:jc w:val="left"/>
        <w:rPr>
          <w:sz w:val="18"/>
        </w:rPr>
      </w:pPr>
      <w:r>
        <w:rPr>
          <w:color w:val="231F20"/>
          <w:sz w:val="18"/>
        </w:rPr>
        <w:t>A third view would be that there were structural reasons to expect a fall. Competition in the retail sector remained intense. The main force behind the recent rise in retail margins had been weak input prices rather than increases in retail prices. As </w:t>
      </w:r>
      <w:r>
        <w:rPr>
          <w:color w:val="231F20"/>
          <w:spacing w:val="-3"/>
          <w:sz w:val="18"/>
        </w:rPr>
        <w:t>demand </w:t>
      </w:r>
      <w:r>
        <w:rPr>
          <w:color w:val="231F20"/>
          <w:sz w:val="18"/>
        </w:rPr>
        <w:t>and output slowed and firms’ growth forecasts were revised down, margins should fall.</w:t>
      </w:r>
    </w:p>
    <w:p>
      <w:pPr>
        <w:pStyle w:val="ListParagraph"/>
        <w:numPr>
          <w:ilvl w:val="0"/>
          <w:numId w:val="31"/>
        </w:numPr>
        <w:tabs>
          <w:tab w:pos="674" w:val="left" w:leader="none"/>
          <w:tab w:pos="675" w:val="left" w:leader="none"/>
        </w:tabs>
        <w:spacing w:line="232" w:lineRule="auto" w:before="176" w:after="0"/>
        <w:ind w:left="194" w:right="98" w:firstLine="0"/>
        <w:jc w:val="left"/>
        <w:rPr>
          <w:sz w:val="18"/>
        </w:rPr>
      </w:pPr>
      <w:r>
        <w:rPr>
          <w:color w:val="231F20"/>
          <w:sz w:val="18"/>
        </w:rPr>
        <w:t>It was agreed that the assumption in the </w:t>
      </w:r>
      <w:r>
        <w:rPr>
          <w:i/>
          <w:color w:val="231F20"/>
          <w:sz w:val="18"/>
        </w:rPr>
        <w:t>Inflation Report </w:t>
      </w:r>
      <w:r>
        <w:rPr>
          <w:color w:val="231F20"/>
          <w:sz w:val="18"/>
        </w:rPr>
        <w:t>forecast should be that it was most likely that part of the recent </w:t>
      </w:r>
      <w:r>
        <w:rPr>
          <w:color w:val="231F20"/>
          <w:spacing w:val="-5"/>
          <w:sz w:val="18"/>
        </w:rPr>
        <w:t>rise </w:t>
      </w:r>
      <w:r>
        <w:rPr>
          <w:color w:val="231F20"/>
          <w:sz w:val="18"/>
        </w:rPr>
        <w:t>in retail margins would unwind, but with the balance of risks for the next year weighted towards their being stronger than in the central case.</w:t>
      </w:r>
    </w:p>
    <w:p>
      <w:pPr>
        <w:pStyle w:val="BodyText"/>
        <w:spacing w:before="9"/>
        <w:rPr>
          <w:sz w:val="23"/>
        </w:rPr>
      </w:pPr>
    </w:p>
    <w:p>
      <w:pPr>
        <w:pStyle w:val="Heading7"/>
        <w:ind w:left="194"/>
      </w:pPr>
      <w:r>
        <w:rPr>
          <w:color w:val="009483"/>
        </w:rPr>
        <w:t>Net trade</w:t>
      </w:r>
    </w:p>
    <w:p>
      <w:pPr>
        <w:pStyle w:val="ListParagraph"/>
        <w:numPr>
          <w:ilvl w:val="0"/>
          <w:numId w:val="31"/>
        </w:numPr>
        <w:tabs>
          <w:tab w:pos="674" w:val="left" w:leader="none"/>
          <w:tab w:pos="675" w:val="left" w:leader="none"/>
        </w:tabs>
        <w:spacing w:line="232" w:lineRule="auto" w:before="109" w:after="0"/>
        <w:ind w:left="194" w:right="183" w:firstLine="0"/>
        <w:jc w:val="left"/>
        <w:rPr>
          <w:sz w:val="18"/>
        </w:rPr>
      </w:pPr>
      <w:r>
        <w:rPr>
          <w:color w:val="231F20"/>
          <w:sz w:val="18"/>
        </w:rPr>
        <w:t>The Committee regarded the outlook for net trade as a </w:t>
      </w:r>
      <w:r>
        <w:rPr>
          <w:color w:val="231F20"/>
          <w:spacing w:val="-5"/>
          <w:sz w:val="18"/>
        </w:rPr>
        <w:t>very </w:t>
      </w:r>
      <w:r>
        <w:rPr>
          <w:color w:val="231F20"/>
          <w:sz w:val="18"/>
        </w:rPr>
        <w:t>important area of uncertainty. So far the impact of sterling’s</w:t>
      </w:r>
    </w:p>
    <w:p>
      <w:pPr>
        <w:pStyle w:val="BodyText"/>
        <w:spacing w:before="7"/>
        <w:rPr>
          <w:sz w:val="19"/>
        </w:rPr>
      </w:pPr>
      <w:r>
        <w:rPr/>
        <w:br w:type="column"/>
      </w:r>
      <w:r>
        <w:rPr>
          <w:sz w:val="19"/>
        </w:rPr>
      </w:r>
    </w:p>
    <w:p>
      <w:pPr>
        <w:pStyle w:val="BodyText"/>
        <w:spacing w:line="232" w:lineRule="auto" w:before="1"/>
        <w:ind w:left="194" w:right="159"/>
      </w:pPr>
      <w:r>
        <w:rPr>
          <w:color w:val="231F20"/>
        </w:rPr>
        <w:t>appreciation had been much less than expected; for example, preliminary data suggested that, excluding oil and erratics, the three month on previous three month growth rate of export volumes had risen to 4</w:t>
      </w:r>
      <w:r>
        <w:rPr>
          <w:color w:val="231F20"/>
          <w:position w:val="6"/>
          <w:sz w:val="9"/>
        </w:rPr>
        <w:t>1</w:t>
      </w:r>
      <w:r>
        <w:rPr>
          <w:color w:val="231F20"/>
        </w:rPr>
        <w:t>/</w:t>
      </w:r>
      <w:r>
        <w:rPr>
          <w:color w:val="231F20"/>
          <w:sz w:val="9"/>
        </w:rPr>
        <w:t>2</w:t>
      </w:r>
      <w:r>
        <w:rPr>
          <w:color w:val="231F20"/>
        </w:rPr>
        <w:t>% in August from 3.7% in July. The key issue was whether the lags were simply longer than had been thought or whether there would be less of an effect.</w:t>
      </w:r>
    </w:p>
    <w:p>
      <w:pPr>
        <w:pStyle w:val="BodyText"/>
        <w:spacing w:before="8"/>
      </w:pPr>
    </w:p>
    <w:p>
      <w:pPr>
        <w:pStyle w:val="ListParagraph"/>
        <w:numPr>
          <w:ilvl w:val="0"/>
          <w:numId w:val="31"/>
        </w:numPr>
        <w:tabs>
          <w:tab w:pos="674" w:val="left" w:leader="none"/>
          <w:tab w:pos="675" w:val="left" w:leader="none"/>
        </w:tabs>
        <w:spacing w:line="232" w:lineRule="auto" w:before="0" w:after="0"/>
        <w:ind w:left="194" w:right="272" w:firstLine="0"/>
        <w:jc w:val="left"/>
        <w:rPr>
          <w:sz w:val="18"/>
        </w:rPr>
      </w:pPr>
      <w:r>
        <w:rPr>
          <w:color w:val="231F20"/>
          <w:sz w:val="18"/>
        </w:rPr>
        <w:t>One possible explanation was the strength of external demand. O</w:t>
      </w:r>
      <w:r>
        <w:rPr>
          <w:color w:val="231F20"/>
          <w:sz w:val="14"/>
        </w:rPr>
        <w:t>ECD </w:t>
      </w:r>
      <w:r>
        <w:rPr>
          <w:color w:val="231F20"/>
          <w:sz w:val="18"/>
        </w:rPr>
        <w:t>data suggested that in the first half of 1997 the United Kingdom’s export markets for goods had grown strongly, which may have helped to sustain export volumes in spite of the appreciation. There had also been a striking growth in exports outside Europe. It was possible that UK exporters had responded by increasing their efforts to penetrate new markets, against </w:t>
      </w:r>
      <w:r>
        <w:rPr>
          <w:color w:val="231F20"/>
          <w:spacing w:val="-4"/>
          <w:sz w:val="18"/>
        </w:rPr>
        <w:t>which </w:t>
      </w:r>
      <w:r>
        <w:rPr>
          <w:color w:val="231F20"/>
          <w:sz w:val="18"/>
        </w:rPr>
        <w:t>sterling’s appreciation had been smaller than against continental Europe.</w:t>
      </w:r>
    </w:p>
    <w:p>
      <w:pPr>
        <w:pStyle w:val="BodyText"/>
        <w:spacing w:before="6"/>
      </w:pPr>
    </w:p>
    <w:p>
      <w:pPr>
        <w:pStyle w:val="ListParagraph"/>
        <w:numPr>
          <w:ilvl w:val="0"/>
          <w:numId w:val="31"/>
        </w:numPr>
        <w:tabs>
          <w:tab w:pos="674" w:val="left" w:leader="none"/>
          <w:tab w:pos="675" w:val="left" w:leader="none"/>
        </w:tabs>
        <w:spacing w:line="232" w:lineRule="auto" w:before="0" w:after="0"/>
        <w:ind w:left="194" w:right="287" w:firstLine="0"/>
        <w:jc w:val="left"/>
        <w:rPr>
          <w:sz w:val="18"/>
        </w:rPr>
      </w:pPr>
      <w:r>
        <w:rPr>
          <w:color w:val="231F20"/>
          <w:sz w:val="18"/>
        </w:rPr>
        <w:t>A second contributory factor might be that exporters had initially cut margins in order maintain market share, in which </w:t>
      </w:r>
      <w:r>
        <w:rPr>
          <w:color w:val="231F20"/>
          <w:spacing w:val="-5"/>
          <w:sz w:val="18"/>
        </w:rPr>
        <w:t>case </w:t>
      </w:r>
      <w:r>
        <w:rPr>
          <w:color w:val="231F20"/>
          <w:sz w:val="18"/>
        </w:rPr>
        <w:t>they might eventually have to cut costs to rebuild profitability. There was some support for this from anecdotal evidence that managements were taking further measures to cut costs.</w:t>
      </w:r>
    </w:p>
    <w:p>
      <w:pPr>
        <w:pStyle w:val="BodyText"/>
        <w:rPr>
          <w:sz w:val="17"/>
        </w:rPr>
      </w:pPr>
    </w:p>
    <w:p>
      <w:pPr>
        <w:pStyle w:val="ListParagraph"/>
        <w:numPr>
          <w:ilvl w:val="0"/>
          <w:numId w:val="31"/>
        </w:numPr>
        <w:tabs>
          <w:tab w:pos="674" w:val="left" w:leader="none"/>
          <w:tab w:pos="675" w:val="left" w:leader="none"/>
        </w:tabs>
        <w:spacing w:line="232" w:lineRule="auto" w:before="1" w:after="0"/>
        <w:ind w:left="194" w:right="196" w:firstLine="0"/>
        <w:jc w:val="left"/>
        <w:rPr>
          <w:sz w:val="18"/>
        </w:rPr>
      </w:pPr>
      <w:r>
        <w:rPr>
          <w:color w:val="231F20"/>
          <w:sz w:val="18"/>
        </w:rPr>
        <w:t>It was possible that the real exchange rate had appreciated because of supply-side improvements, or quality enhancements. It was noted that a recent CBI study suggested that a large proportion of UK manufacturing firms fell short of ‘best practice’ in terms of productivity, so that there was scope for such improvements. This was consistent with the assumption about the path of the exchange rate in the central projection of the November </w:t>
      </w:r>
      <w:r>
        <w:rPr>
          <w:i/>
          <w:color w:val="231F20"/>
          <w:sz w:val="18"/>
        </w:rPr>
        <w:t>Inflation Report</w:t>
      </w:r>
      <w:r>
        <w:rPr>
          <w:color w:val="231F20"/>
          <w:sz w:val="18"/>
        </w:rPr>
        <w:t>; some of the portfolio or erratic factors contributing to sterling’s appreciation had unwound faster than assumed in August, and it was now assumed that the most likely course was that there would be no further unwind of these factors, leading to a slower rate of depreciation in the central case than in August. The possibility of </w:t>
      </w:r>
      <w:r>
        <w:rPr>
          <w:color w:val="231F20"/>
          <w:spacing w:val="-17"/>
          <w:sz w:val="18"/>
        </w:rPr>
        <w:t>a </w:t>
      </w:r>
      <w:r>
        <w:rPr>
          <w:color w:val="231F20"/>
          <w:sz w:val="18"/>
        </w:rPr>
        <w:t>further unwind was instead reflected in a skewed balance of risks around the central projection.</w:t>
      </w:r>
    </w:p>
    <w:p>
      <w:pPr>
        <w:pStyle w:val="BodyText"/>
        <w:spacing w:before="2"/>
      </w:pPr>
    </w:p>
    <w:p>
      <w:pPr>
        <w:pStyle w:val="ListParagraph"/>
        <w:numPr>
          <w:ilvl w:val="0"/>
          <w:numId w:val="31"/>
        </w:numPr>
        <w:tabs>
          <w:tab w:pos="674" w:val="left" w:leader="none"/>
          <w:tab w:pos="675" w:val="left" w:leader="none"/>
        </w:tabs>
        <w:spacing w:line="232" w:lineRule="auto" w:before="0" w:after="0"/>
        <w:ind w:left="194" w:right="252" w:firstLine="0"/>
        <w:jc w:val="left"/>
        <w:rPr>
          <w:sz w:val="18"/>
        </w:rPr>
      </w:pPr>
      <w:r>
        <w:rPr>
          <w:color w:val="231F20"/>
          <w:sz w:val="18"/>
        </w:rPr>
        <w:t>A further possibility was that, against a history of relatively high exchange rate volatility, firms had originally thought the appreciation would be temporary, and had thus accepted what </w:t>
      </w:r>
      <w:r>
        <w:rPr>
          <w:color w:val="231F20"/>
          <w:spacing w:val="-5"/>
          <w:sz w:val="18"/>
        </w:rPr>
        <w:t>they </w:t>
      </w:r>
      <w:r>
        <w:rPr>
          <w:color w:val="231F20"/>
          <w:sz w:val="18"/>
        </w:rPr>
        <w:t>regarded as temporary falls in export margins. If true, as the appreciation persisted, firms would increasingly regard sterling’s higher level as permanent, and the volume effects on net trade would bite. However, it could be argued that, if this were so, surveys of expected export volumes should be showing a continuing deterioration, whereas the latest C</w:t>
      </w:r>
      <w:r>
        <w:rPr>
          <w:color w:val="231F20"/>
          <w:sz w:val="14"/>
        </w:rPr>
        <w:t>IPS </w:t>
      </w:r>
      <w:r>
        <w:rPr>
          <w:color w:val="231F20"/>
          <w:sz w:val="18"/>
        </w:rPr>
        <w:t>monthly survey had shown renewed growth and the CBI survey had shown a slightly less negative balance. Against this, the slightly less</w:t>
      </w:r>
    </w:p>
    <w:p>
      <w:pPr>
        <w:pStyle w:val="BodyText"/>
        <w:spacing w:line="232" w:lineRule="auto"/>
        <w:ind w:left="194" w:right="494"/>
      </w:pPr>
      <w:r>
        <w:rPr>
          <w:color w:val="231F20"/>
        </w:rPr>
        <w:t>up-to-date quarterly BCC survey reported manufactured export sales at a five-year low.</w:t>
      </w:r>
    </w:p>
    <w:p>
      <w:pPr>
        <w:pStyle w:val="BodyText"/>
        <w:spacing w:before="3"/>
      </w:pPr>
    </w:p>
    <w:p>
      <w:pPr>
        <w:pStyle w:val="ListParagraph"/>
        <w:numPr>
          <w:ilvl w:val="0"/>
          <w:numId w:val="31"/>
        </w:numPr>
        <w:tabs>
          <w:tab w:pos="674" w:val="left" w:leader="none"/>
          <w:tab w:pos="675" w:val="left" w:leader="none"/>
        </w:tabs>
        <w:spacing w:line="232" w:lineRule="auto" w:before="0" w:after="0"/>
        <w:ind w:left="194" w:right="166" w:firstLine="0"/>
        <w:jc w:val="left"/>
        <w:rPr>
          <w:sz w:val="18"/>
        </w:rPr>
      </w:pPr>
      <w:r>
        <w:rPr>
          <w:color w:val="231F20"/>
          <w:sz w:val="18"/>
        </w:rPr>
        <w:t>The Committee agreed that the picture on net trade was difficult to assess. Notwithstanding the limited impact so far, the most likely effect of a 20% appreciation over a year was that net exports would make a marked negative contribution to GDP </w:t>
      </w:r>
      <w:r>
        <w:rPr>
          <w:color w:val="231F20"/>
          <w:spacing w:val="-3"/>
          <w:sz w:val="18"/>
        </w:rPr>
        <w:t>growth </w:t>
      </w:r>
      <w:r>
        <w:rPr>
          <w:color w:val="231F20"/>
          <w:sz w:val="18"/>
        </w:rPr>
        <w:t>next year, so that the impact was delayed. But as time passed without concrete evidence of this, the possibility of a smaller</w:t>
      </w:r>
    </w:p>
    <w:p>
      <w:pPr>
        <w:pStyle w:val="BodyText"/>
        <w:spacing w:line="232" w:lineRule="auto"/>
        <w:ind w:left="194" w:right="654"/>
      </w:pPr>
      <w:r>
        <w:rPr>
          <w:color w:val="231F20"/>
        </w:rPr>
        <w:t>effect increased. To the extent that a reduced sensitivity of exports to worsening competitiveness reflected supply-side improvements (such as higher productivity and efficiency), a</w:t>
      </w:r>
    </w:p>
    <w:p>
      <w:pPr>
        <w:pStyle w:val="BodyText"/>
        <w:spacing w:line="232" w:lineRule="auto"/>
        <w:ind w:left="194" w:right="145"/>
      </w:pPr>
      <w:r>
        <w:rPr>
          <w:color w:val="231F20"/>
        </w:rPr>
        <w:t>smaller-than-expected effect from sterling’s appreciation on exports need not signal increased inflationary pressure.</w:t>
      </w:r>
    </w:p>
    <w:p>
      <w:pPr>
        <w:pStyle w:val="BodyText"/>
        <w:spacing w:before="1"/>
        <w:rPr>
          <w:sz w:val="25"/>
        </w:rPr>
      </w:pPr>
    </w:p>
    <w:p>
      <w:pPr>
        <w:pStyle w:val="Heading7"/>
        <w:spacing w:line="266" w:lineRule="auto" w:before="1"/>
        <w:ind w:left="194" w:right="494"/>
      </w:pPr>
      <w:r>
        <w:rPr>
          <w:color w:val="009483"/>
        </w:rPr>
        <w:t>Developments in Asia and financial market volatility</w:t>
      </w:r>
    </w:p>
    <w:p>
      <w:pPr>
        <w:pStyle w:val="ListParagraph"/>
        <w:numPr>
          <w:ilvl w:val="0"/>
          <w:numId w:val="31"/>
        </w:numPr>
        <w:tabs>
          <w:tab w:pos="674" w:val="left" w:leader="none"/>
          <w:tab w:pos="675" w:val="left" w:leader="none"/>
        </w:tabs>
        <w:spacing w:line="232" w:lineRule="auto" w:before="80" w:after="0"/>
        <w:ind w:left="194" w:right="211" w:firstLine="0"/>
        <w:jc w:val="left"/>
        <w:rPr>
          <w:sz w:val="18"/>
        </w:rPr>
      </w:pPr>
      <w:r>
        <w:rPr>
          <w:color w:val="231F20"/>
          <w:sz w:val="18"/>
        </w:rPr>
        <w:t>In a discussion of the Asian situation, it was noted that circumstances had moved on since the summer when the IMF </w:t>
      </w:r>
      <w:r>
        <w:rPr>
          <w:color w:val="231F20"/>
          <w:spacing w:val="-5"/>
          <w:sz w:val="18"/>
        </w:rPr>
        <w:t>view </w:t>
      </w:r>
      <w:r>
        <w:rPr>
          <w:color w:val="231F20"/>
          <w:sz w:val="18"/>
        </w:rPr>
        <w:t>had been relatively optimistic. More countries were now affected, creating a risk of weaker net exports to and profits from the region.</w:t>
      </w:r>
    </w:p>
    <w:p>
      <w:pPr>
        <w:spacing w:after="0" w:line="232" w:lineRule="auto"/>
        <w:jc w:val="left"/>
        <w:rPr>
          <w:sz w:val="18"/>
        </w:rPr>
        <w:sectPr>
          <w:type w:val="continuous"/>
          <w:pgSz w:w="11880" w:h="16840"/>
          <w:pgMar w:top="1200" w:bottom="280" w:left="620" w:right="620"/>
          <w:cols w:num="2" w:equalWidth="0">
            <w:col w:w="5130" w:space="253"/>
            <w:col w:w="5257"/>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4"/>
        <w:rPr>
          <w:sz w:val="21"/>
        </w:rPr>
      </w:pPr>
    </w:p>
    <w:p>
      <w:pPr>
        <w:pStyle w:val="BodyText"/>
        <w:spacing w:line="232" w:lineRule="auto" w:before="1"/>
        <w:ind w:left="200" w:right="65"/>
      </w:pPr>
      <w:r>
        <w:rPr>
          <w:color w:val="231F20"/>
        </w:rPr>
        <w:t>However, Asia accounted for a small part of UK trade directly, and there had been an offsetting improvement in short-run growth prospects in continental Europe. The more important question, therefore, was the potential for knock-on effects in other regions, for example Latin America, or for the emergence of other financial fragility concerns.</w:t>
      </w:r>
    </w:p>
    <w:p>
      <w:pPr>
        <w:pStyle w:val="BodyText"/>
        <w:spacing w:before="11"/>
        <w:rPr>
          <w:sz w:val="16"/>
        </w:rPr>
      </w:pPr>
    </w:p>
    <w:p>
      <w:pPr>
        <w:pStyle w:val="ListParagraph"/>
        <w:numPr>
          <w:ilvl w:val="0"/>
          <w:numId w:val="31"/>
        </w:numPr>
        <w:tabs>
          <w:tab w:pos="679" w:val="left" w:leader="none"/>
          <w:tab w:pos="681" w:val="left" w:leader="none"/>
        </w:tabs>
        <w:spacing w:line="232" w:lineRule="auto" w:before="0" w:after="0"/>
        <w:ind w:left="200" w:right="72" w:firstLine="0"/>
        <w:jc w:val="left"/>
        <w:rPr>
          <w:sz w:val="18"/>
        </w:rPr>
      </w:pPr>
      <w:r>
        <w:rPr>
          <w:color w:val="231F20"/>
          <w:sz w:val="18"/>
        </w:rPr>
        <w:t>The Committee thought that, as yet, there were no obviously new fragility issues. The fall in the UK equity markets was </w:t>
      </w:r>
      <w:r>
        <w:rPr>
          <w:color w:val="231F20"/>
          <w:spacing w:val="-3"/>
          <w:sz w:val="18"/>
        </w:rPr>
        <w:t>modest </w:t>
      </w:r>
      <w:r>
        <w:rPr>
          <w:color w:val="231F20"/>
          <w:sz w:val="18"/>
        </w:rPr>
        <w:t>set against the rise over the past year, so there was little impact on wealth. Other European and North American markets had also so far fared better than emerging markets. The Committee concluded that the recent financial market volatility did not of itself require </w:t>
      </w:r>
      <w:r>
        <w:rPr>
          <w:color w:val="231F20"/>
          <w:spacing w:val="-9"/>
          <w:sz w:val="18"/>
        </w:rPr>
        <w:t>an </w:t>
      </w:r>
      <w:r>
        <w:rPr>
          <w:color w:val="231F20"/>
          <w:sz w:val="18"/>
        </w:rPr>
        <w:t>easing of policy or inhibit a tightening of policy. But the situation should be monitored carefully, and policy would need to be reassessed if any future financial market developments were to threaten a sharp deterioration in the economic outlook.</w:t>
      </w:r>
    </w:p>
    <w:p>
      <w:pPr>
        <w:pStyle w:val="BodyText"/>
        <w:spacing w:before="5"/>
        <w:rPr>
          <w:sz w:val="23"/>
        </w:rPr>
      </w:pPr>
    </w:p>
    <w:p>
      <w:pPr>
        <w:pStyle w:val="Heading7"/>
        <w:ind w:left="200"/>
      </w:pPr>
      <w:r>
        <w:rPr>
          <w:color w:val="009483"/>
        </w:rPr>
        <w:t>Policy conclusions</w:t>
      </w:r>
    </w:p>
    <w:p>
      <w:pPr>
        <w:pStyle w:val="ListParagraph"/>
        <w:numPr>
          <w:ilvl w:val="0"/>
          <w:numId w:val="31"/>
        </w:numPr>
        <w:tabs>
          <w:tab w:pos="679" w:val="left" w:leader="none"/>
          <w:tab w:pos="681" w:val="left" w:leader="none"/>
        </w:tabs>
        <w:spacing w:line="232" w:lineRule="auto" w:before="110" w:after="0"/>
        <w:ind w:left="199" w:right="38" w:firstLine="0"/>
        <w:jc w:val="left"/>
        <w:rPr>
          <w:sz w:val="18"/>
        </w:rPr>
      </w:pPr>
      <w:r>
        <w:rPr>
          <w:color w:val="231F20"/>
          <w:sz w:val="18"/>
        </w:rPr>
        <w:t>The Committee discussed the implications of the inflation forecast prepared for the November </w:t>
      </w:r>
      <w:r>
        <w:rPr>
          <w:i/>
          <w:color w:val="231F20"/>
          <w:sz w:val="18"/>
        </w:rPr>
        <w:t>Inflation Report</w:t>
      </w:r>
      <w:r>
        <w:rPr>
          <w:color w:val="231F20"/>
          <w:sz w:val="18"/>
        </w:rPr>
        <w:t>. On the basis of unchanged interest rates at 7%, output growth was initially expected to decline, reflecting past policy tightening, the weakening of the windfall effect, and also a delayed effect on net trade from sterling’s appreciation.  It then rose again as the net trade effect on the twelve-month growth rate passed. The range of uncertainty was large. At the two-year horizon, the central projection for inflation was above the target of 2</w:t>
      </w:r>
      <w:r>
        <w:rPr>
          <w:color w:val="231F20"/>
          <w:position w:val="6"/>
          <w:sz w:val="9"/>
        </w:rPr>
        <w:t>1</w:t>
      </w:r>
      <w:r>
        <w:rPr>
          <w:color w:val="231F20"/>
          <w:sz w:val="18"/>
        </w:rPr>
        <w:t>/</w:t>
      </w:r>
      <w:r>
        <w:rPr>
          <w:color w:val="231F20"/>
          <w:sz w:val="9"/>
        </w:rPr>
        <w:t>2</w:t>
      </w:r>
      <w:r>
        <w:rPr>
          <w:color w:val="231F20"/>
          <w:sz w:val="18"/>
        </w:rPr>
        <w:t>% and gently rising, with the risks clearly weighted towards the upside.  The issue therefore was whether an interest rate increase was needed. </w:t>
      </w:r>
      <w:r>
        <w:rPr>
          <w:color w:val="231F20"/>
          <w:spacing w:val="-17"/>
          <w:sz w:val="18"/>
        </w:rPr>
        <w:t>A </w:t>
      </w:r>
      <w:r>
        <w:rPr>
          <w:color w:val="231F20"/>
          <w:sz w:val="18"/>
        </w:rPr>
        <w:t>25 basis point rise would take the central projection to more or less where it had been in August, around 2</w:t>
      </w:r>
      <w:r>
        <w:rPr>
          <w:color w:val="231F20"/>
          <w:position w:val="6"/>
          <w:sz w:val="9"/>
        </w:rPr>
        <w:t>1</w:t>
      </w:r>
      <w:r>
        <w:rPr>
          <w:color w:val="231F20"/>
          <w:sz w:val="18"/>
        </w:rPr>
        <w:t>/</w:t>
      </w:r>
      <w:r>
        <w:rPr>
          <w:color w:val="231F20"/>
          <w:sz w:val="9"/>
        </w:rPr>
        <w:t>2</w:t>
      </w:r>
      <w:r>
        <w:rPr>
          <w:color w:val="231F20"/>
          <w:sz w:val="18"/>
        </w:rPr>
        <w:t>% two years hence, and move the mass of the probability distribution downwards.  The risks would remain skewed on the upside. The probability of inflation falling below the target in the short run would be lower than in August, reflecting a higher starting-point for inflation.</w:t>
      </w:r>
    </w:p>
    <w:p>
      <w:pPr>
        <w:pStyle w:val="BodyText"/>
        <w:spacing w:before="2"/>
        <w:rPr>
          <w:sz w:val="16"/>
        </w:rPr>
      </w:pPr>
    </w:p>
    <w:p>
      <w:pPr>
        <w:pStyle w:val="ListParagraph"/>
        <w:numPr>
          <w:ilvl w:val="0"/>
          <w:numId w:val="31"/>
        </w:numPr>
        <w:tabs>
          <w:tab w:pos="679" w:val="left" w:leader="none"/>
          <w:tab w:pos="681" w:val="left" w:leader="none"/>
        </w:tabs>
        <w:spacing w:line="232" w:lineRule="auto" w:before="1" w:after="0"/>
        <w:ind w:left="199" w:right="38" w:firstLine="0"/>
        <w:jc w:val="left"/>
        <w:rPr>
          <w:sz w:val="18"/>
        </w:rPr>
      </w:pPr>
      <w:r>
        <w:rPr>
          <w:color w:val="231F20"/>
          <w:sz w:val="18"/>
        </w:rPr>
        <w:t>The Committee discussed three possible interpretations of the evidence. One was that, tactical considerations aside, there was a case for not changing interest rates this month. There had been both good and bad news about the inflation outlook since the Committee’s October meeting. There were signs that service </w:t>
      </w:r>
      <w:r>
        <w:rPr>
          <w:color w:val="231F20"/>
          <w:spacing w:val="-3"/>
          <w:sz w:val="18"/>
        </w:rPr>
        <w:t>sector </w:t>
      </w:r>
      <w:r>
        <w:rPr>
          <w:color w:val="231F20"/>
          <w:sz w:val="18"/>
        </w:rPr>
        <w:t>growth had peaked; survey evidence suggested the net trade effect of sterling’s appreciation would still come through; and monetary and fiscal policy had both already been tightened, with inevitably lagged effects, so patience was needed. While domestic demand remained strong, it was likely that output growth was now peaking and there were clear downside risks to output next year. Also robust growth would bring with it capacity increases and could raise activity and employment amongst groups of workers that had become detached from the labour force. This would contribute to offsetting inflationary pressures. On this view there was a case for waiting to see how the slowdown developed before increasing rates again.</w:t>
      </w:r>
    </w:p>
    <w:p>
      <w:pPr>
        <w:pStyle w:val="BodyText"/>
        <w:spacing w:before="2"/>
        <w:rPr>
          <w:sz w:val="16"/>
        </w:rPr>
      </w:pPr>
    </w:p>
    <w:p>
      <w:pPr>
        <w:pStyle w:val="ListParagraph"/>
        <w:numPr>
          <w:ilvl w:val="0"/>
          <w:numId w:val="31"/>
        </w:numPr>
        <w:tabs>
          <w:tab w:pos="679" w:val="left" w:leader="none"/>
          <w:tab w:pos="681" w:val="left" w:leader="none"/>
        </w:tabs>
        <w:spacing w:line="232" w:lineRule="auto" w:before="1" w:after="0"/>
        <w:ind w:left="199" w:right="67" w:firstLine="0"/>
        <w:jc w:val="left"/>
        <w:rPr>
          <w:sz w:val="18"/>
        </w:rPr>
      </w:pPr>
      <w:r>
        <w:rPr>
          <w:color w:val="231F20"/>
          <w:sz w:val="18"/>
        </w:rPr>
        <w:t>A second placed greater emphasis on the continuing </w:t>
      </w:r>
      <w:r>
        <w:rPr>
          <w:color w:val="231F20"/>
          <w:spacing w:val="-3"/>
          <w:sz w:val="18"/>
        </w:rPr>
        <w:t>strength </w:t>
      </w:r>
      <w:r>
        <w:rPr>
          <w:color w:val="231F20"/>
          <w:sz w:val="18"/>
        </w:rPr>
        <w:t>of demand notwithstanding the existing policy tightening and sterling’s appreciation. The majority of evidence since the August </w:t>
      </w:r>
      <w:r>
        <w:rPr>
          <w:i/>
          <w:color w:val="231F20"/>
          <w:sz w:val="18"/>
        </w:rPr>
        <w:t>Inflation Report </w:t>
      </w:r>
      <w:r>
        <w:rPr>
          <w:color w:val="231F20"/>
          <w:sz w:val="18"/>
        </w:rPr>
        <w:t>pointed to continuing inflationary pressures.</w:t>
      </w:r>
      <w:r>
        <w:rPr>
          <w:color w:val="231F20"/>
          <w:spacing w:val="44"/>
          <w:sz w:val="18"/>
        </w:rPr>
        <w:t> </w:t>
      </w:r>
      <w:r>
        <w:rPr>
          <w:color w:val="231F20"/>
          <w:sz w:val="18"/>
        </w:rPr>
        <w:t>The</w:t>
      </w:r>
    </w:p>
    <w:p>
      <w:pPr>
        <w:pStyle w:val="BodyText"/>
        <w:spacing w:before="4"/>
        <w:rPr>
          <w:sz w:val="21"/>
        </w:rPr>
      </w:pPr>
      <w:r>
        <w:rPr/>
        <w:br w:type="column"/>
      </w:r>
      <w:r>
        <w:rPr>
          <w:sz w:val="21"/>
        </w:rPr>
      </w:r>
    </w:p>
    <w:p>
      <w:pPr>
        <w:pStyle w:val="BodyText"/>
        <w:spacing w:line="232" w:lineRule="auto" w:before="1"/>
        <w:ind w:left="200" w:right="146"/>
      </w:pPr>
      <w:r>
        <w:rPr>
          <w:color w:val="231F20"/>
        </w:rPr>
        <w:t>risks of net trade not slowing, and so relieving pressure on capacity, increased as time passed with no concrete evidence that it was happening. The updated central projection on unchanged rates did not itself require an immediate increase but, given the upside balance of risks, it was important to act now to meet the target.</w:t>
      </w:r>
    </w:p>
    <w:p>
      <w:pPr>
        <w:pStyle w:val="BodyText"/>
        <w:rPr>
          <w:sz w:val="17"/>
        </w:rPr>
      </w:pPr>
    </w:p>
    <w:p>
      <w:pPr>
        <w:pStyle w:val="ListParagraph"/>
        <w:numPr>
          <w:ilvl w:val="0"/>
          <w:numId w:val="31"/>
        </w:numPr>
        <w:tabs>
          <w:tab w:pos="679" w:val="left" w:leader="none"/>
          <w:tab w:pos="681" w:val="left" w:leader="none"/>
        </w:tabs>
        <w:spacing w:line="232" w:lineRule="auto" w:before="0" w:after="0"/>
        <w:ind w:left="200" w:right="158" w:firstLine="0"/>
        <w:jc w:val="left"/>
        <w:rPr>
          <w:sz w:val="18"/>
        </w:rPr>
      </w:pPr>
      <w:r>
        <w:rPr>
          <w:color w:val="231F20"/>
          <w:sz w:val="18"/>
        </w:rPr>
        <w:t>A third was that a </w:t>
      </w:r>
      <w:r>
        <w:rPr>
          <w:color w:val="231F20"/>
          <w:position w:val="6"/>
          <w:sz w:val="9"/>
        </w:rPr>
        <w:t>1</w:t>
      </w:r>
      <w:r>
        <w:rPr>
          <w:color w:val="231F20"/>
          <w:sz w:val="18"/>
        </w:rPr>
        <w:t>/</w:t>
      </w:r>
      <w:r>
        <w:rPr>
          <w:color w:val="231F20"/>
          <w:sz w:val="9"/>
        </w:rPr>
        <w:t>4</w:t>
      </w:r>
      <w:r>
        <w:rPr>
          <w:color w:val="231F20"/>
          <w:sz w:val="18"/>
        </w:rPr>
        <w:t>% step was needed now, and indeed that some further increases might be necessary. Growth remained unsustainably strong and the labour market continued to tighten. Since the Committee’s August decision to pause to observe accumulating evidence on the balance of risks, most of the data had been stronger than expected, and sterling had fallen back by more than was expected. Though a slowdown was already likely next year, this was too uncertain and risked being too late to prevent inflation and inflation expectations rising. The money numbers underlined this. It was argued that the balance of risks between raising and not raising rates was asymmetric. There was a high probability that, as well as growing at an above-trend rate, the level of output was now higher than potential. A policy tightening </w:t>
      </w:r>
      <w:r>
        <w:rPr>
          <w:color w:val="231F20"/>
          <w:spacing w:val="-4"/>
          <w:sz w:val="18"/>
        </w:rPr>
        <w:t>would </w:t>
      </w:r>
      <w:r>
        <w:rPr>
          <w:color w:val="231F20"/>
          <w:sz w:val="18"/>
        </w:rPr>
        <w:t>bring output back to its trend level more quickly, and if necessary interest rates could be cut if new evidence emerged that the economy was weaker than expected. If, on the other hand, policy was not tightened, there was a risk that inflation expectations </w:t>
      </w:r>
      <w:r>
        <w:rPr>
          <w:color w:val="231F20"/>
          <w:spacing w:val="-3"/>
          <w:sz w:val="18"/>
        </w:rPr>
        <w:t>would </w:t>
      </w:r>
      <w:r>
        <w:rPr>
          <w:color w:val="231F20"/>
          <w:sz w:val="18"/>
        </w:rPr>
        <w:t>rise as strong demand pressures persisted. The Committee might then find itself having to tighten sharply, increasing the risk of a recession, to bring things back on course. The predominance of upside risks to inflation therefore required an early move.</w:t>
      </w:r>
    </w:p>
    <w:p>
      <w:pPr>
        <w:pStyle w:val="BodyText"/>
        <w:spacing w:before="8"/>
        <w:rPr>
          <w:sz w:val="17"/>
        </w:rPr>
      </w:pPr>
    </w:p>
    <w:p>
      <w:pPr>
        <w:pStyle w:val="ListParagraph"/>
        <w:numPr>
          <w:ilvl w:val="0"/>
          <w:numId w:val="31"/>
        </w:numPr>
        <w:tabs>
          <w:tab w:pos="679" w:val="left" w:leader="none"/>
          <w:tab w:pos="681" w:val="left" w:leader="none"/>
        </w:tabs>
        <w:spacing w:line="232" w:lineRule="auto" w:before="1" w:after="0"/>
        <w:ind w:left="200" w:right="204" w:firstLine="0"/>
        <w:jc w:val="left"/>
        <w:rPr>
          <w:sz w:val="18"/>
        </w:rPr>
      </w:pPr>
      <w:r>
        <w:rPr>
          <w:color w:val="231F20"/>
          <w:sz w:val="18"/>
        </w:rPr>
        <w:t>Turning to tactical considerations, the Committee noted </w:t>
      </w:r>
      <w:r>
        <w:rPr>
          <w:color w:val="231F20"/>
          <w:spacing w:val="-4"/>
          <w:sz w:val="18"/>
        </w:rPr>
        <w:t>that, </w:t>
      </w:r>
      <w:r>
        <w:rPr>
          <w:color w:val="231F20"/>
          <w:sz w:val="18"/>
        </w:rPr>
        <w:t>although a rise would probably come as a surprise to some, any initial impact on financial markets might be reassessed once the </w:t>
      </w:r>
      <w:r>
        <w:rPr>
          <w:i/>
          <w:color w:val="231F20"/>
          <w:sz w:val="18"/>
        </w:rPr>
        <w:t>Inflation Report </w:t>
      </w:r>
      <w:r>
        <w:rPr>
          <w:color w:val="231F20"/>
          <w:sz w:val="18"/>
        </w:rPr>
        <w:t>was published. The Committee considered whether the recent disturbed conditions in financial markets should inhibit it from raising rates. It judged that conditions in the domestic UK markets were not sufficiently fragile for a delay to be necessary and a tightening was unlikely to have a significant effect on worldwide financial markets. There were attractions in moving before the publication of some of the data due out in the next month, given the possibility of a rebound in retail sales growth from the September dip and a likely strong RPIX outturn for October. The Committee might then find itself increasing rates in an environment where it was wrongly perceived as reacting to specific bad data.</w:t>
      </w:r>
    </w:p>
    <w:p>
      <w:pPr>
        <w:pStyle w:val="BodyText"/>
        <w:spacing w:before="10"/>
        <w:rPr>
          <w:sz w:val="15"/>
        </w:rPr>
      </w:pPr>
    </w:p>
    <w:p>
      <w:pPr>
        <w:pStyle w:val="ListParagraph"/>
        <w:numPr>
          <w:ilvl w:val="0"/>
          <w:numId w:val="31"/>
        </w:numPr>
        <w:tabs>
          <w:tab w:pos="679" w:val="left" w:leader="none"/>
          <w:tab w:pos="681" w:val="left" w:leader="none"/>
        </w:tabs>
        <w:spacing w:line="204" w:lineRule="exact" w:before="0" w:after="0"/>
        <w:ind w:left="680" w:right="0" w:hanging="481"/>
        <w:jc w:val="left"/>
        <w:rPr>
          <w:sz w:val="18"/>
        </w:rPr>
      </w:pPr>
      <w:r>
        <w:rPr>
          <w:color w:val="231F20"/>
          <w:sz w:val="18"/>
        </w:rPr>
        <w:t>The Committee then voted unanimously in favour of a</w:t>
      </w:r>
    </w:p>
    <w:p>
      <w:pPr>
        <w:pStyle w:val="BodyText"/>
        <w:spacing w:line="232" w:lineRule="auto" w:before="2"/>
        <w:ind w:left="199" w:right="146"/>
      </w:pPr>
      <w:r>
        <w:rPr>
          <w:color w:val="231F20"/>
          <w:position w:val="6"/>
          <w:sz w:val="9"/>
        </w:rPr>
        <w:t>1</w:t>
      </w:r>
      <w:r>
        <w:rPr>
          <w:color w:val="231F20"/>
        </w:rPr>
        <w:t>/</w:t>
      </w:r>
      <w:r>
        <w:rPr>
          <w:color w:val="231F20"/>
          <w:sz w:val="9"/>
        </w:rPr>
        <w:t>4 </w:t>
      </w:r>
      <w:r>
        <w:rPr>
          <w:color w:val="231F20"/>
        </w:rPr>
        <w:t>percentage point rise in the Bank’s repo rate, to be announced immediately.</w:t>
      </w:r>
    </w:p>
    <w:p>
      <w:pPr>
        <w:pStyle w:val="ListParagraph"/>
        <w:numPr>
          <w:ilvl w:val="0"/>
          <w:numId w:val="31"/>
        </w:numPr>
        <w:tabs>
          <w:tab w:pos="679" w:val="left" w:leader="none"/>
          <w:tab w:pos="681" w:val="left" w:leader="none"/>
        </w:tabs>
        <w:spacing w:line="400" w:lineRule="atLeast" w:before="20" w:after="0"/>
        <w:ind w:left="199" w:right="53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99" w:right="2466"/>
      </w:pPr>
      <w:r>
        <w:rPr>
          <w:color w:val="231F20"/>
        </w:rPr>
        <w:t>David Clementi (Deputy Governor) Willem Buiter</w:t>
      </w:r>
    </w:p>
    <w:p>
      <w:pPr>
        <w:pStyle w:val="BodyText"/>
        <w:spacing w:line="232" w:lineRule="auto"/>
        <w:ind w:left="199" w:right="3495"/>
      </w:pPr>
      <w:r>
        <w:rPr>
          <w:color w:val="231F20"/>
        </w:rPr>
        <w:t>Charles </w:t>
      </w:r>
      <w:r>
        <w:rPr>
          <w:color w:val="231F20"/>
          <w:spacing w:val="-3"/>
        </w:rPr>
        <w:t>Goodhart </w:t>
      </w:r>
      <w:r>
        <w:rPr>
          <w:color w:val="231F20"/>
        </w:rPr>
        <w:t>DeAnne Julius Mervyn King</w:t>
      </w:r>
    </w:p>
    <w:p>
      <w:pPr>
        <w:pStyle w:val="BodyText"/>
        <w:spacing w:line="200" w:lineRule="exact"/>
        <w:ind w:left="199"/>
      </w:pPr>
      <w:r>
        <w:rPr>
          <w:color w:val="231F20"/>
        </w:rPr>
        <w:t>Ian Plenderleith</w:t>
      </w:r>
    </w:p>
    <w:p>
      <w:pPr>
        <w:pStyle w:val="BodyText"/>
        <w:spacing w:before="11"/>
        <w:rPr>
          <w:sz w:val="16"/>
        </w:rPr>
      </w:pPr>
    </w:p>
    <w:p>
      <w:pPr>
        <w:pStyle w:val="ListParagraph"/>
        <w:numPr>
          <w:ilvl w:val="0"/>
          <w:numId w:val="31"/>
        </w:numPr>
        <w:tabs>
          <w:tab w:pos="679" w:val="left" w:leader="none"/>
          <w:tab w:pos="681" w:val="left" w:leader="none"/>
        </w:tabs>
        <w:spacing w:line="232" w:lineRule="auto" w:before="0" w:after="0"/>
        <w:ind w:left="199" w:right="769" w:firstLine="0"/>
        <w:jc w:val="left"/>
        <w:rPr>
          <w:sz w:val="18"/>
        </w:rPr>
      </w:pPr>
      <w:r>
        <w:rPr>
          <w:color w:val="231F20"/>
          <w:sz w:val="18"/>
        </w:rPr>
        <w:t>Sir Terence Burns was also present as the Treasury’s representative.</w:t>
      </w:r>
    </w:p>
    <w:p>
      <w:pPr>
        <w:spacing w:after="0" w:line="232" w:lineRule="auto"/>
        <w:jc w:val="left"/>
        <w:rPr>
          <w:sz w:val="18"/>
        </w:rPr>
        <w:sectPr>
          <w:type w:val="continuous"/>
          <w:pgSz w:w="11880" w:h="16840"/>
          <w:pgMar w:top="1200" w:bottom="280" w:left="620" w:right="620"/>
          <w:cols w:num="2" w:equalWidth="0">
            <w:col w:w="5129" w:space="251"/>
            <w:col w:w="5260"/>
          </w:cols>
        </w:sectPr>
      </w:pPr>
    </w:p>
    <w:p>
      <w:pPr>
        <w:pStyle w:val="BodyText"/>
        <w:rPr>
          <w:sz w:val="20"/>
        </w:rPr>
      </w:pPr>
    </w:p>
    <w:p>
      <w:pPr>
        <w:pStyle w:val="BodyText"/>
        <w:rPr>
          <w:sz w:val="20"/>
        </w:rPr>
      </w:pPr>
    </w:p>
    <w:p>
      <w:pPr>
        <w:pStyle w:val="Heading2"/>
        <w:spacing w:before="256"/>
        <w:ind w:left="175"/>
      </w:pPr>
      <w:r>
        <w:rPr>
          <w:color w:val="009483"/>
        </w:rPr>
        <w:t>Annex: Summary of data presented by Bank staff</w:t>
      </w:r>
    </w:p>
    <w:p>
      <w:pPr>
        <w:pStyle w:val="BodyText"/>
        <w:spacing w:before="5"/>
        <w:rPr>
          <w:b/>
          <w:sz w:val="26"/>
        </w:rPr>
      </w:pPr>
    </w:p>
    <w:p>
      <w:pPr>
        <w:spacing w:after="0"/>
        <w:rPr>
          <w:sz w:val="26"/>
        </w:rPr>
        <w:sectPr>
          <w:pgSz w:w="11880" w:h="16840"/>
          <w:pgMar w:header="566" w:footer="597" w:top="760" w:bottom="780" w:left="620" w:right="620"/>
        </w:sectPr>
      </w:pPr>
    </w:p>
    <w:p>
      <w:pPr>
        <w:pStyle w:val="ListParagraph"/>
        <w:numPr>
          <w:ilvl w:val="0"/>
          <w:numId w:val="32"/>
        </w:numPr>
        <w:tabs>
          <w:tab w:pos="655" w:val="left" w:leader="none"/>
          <w:tab w:pos="656" w:val="left" w:leader="none"/>
        </w:tabs>
        <w:spacing w:line="232" w:lineRule="auto" w:before="98" w:after="0"/>
        <w:ind w:left="175" w:right="93" w:firstLine="0"/>
        <w:jc w:val="left"/>
        <w:rPr>
          <w:sz w:val="18"/>
        </w:rPr>
      </w:pPr>
      <w:r>
        <w:rPr>
          <w:color w:val="231F20"/>
          <w:sz w:val="18"/>
        </w:rPr>
        <w:t>This annex summarises the analysis presented by Bank staff to the Monetary Policy Committee on 31 October 1997, in </w:t>
      </w:r>
      <w:r>
        <w:rPr>
          <w:color w:val="231F20"/>
          <w:spacing w:val="-3"/>
          <w:sz w:val="18"/>
        </w:rPr>
        <w:t>advance </w:t>
      </w:r>
      <w:r>
        <w:rPr>
          <w:color w:val="231F20"/>
          <w:sz w:val="18"/>
        </w:rPr>
        <w:t>of its meeting. At the start of the Committee meeting itself, members were made aware of information that had subsequently become available, and that information is included in this Annex.</w:t>
      </w:r>
    </w:p>
    <w:p>
      <w:pPr>
        <w:pStyle w:val="BodyText"/>
        <w:spacing w:before="9"/>
        <w:rPr>
          <w:sz w:val="23"/>
        </w:rPr>
      </w:pPr>
    </w:p>
    <w:p>
      <w:pPr>
        <w:pStyle w:val="Heading7"/>
        <w:numPr>
          <w:ilvl w:val="0"/>
          <w:numId w:val="33"/>
        </w:numPr>
        <w:tabs>
          <w:tab w:pos="655" w:val="left" w:leader="none"/>
          <w:tab w:pos="656" w:val="left" w:leader="none"/>
        </w:tabs>
        <w:spacing w:line="240" w:lineRule="auto" w:before="0" w:after="0"/>
        <w:ind w:left="655" w:right="0" w:hanging="481"/>
        <w:jc w:val="left"/>
      </w:pPr>
      <w:r>
        <w:rPr>
          <w:color w:val="009483"/>
        </w:rPr>
        <w:t>Monetary conditions</w:t>
      </w:r>
    </w:p>
    <w:p>
      <w:pPr>
        <w:pStyle w:val="ListParagraph"/>
        <w:numPr>
          <w:ilvl w:val="0"/>
          <w:numId w:val="32"/>
        </w:numPr>
        <w:tabs>
          <w:tab w:pos="655" w:val="left" w:leader="none"/>
          <w:tab w:pos="656" w:val="left" w:leader="none"/>
        </w:tabs>
        <w:spacing w:line="232" w:lineRule="auto" w:before="109" w:after="0"/>
        <w:ind w:left="175" w:right="143" w:firstLine="0"/>
        <w:jc w:val="left"/>
        <w:rPr>
          <w:sz w:val="18"/>
        </w:rPr>
      </w:pPr>
      <w:r>
        <w:rPr>
          <w:color w:val="231F20"/>
          <w:sz w:val="18"/>
        </w:rPr>
        <w:t>The growth of notes and coin was still being affected by </w:t>
      </w:r>
      <w:r>
        <w:rPr>
          <w:color w:val="231F20"/>
          <w:spacing w:val="-6"/>
          <w:sz w:val="18"/>
        </w:rPr>
        <w:t>the </w:t>
      </w:r>
      <w:r>
        <w:rPr>
          <w:color w:val="231F20"/>
          <w:sz w:val="18"/>
        </w:rPr>
        <w:t>introduction of the new 50p coin. The new coins had been introduced, but the banks had not yet been able to surrender all of the old ones. This effect added 0.1 percentage point on October’s monthly growth rate in notes and coin of 0.8% and 0.5 percentage point to the twelve-month growth rate of 6.5%.</w:t>
      </w:r>
    </w:p>
    <w:p>
      <w:pPr>
        <w:pStyle w:val="ListParagraph"/>
        <w:numPr>
          <w:ilvl w:val="0"/>
          <w:numId w:val="32"/>
        </w:numPr>
        <w:tabs>
          <w:tab w:pos="655" w:val="left" w:leader="none"/>
          <w:tab w:pos="656" w:val="left" w:leader="none"/>
        </w:tabs>
        <w:spacing w:line="232" w:lineRule="auto" w:before="176" w:after="0"/>
        <w:ind w:left="175" w:right="48" w:firstLine="0"/>
        <w:jc w:val="left"/>
        <w:rPr>
          <w:sz w:val="18"/>
        </w:rPr>
      </w:pPr>
      <w:r>
        <w:rPr>
          <w:color w:val="231F20"/>
          <w:sz w:val="18"/>
        </w:rPr>
        <w:t>The one-month and twelve-month growth rates of M4 increased by 0.2 percentage point in September to 1.0% and 11.8% respectively. Retail M4 growth had been modest, reflecting a small increase in bank deposits.  But there was continued strong growth in building society deposits—probably in expectation of future demutualisations; the three-month annualised rate of growth in building society deposits had reached 20.8% in September. These substantial increases in deposits had enabled building societies to reduce their deposit account rates relative to rates paid by banks. By contrast, the demutualised former societies had in recent </w:t>
      </w:r>
      <w:r>
        <w:rPr>
          <w:color w:val="231F20"/>
          <w:spacing w:val="-3"/>
          <w:sz w:val="18"/>
        </w:rPr>
        <w:t>months </w:t>
      </w:r>
      <w:r>
        <w:rPr>
          <w:color w:val="231F20"/>
          <w:sz w:val="18"/>
        </w:rPr>
        <w:t>raised their rates relative to other banks, perhaps in order to keep their deposit-customers or attract new ones. Wholesale M4 continued to grow strongly in September, increasing by 2.1% on the previous month and 21.9% on a year earlier. Overall real broad money balances grew by just under 9% in the year to September.</w:t>
      </w:r>
    </w:p>
    <w:p>
      <w:pPr>
        <w:pStyle w:val="BodyText"/>
        <w:spacing w:before="10"/>
        <w:rPr>
          <w:sz w:val="15"/>
        </w:rPr>
      </w:pPr>
    </w:p>
    <w:p>
      <w:pPr>
        <w:pStyle w:val="ListParagraph"/>
        <w:numPr>
          <w:ilvl w:val="0"/>
          <w:numId w:val="32"/>
        </w:numPr>
        <w:tabs>
          <w:tab w:pos="655" w:val="left" w:leader="none"/>
          <w:tab w:pos="656" w:val="left" w:leader="none"/>
        </w:tabs>
        <w:spacing w:line="203" w:lineRule="exact" w:before="0" w:after="0"/>
        <w:ind w:left="655" w:right="0" w:hanging="481"/>
        <w:jc w:val="left"/>
        <w:rPr>
          <w:sz w:val="18"/>
        </w:rPr>
      </w:pPr>
      <w:r>
        <w:rPr>
          <w:color w:val="231F20"/>
          <w:sz w:val="18"/>
        </w:rPr>
        <w:t>Sectoral money numbers for Q3 were now available.</w:t>
      </w:r>
    </w:p>
    <w:p>
      <w:pPr>
        <w:pStyle w:val="BodyText"/>
        <w:spacing w:line="232" w:lineRule="auto" w:before="2"/>
        <w:ind w:left="175" w:right="71"/>
      </w:pPr>
      <w:r>
        <w:rPr>
          <w:color w:val="231F20"/>
        </w:rPr>
        <w:t>Four-quarter growth of personal sector money holdings had slowed slightly from 7.8% to 7.5%, but ICCs’ deposits had grown by 11.2%, up from 7.7% in 1997 Q2. The reduced flow into personal sector M4 and the increased flow into ICCs’ deposits were roughly equal. OFIs’ deposits were 25.7% higher than a year earlier.</w:t>
      </w:r>
    </w:p>
    <w:p>
      <w:pPr>
        <w:pStyle w:val="BodyText"/>
        <w:spacing w:line="232" w:lineRule="auto"/>
        <w:ind w:left="175" w:right="48"/>
      </w:pPr>
      <w:r>
        <w:rPr>
          <w:color w:val="231F20"/>
        </w:rPr>
        <w:t>Within OFIs, figures for Q2 (the latest available) suggested that deposits from life assurance and pension funds (L</w:t>
      </w:r>
      <w:r>
        <w:rPr>
          <w:color w:val="231F20"/>
          <w:sz w:val="14"/>
        </w:rPr>
        <w:t>APFs</w:t>
      </w:r>
      <w:r>
        <w:rPr>
          <w:color w:val="231F20"/>
        </w:rPr>
        <w:t>) had again grown strongly. According to Bank research, the L</w:t>
      </w:r>
      <w:r>
        <w:rPr>
          <w:color w:val="231F20"/>
          <w:sz w:val="14"/>
        </w:rPr>
        <w:t>APFs </w:t>
      </w:r>
      <w:r>
        <w:rPr>
          <w:color w:val="231F20"/>
        </w:rPr>
        <w:t>continued to hold excess money balances. ICCs’ money holdings were also estimated to be above long-run equilibrium. Estimates of aggregate trend velocity suggested that the actual level was slightly below long-run equilibrium confirming the sectoral picture of a liquidity overhang.</w:t>
      </w:r>
    </w:p>
    <w:p>
      <w:pPr>
        <w:pStyle w:val="ListParagraph"/>
        <w:numPr>
          <w:ilvl w:val="0"/>
          <w:numId w:val="32"/>
        </w:numPr>
        <w:tabs>
          <w:tab w:pos="655" w:val="left" w:leader="none"/>
          <w:tab w:pos="656" w:val="left" w:leader="none"/>
        </w:tabs>
        <w:spacing w:line="232" w:lineRule="auto" w:before="170" w:after="0"/>
        <w:ind w:left="175" w:right="633" w:firstLine="0"/>
        <w:jc w:val="left"/>
        <w:rPr>
          <w:sz w:val="18"/>
        </w:rPr>
      </w:pPr>
      <w:r>
        <w:rPr>
          <w:color w:val="231F20"/>
          <w:sz w:val="18"/>
        </w:rPr>
        <w:t>Divisia growth had been over 10%. Sectoral Divisia numbers showed similar trends to the sectoral M4</w:t>
      </w:r>
      <w:r>
        <w:rPr>
          <w:color w:val="231F20"/>
          <w:spacing w:val="6"/>
          <w:sz w:val="18"/>
        </w:rPr>
        <w:t> </w:t>
      </w:r>
      <w:r>
        <w:rPr>
          <w:color w:val="231F20"/>
          <w:spacing w:val="-3"/>
          <w:sz w:val="18"/>
        </w:rPr>
        <w:t>numbers.</w:t>
      </w:r>
    </w:p>
    <w:p>
      <w:pPr>
        <w:pStyle w:val="BodyText"/>
        <w:spacing w:before="3"/>
        <w:rPr>
          <w:sz w:val="17"/>
        </w:rPr>
      </w:pPr>
    </w:p>
    <w:p>
      <w:pPr>
        <w:pStyle w:val="ListParagraph"/>
        <w:numPr>
          <w:ilvl w:val="0"/>
          <w:numId w:val="32"/>
        </w:numPr>
        <w:tabs>
          <w:tab w:pos="655" w:val="left" w:leader="none"/>
          <w:tab w:pos="656" w:val="left" w:leader="none"/>
        </w:tabs>
        <w:spacing w:line="232" w:lineRule="auto" w:before="0" w:after="0"/>
        <w:ind w:left="175" w:right="38" w:firstLine="0"/>
        <w:jc w:val="left"/>
        <w:rPr>
          <w:sz w:val="18"/>
        </w:rPr>
      </w:pPr>
      <w:r>
        <w:rPr>
          <w:color w:val="231F20"/>
          <w:sz w:val="18"/>
        </w:rPr>
        <w:t>On the other side of banks’ balance sheets, the monthly numbers again suggested that M4 lending growth might be </w:t>
      </w:r>
      <w:r>
        <w:rPr>
          <w:color w:val="231F20"/>
          <w:spacing w:val="-3"/>
          <w:sz w:val="18"/>
        </w:rPr>
        <w:t>slowing. </w:t>
      </w:r>
      <w:r>
        <w:rPr>
          <w:color w:val="231F20"/>
          <w:sz w:val="18"/>
        </w:rPr>
        <w:t>However, as with deposits, there was a sharp divergence between building societies and banks, with the former lending at a much faster rate. This could also have been caused by expectations of future windfalls; or alternatively lower deposit rates feeding through to lower mortgage rates, attracting custom to building societies.</w:t>
      </w:r>
    </w:p>
    <w:p>
      <w:pPr>
        <w:pStyle w:val="ListParagraph"/>
        <w:numPr>
          <w:ilvl w:val="0"/>
          <w:numId w:val="32"/>
        </w:numPr>
        <w:tabs>
          <w:tab w:pos="655" w:val="left" w:leader="none"/>
          <w:tab w:pos="656" w:val="left" w:leader="none"/>
        </w:tabs>
        <w:spacing w:line="232" w:lineRule="auto" w:before="174" w:after="0"/>
        <w:ind w:left="175" w:right="208" w:firstLine="0"/>
        <w:jc w:val="left"/>
        <w:rPr>
          <w:sz w:val="18"/>
        </w:rPr>
      </w:pPr>
      <w:r>
        <w:rPr>
          <w:color w:val="231F20"/>
          <w:sz w:val="18"/>
        </w:rPr>
        <w:t>There had been a slight fall in the growth of lending to persons in Q3. This was due to slower growth in unsecured lending, possibly as a result of repayments financed out of windfalls in July. Within mortgage lending there had been a </w:t>
      </w:r>
      <w:r>
        <w:rPr>
          <w:color w:val="231F20"/>
          <w:spacing w:val="-4"/>
          <w:sz w:val="18"/>
        </w:rPr>
        <w:t>shift </w:t>
      </w:r>
      <w:r>
        <w:rPr>
          <w:color w:val="231F20"/>
          <w:sz w:val="18"/>
        </w:rPr>
        <w:t>of new business towards fixed-rate business as medium-term maturity yields had fallen.</w:t>
      </w:r>
    </w:p>
    <w:p>
      <w:pPr>
        <w:pStyle w:val="BodyText"/>
        <w:spacing w:before="11"/>
        <w:rPr>
          <w:sz w:val="16"/>
        </w:rPr>
      </w:pPr>
    </w:p>
    <w:p>
      <w:pPr>
        <w:pStyle w:val="ListParagraph"/>
        <w:numPr>
          <w:ilvl w:val="0"/>
          <w:numId w:val="32"/>
        </w:numPr>
        <w:tabs>
          <w:tab w:pos="655" w:val="left" w:leader="none"/>
          <w:tab w:pos="656" w:val="left" w:leader="none"/>
        </w:tabs>
        <w:spacing w:line="232" w:lineRule="auto" w:before="0" w:after="0"/>
        <w:ind w:left="175" w:right="103" w:firstLine="0"/>
        <w:jc w:val="left"/>
        <w:rPr>
          <w:sz w:val="18"/>
        </w:rPr>
      </w:pPr>
      <w:r>
        <w:rPr>
          <w:color w:val="231F20"/>
          <w:sz w:val="18"/>
        </w:rPr>
        <w:t>The slowdown in aggregate M4 lending between Q2 and </w:t>
      </w:r>
      <w:r>
        <w:rPr>
          <w:color w:val="231F20"/>
          <w:spacing w:val="-9"/>
          <w:sz w:val="18"/>
        </w:rPr>
        <w:t>Q3 </w:t>
      </w:r>
      <w:r>
        <w:rPr>
          <w:color w:val="231F20"/>
          <w:sz w:val="18"/>
        </w:rPr>
        <w:t>was driven by lower corporate borrowing. Company borrowing</w:t>
      </w:r>
    </w:p>
    <w:p>
      <w:pPr>
        <w:pStyle w:val="BodyText"/>
        <w:spacing w:line="232" w:lineRule="auto" w:before="98"/>
        <w:ind w:left="175" w:right="351"/>
      </w:pPr>
      <w:r>
        <w:rPr/>
        <w:br w:type="column"/>
      </w:r>
      <w:r>
        <w:rPr>
          <w:color w:val="231F20"/>
        </w:rPr>
        <w:t>from capital markets had also weakened slightly, suggesting their demand for external funds had fallen.</w:t>
      </w:r>
    </w:p>
    <w:p>
      <w:pPr>
        <w:pStyle w:val="BodyText"/>
        <w:spacing w:before="2"/>
        <w:rPr>
          <w:sz w:val="17"/>
        </w:rPr>
      </w:pPr>
    </w:p>
    <w:p>
      <w:pPr>
        <w:pStyle w:val="ListParagraph"/>
        <w:numPr>
          <w:ilvl w:val="0"/>
          <w:numId w:val="32"/>
        </w:numPr>
        <w:tabs>
          <w:tab w:pos="655" w:val="left" w:leader="none"/>
          <w:tab w:pos="656" w:val="left" w:leader="none"/>
        </w:tabs>
        <w:spacing w:line="232" w:lineRule="auto" w:before="0" w:after="0"/>
        <w:ind w:left="175" w:right="313" w:firstLine="0"/>
        <w:jc w:val="left"/>
        <w:rPr>
          <w:sz w:val="18"/>
        </w:rPr>
      </w:pPr>
      <w:r>
        <w:rPr>
          <w:color w:val="231F20"/>
          <w:sz w:val="18"/>
        </w:rPr>
        <w:t>Lending to OFIs had continued to grow at a rapid rate of 20% in the year to Q3. Borrowing by financial leasing companies seemed likely to have remained a relatively significant factor.</w:t>
      </w:r>
    </w:p>
    <w:p>
      <w:pPr>
        <w:pStyle w:val="ListParagraph"/>
        <w:numPr>
          <w:ilvl w:val="0"/>
          <w:numId w:val="32"/>
        </w:numPr>
        <w:tabs>
          <w:tab w:pos="655" w:val="left" w:leader="none"/>
          <w:tab w:pos="656" w:val="left" w:leader="none"/>
        </w:tabs>
        <w:spacing w:line="232" w:lineRule="auto" w:before="178" w:after="0"/>
        <w:ind w:left="175" w:right="183" w:firstLine="0"/>
        <w:jc w:val="left"/>
        <w:rPr>
          <w:sz w:val="18"/>
        </w:rPr>
      </w:pPr>
      <w:r>
        <w:rPr>
          <w:color w:val="231F20"/>
          <w:sz w:val="18"/>
        </w:rPr>
        <w:t>A slowdown in M4 lending would typically lead to slower growth of M4 deposits. But examination of M4 counterparts showed strong bank lending overseas (not part of M4 lending), which could provide a continuing impetus to M4 deposits in the future if it continued and if, when the money flowed back to the United Kingdom, the non-bank private sector chose to hold it in </w:t>
      </w:r>
      <w:r>
        <w:rPr>
          <w:color w:val="231F20"/>
          <w:spacing w:val="-9"/>
          <w:sz w:val="18"/>
        </w:rPr>
        <w:t>M4 </w:t>
      </w:r>
      <w:r>
        <w:rPr>
          <w:color w:val="231F20"/>
          <w:sz w:val="18"/>
        </w:rPr>
        <w:t>assets.</w:t>
      </w:r>
    </w:p>
    <w:p>
      <w:pPr>
        <w:pStyle w:val="BodyText"/>
        <w:spacing w:before="11"/>
        <w:rPr>
          <w:sz w:val="16"/>
        </w:rPr>
      </w:pPr>
    </w:p>
    <w:p>
      <w:pPr>
        <w:pStyle w:val="ListParagraph"/>
        <w:numPr>
          <w:ilvl w:val="0"/>
          <w:numId w:val="32"/>
        </w:numPr>
        <w:tabs>
          <w:tab w:pos="655" w:val="left" w:leader="none"/>
          <w:tab w:pos="656" w:val="left" w:leader="none"/>
        </w:tabs>
        <w:spacing w:line="232" w:lineRule="auto" w:before="0" w:after="0"/>
        <w:ind w:left="175" w:right="343" w:firstLine="0"/>
        <w:jc w:val="left"/>
        <w:rPr>
          <w:sz w:val="18"/>
        </w:rPr>
      </w:pPr>
      <w:r>
        <w:rPr>
          <w:color w:val="231F20"/>
          <w:sz w:val="18"/>
        </w:rPr>
        <w:t>Turning to the price element of monetary conditions, estimates of short-term real rates, derived from index-linked </w:t>
      </w:r>
      <w:r>
        <w:rPr>
          <w:color w:val="231F20"/>
          <w:spacing w:val="-3"/>
          <w:sz w:val="18"/>
        </w:rPr>
        <w:t>gilts, </w:t>
      </w:r>
      <w:r>
        <w:rPr>
          <w:color w:val="231F20"/>
          <w:sz w:val="18"/>
        </w:rPr>
        <w:t>had risen over the last month and were now again above</w:t>
      </w:r>
    </w:p>
    <w:p>
      <w:pPr>
        <w:pStyle w:val="BodyText"/>
        <w:spacing w:line="232" w:lineRule="auto"/>
        <w:ind w:left="175" w:right="146"/>
      </w:pPr>
      <w:r>
        <w:rPr>
          <w:color w:val="231F20"/>
        </w:rPr>
        <w:t>longer-maturity real rates derived from the same source. Inflation expectations, calculated by comparing conventional and</w:t>
      </w:r>
    </w:p>
    <w:p>
      <w:pPr>
        <w:pStyle w:val="BodyText"/>
        <w:spacing w:line="232" w:lineRule="auto"/>
        <w:ind w:left="175" w:right="146"/>
      </w:pPr>
      <w:r>
        <w:rPr>
          <w:color w:val="231F20"/>
        </w:rPr>
        <w:t>index-linked gilts yield curves and making no allowance for risk premia, suggested the market expected inflation to be above 2.5% throughout the next 20 years; but the gap from the inflation target was around 1% or below, within estimates of the inflation risk premium.</w:t>
      </w:r>
    </w:p>
    <w:p>
      <w:pPr>
        <w:pStyle w:val="ListParagraph"/>
        <w:numPr>
          <w:ilvl w:val="0"/>
          <w:numId w:val="32"/>
        </w:numPr>
        <w:tabs>
          <w:tab w:pos="655" w:val="left" w:leader="none"/>
          <w:tab w:pos="656" w:val="left" w:leader="none"/>
        </w:tabs>
        <w:spacing w:line="232" w:lineRule="auto" w:before="172" w:after="0"/>
        <w:ind w:left="175" w:right="244" w:firstLine="0"/>
        <w:jc w:val="left"/>
        <w:rPr>
          <w:sz w:val="18"/>
        </w:rPr>
      </w:pPr>
      <w:r>
        <w:rPr>
          <w:color w:val="231F20"/>
          <w:sz w:val="18"/>
        </w:rPr>
        <w:t>The sterling effective exchange rate index had initially depreciated rather more quickly than the August </w:t>
      </w:r>
      <w:r>
        <w:rPr>
          <w:i/>
          <w:color w:val="231F20"/>
          <w:sz w:val="18"/>
        </w:rPr>
        <w:t>Inflation Report </w:t>
      </w:r>
      <w:r>
        <w:rPr>
          <w:color w:val="231F20"/>
          <w:sz w:val="18"/>
        </w:rPr>
        <w:t>forecast had anticipated. But since the MPC’s October meeting, sterling had increased by 2.1% (on an effective basis) and was </w:t>
      </w:r>
      <w:r>
        <w:rPr>
          <w:color w:val="231F20"/>
          <w:spacing w:val="-6"/>
          <w:sz w:val="18"/>
        </w:rPr>
        <w:t>now </w:t>
      </w:r>
      <w:r>
        <w:rPr>
          <w:color w:val="231F20"/>
          <w:sz w:val="18"/>
        </w:rPr>
        <w:t>broadly in line with the August forecast.</w:t>
      </w:r>
    </w:p>
    <w:p>
      <w:pPr>
        <w:pStyle w:val="BodyText"/>
        <w:rPr>
          <w:sz w:val="17"/>
        </w:rPr>
      </w:pPr>
    </w:p>
    <w:p>
      <w:pPr>
        <w:pStyle w:val="ListParagraph"/>
        <w:numPr>
          <w:ilvl w:val="0"/>
          <w:numId w:val="32"/>
        </w:numPr>
        <w:tabs>
          <w:tab w:pos="655" w:val="left" w:leader="none"/>
          <w:tab w:pos="656" w:val="left" w:leader="none"/>
        </w:tabs>
        <w:spacing w:line="232" w:lineRule="auto" w:before="1" w:after="0"/>
        <w:ind w:left="175" w:right="194" w:firstLine="0"/>
        <w:jc w:val="left"/>
        <w:rPr>
          <w:sz w:val="18"/>
        </w:rPr>
      </w:pPr>
      <w:r>
        <w:rPr>
          <w:color w:val="231F20"/>
          <w:sz w:val="18"/>
        </w:rPr>
        <w:t>The UIP decomposition of exchange rate movements suggested that around 1.5 percentage point of the depreciation </w:t>
      </w:r>
      <w:r>
        <w:rPr>
          <w:color w:val="231F20"/>
          <w:spacing w:val="-4"/>
          <w:sz w:val="18"/>
        </w:rPr>
        <w:t>since </w:t>
      </w:r>
      <w:r>
        <w:rPr>
          <w:color w:val="231F20"/>
          <w:sz w:val="18"/>
        </w:rPr>
        <w:t>August could be explained by changes in the market expectations of future monetary policy in the United Kingdom and overseas. In particular financial markets now anticipated tighter monetary policy in the main continental European economies.</w:t>
      </w:r>
    </w:p>
    <w:p>
      <w:pPr>
        <w:pStyle w:val="BodyText"/>
        <w:spacing w:before="8"/>
        <w:rPr>
          <w:sz w:val="23"/>
        </w:rPr>
      </w:pPr>
    </w:p>
    <w:p>
      <w:pPr>
        <w:pStyle w:val="Heading7"/>
        <w:numPr>
          <w:ilvl w:val="0"/>
          <w:numId w:val="33"/>
        </w:numPr>
        <w:tabs>
          <w:tab w:pos="655" w:val="left" w:leader="none"/>
          <w:tab w:pos="656" w:val="left" w:leader="none"/>
        </w:tabs>
        <w:spacing w:line="240" w:lineRule="auto" w:before="0" w:after="0"/>
        <w:ind w:left="655" w:right="0" w:hanging="481"/>
        <w:jc w:val="left"/>
      </w:pPr>
      <w:r>
        <w:rPr>
          <w:color w:val="009483"/>
        </w:rPr>
        <w:t>Demand and output</w:t>
      </w:r>
    </w:p>
    <w:p>
      <w:pPr>
        <w:pStyle w:val="BodyText"/>
        <w:tabs>
          <w:tab w:pos="655" w:val="left" w:leader="none"/>
        </w:tabs>
        <w:spacing w:line="232" w:lineRule="auto" w:before="110"/>
        <w:ind w:left="175" w:right="203"/>
      </w:pPr>
      <w:r>
        <w:rPr>
          <w:color w:val="231F20"/>
        </w:rPr>
        <w:t>14</w:t>
        <w:tab/>
        <w:t>October saw the first release of GDP output for Q3, but </w:t>
      </w:r>
      <w:r>
        <w:rPr>
          <w:color w:val="231F20"/>
          <w:spacing w:val="-4"/>
        </w:rPr>
        <w:t>there </w:t>
      </w:r>
      <w:r>
        <w:rPr>
          <w:color w:val="231F20"/>
        </w:rPr>
        <w:t>were no new national accounts expenditure numbers published. Consumers’ confidence remained high according to both GFK and M</w:t>
      </w:r>
      <w:r>
        <w:rPr>
          <w:color w:val="231F20"/>
          <w:sz w:val="14"/>
        </w:rPr>
        <w:t>ORI</w:t>
      </w:r>
      <w:r>
        <w:rPr>
          <w:color w:val="231F20"/>
        </w:rPr>
        <w:t>, even though the latter measure had fallen back slightly from record highs earlier in the year. Retail sales volumes fell by 1.9% in September. But it was a volatile series; and unusually volumes had grown continuously for eight months in a row. On past behaviour, a fall at some point would have been expected despite any underlying strength. There was likely to have been a big negative effect on sales associated with the funeral of Diana, Princess of Wales. A further factor was the unusually warm weather in September which had depressed sales of autumn clothing and footwear.</w:t>
      </w:r>
    </w:p>
    <w:p>
      <w:pPr>
        <w:pStyle w:val="BodyText"/>
        <w:spacing w:before="5"/>
        <w:rPr>
          <w:sz w:val="16"/>
        </w:rPr>
      </w:pPr>
    </w:p>
    <w:p>
      <w:pPr>
        <w:pStyle w:val="ListParagraph"/>
        <w:numPr>
          <w:ilvl w:val="0"/>
          <w:numId w:val="34"/>
        </w:numPr>
        <w:tabs>
          <w:tab w:pos="655" w:val="left" w:leader="none"/>
          <w:tab w:pos="656" w:val="left" w:leader="none"/>
        </w:tabs>
        <w:spacing w:line="232" w:lineRule="auto" w:before="1" w:after="0"/>
        <w:ind w:left="175" w:right="348" w:firstLine="0"/>
        <w:jc w:val="left"/>
        <w:rPr>
          <w:sz w:val="18"/>
        </w:rPr>
      </w:pPr>
      <w:r>
        <w:rPr>
          <w:color w:val="231F20"/>
          <w:sz w:val="18"/>
        </w:rPr>
        <w:t>The twelve-month rate of house price inflation on the Nationwide and Halifax measures both fell in October, but the divergence between the two series continued to widen. In Q2 the differences had mainly been accounted for by sections of the Midlands and the North, the numbers in Q3 had been </w:t>
      </w:r>
      <w:r>
        <w:rPr>
          <w:color w:val="231F20"/>
          <w:spacing w:val="-2"/>
          <w:sz w:val="18"/>
        </w:rPr>
        <w:t>consistently </w:t>
      </w:r>
      <w:r>
        <w:rPr>
          <w:color w:val="231F20"/>
          <w:sz w:val="18"/>
        </w:rPr>
        <w:t>dissimilar across the whole country. Nevertheless, on both series house price inflation was still fastest in Greater London.</w:t>
      </w:r>
    </w:p>
    <w:p>
      <w:pPr>
        <w:pStyle w:val="ListParagraph"/>
        <w:numPr>
          <w:ilvl w:val="0"/>
          <w:numId w:val="34"/>
        </w:numPr>
        <w:tabs>
          <w:tab w:pos="655" w:val="left" w:leader="none"/>
          <w:tab w:pos="656" w:val="left" w:leader="none"/>
        </w:tabs>
        <w:spacing w:line="232" w:lineRule="auto" w:before="174" w:after="0"/>
        <w:ind w:left="175" w:right="204" w:firstLine="0"/>
        <w:jc w:val="left"/>
        <w:rPr>
          <w:sz w:val="18"/>
        </w:rPr>
      </w:pPr>
      <w:r>
        <w:rPr>
          <w:color w:val="231F20"/>
          <w:sz w:val="18"/>
        </w:rPr>
        <w:t>The PSBR undershoot of the Budget forecast continued to grow. The undershoot was expected largely to unwind before the end of the financial year, although lower unemployment would create an end-year shortfall on social security expenditure.</w:t>
      </w:r>
      <w:r>
        <w:rPr>
          <w:color w:val="231F20"/>
          <w:spacing w:val="4"/>
          <w:sz w:val="18"/>
        </w:rPr>
        <w:t> </w:t>
      </w:r>
      <w:r>
        <w:rPr>
          <w:color w:val="231F20"/>
          <w:spacing w:val="-3"/>
          <w:sz w:val="18"/>
        </w:rPr>
        <w:t>October</w:t>
      </w:r>
    </w:p>
    <w:p>
      <w:pPr>
        <w:spacing w:after="0" w:line="232" w:lineRule="auto"/>
        <w:jc w:val="left"/>
        <w:rPr>
          <w:sz w:val="18"/>
        </w:rPr>
        <w:sectPr>
          <w:type w:val="continuous"/>
          <w:pgSz w:w="11880" w:h="16840"/>
          <w:pgMar w:top="1200" w:bottom="280" w:left="620" w:right="620"/>
          <w:cols w:num="2" w:equalWidth="0">
            <w:col w:w="5115" w:space="265"/>
            <w:col w:w="5260"/>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4"/>
        <w:rPr>
          <w:sz w:val="21"/>
        </w:rPr>
      </w:pPr>
    </w:p>
    <w:p>
      <w:pPr>
        <w:pStyle w:val="BodyText"/>
        <w:spacing w:line="232" w:lineRule="auto" w:before="1"/>
        <w:ind w:left="200" w:right="130"/>
      </w:pPr>
      <w:r>
        <w:rPr>
          <w:color w:val="231F20"/>
        </w:rPr>
        <w:t>would be an important month, as it was one of four months during the year in which ACT was paid.</w:t>
      </w:r>
    </w:p>
    <w:p>
      <w:pPr>
        <w:pStyle w:val="BodyText"/>
        <w:spacing w:before="2"/>
        <w:rPr>
          <w:sz w:val="17"/>
        </w:rPr>
      </w:pPr>
    </w:p>
    <w:p>
      <w:pPr>
        <w:pStyle w:val="ListParagraph"/>
        <w:numPr>
          <w:ilvl w:val="0"/>
          <w:numId w:val="34"/>
        </w:numPr>
        <w:tabs>
          <w:tab w:pos="679" w:val="left" w:leader="none"/>
          <w:tab w:pos="681" w:val="left" w:leader="none"/>
        </w:tabs>
        <w:spacing w:line="232" w:lineRule="auto" w:before="1" w:after="0"/>
        <w:ind w:left="200" w:right="38" w:firstLine="0"/>
        <w:jc w:val="left"/>
        <w:rPr>
          <w:sz w:val="18"/>
        </w:rPr>
      </w:pPr>
      <w:r>
        <w:rPr>
          <w:color w:val="231F20"/>
          <w:sz w:val="18"/>
        </w:rPr>
        <w:t>Net trade continued to be robust. Export volume growth </w:t>
      </w:r>
      <w:r>
        <w:rPr>
          <w:color w:val="231F20"/>
          <w:spacing w:val="-6"/>
          <w:sz w:val="18"/>
        </w:rPr>
        <w:t>was </w:t>
      </w:r>
      <w:r>
        <w:rPr>
          <w:color w:val="231F20"/>
          <w:sz w:val="18"/>
        </w:rPr>
        <w:t>stronger than expected, although there may have been some early signs of weakness from September’s non-EU data.</w:t>
      </w:r>
    </w:p>
    <w:p>
      <w:pPr>
        <w:pStyle w:val="BodyText"/>
        <w:spacing w:before="2"/>
        <w:rPr>
          <w:sz w:val="17"/>
        </w:rPr>
      </w:pPr>
    </w:p>
    <w:p>
      <w:pPr>
        <w:pStyle w:val="ListParagraph"/>
        <w:numPr>
          <w:ilvl w:val="0"/>
          <w:numId w:val="34"/>
        </w:numPr>
        <w:tabs>
          <w:tab w:pos="679" w:val="left" w:leader="none"/>
          <w:tab w:pos="681" w:val="left" w:leader="none"/>
        </w:tabs>
        <w:spacing w:line="232" w:lineRule="auto" w:before="0" w:after="0"/>
        <w:ind w:left="200" w:right="38" w:firstLine="0"/>
        <w:jc w:val="left"/>
        <w:rPr>
          <w:sz w:val="18"/>
        </w:rPr>
      </w:pPr>
      <w:r>
        <w:rPr>
          <w:color w:val="231F20"/>
          <w:sz w:val="18"/>
        </w:rPr>
        <w:t>The ONS’s preliminary estimate of GDP for 1997 Q3 showed a 1.0% increase on the previous quarter. This was a little lower than the Bank’s expectation. Nevertheless 1.0% was still strong. Within the total, manufacturing output had grown by 0.6% compared to an average of 0.4% since the beginning of the recovery. The latest monthly survey from the Chartered Institute </w:t>
      </w:r>
      <w:r>
        <w:rPr>
          <w:color w:val="231F20"/>
          <w:spacing w:val="-9"/>
          <w:sz w:val="18"/>
        </w:rPr>
        <w:t>of </w:t>
      </w:r>
      <w:r>
        <w:rPr>
          <w:color w:val="231F20"/>
          <w:sz w:val="18"/>
        </w:rPr>
        <w:t>Purchasing and Supply (C</w:t>
      </w:r>
      <w:r>
        <w:rPr>
          <w:color w:val="231F20"/>
          <w:sz w:val="14"/>
        </w:rPr>
        <w:t>IPS</w:t>
      </w:r>
      <w:r>
        <w:rPr>
          <w:color w:val="231F20"/>
          <w:sz w:val="18"/>
        </w:rPr>
        <w:t>) had shown a pick-up in manufacturing output and export orders. But recent quarterly survey results from the CBI and British Chambers of Commerce had shown a less robust picture. Industrial production growth overall in the United Kingdom was lower than in other European countries and was not as strong as it might be given the United Kingdom’s GDP growth rate—perhaps evidence of an appreciation effect.</w:t>
      </w:r>
    </w:p>
    <w:p>
      <w:pPr>
        <w:pStyle w:val="BodyText"/>
        <w:spacing w:before="5"/>
        <w:rPr>
          <w:sz w:val="16"/>
        </w:rPr>
      </w:pPr>
    </w:p>
    <w:p>
      <w:pPr>
        <w:pStyle w:val="ListParagraph"/>
        <w:numPr>
          <w:ilvl w:val="0"/>
          <w:numId w:val="34"/>
        </w:numPr>
        <w:tabs>
          <w:tab w:pos="679" w:val="left" w:leader="none"/>
          <w:tab w:pos="681" w:val="left" w:leader="none"/>
        </w:tabs>
        <w:spacing w:line="232" w:lineRule="auto" w:before="0" w:after="0"/>
        <w:ind w:left="200" w:right="48" w:firstLine="0"/>
        <w:jc w:val="left"/>
        <w:rPr>
          <w:sz w:val="18"/>
        </w:rPr>
      </w:pPr>
      <w:r>
        <w:rPr>
          <w:color w:val="231F20"/>
          <w:sz w:val="18"/>
        </w:rPr>
        <w:t>However, there were many factors supporting </w:t>
      </w:r>
      <w:r>
        <w:rPr>
          <w:color w:val="231F20"/>
          <w:spacing w:val="-2"/>
          <w:sz w:val="18"/>
        </w:rPr>
        <w:t>manufacturing </w:t>
      </w:r>
      <w:r>
        <w:rPr>
          <w:color w:val="231F20"/>
          <w:sz w:val="18"/>
        </w:rPr>
        <w:t>exports and output in the face of the appreciation. World trade growth was strong. And the United Kingdom was managing to maintain its share of world trade partly by diverting exports to markets where the effect of the appreciation had been less severe. Even in Europe where economies were enjoying export-led </w:t>
      </w:r>
      <w:r>
        <w:rPr>
          <w:color w:val="231F20"/>
          <w:spacing w:val="-3"/>
          <w:sz w:val="18"/>
        </w:rPr>
        <w:t>growth, </w:t>
      </w:r>
      <w:r>
        <w:rPr>
          <w:color w:val="231F20"/>
          <w:sz w:val="18"/>
        </w:rPr>
        <w:t>UK exporters appeared to have been able to sell capital and intermediate goods. Manufacturing productivity in the United Kingdom had begun to rise as firms had reacted to the appreciation by cutting costs.</w:t>
      </w:r>
    </w:p>
    <w:p>
      <w:pPr>
        <w:pStyle w:val="BodyText"/>
        <w:spacing w:before="8"/>
        <w:rPr>
          <w:sz w:val="16"/>
        </w:rPr>
      </w:pPr>
    </w:p>
    <w:p>
      <w:pPr>
        <w:pStyle w:val="ListParagraph"/>
        <w:numPr>
          <w:ilvl w:val="0"/>
          <w:numId w:val="34"/>
        </w:numPr>
        <w:tabs>
          <w:tab w:pos="679" w:val="left" w:leader="none"/>
          <w:tab w:pos="681" w:val="left" w:leader="none"/>
        </w:tabs>
        <w:spacing w:line="232" w:lineRule="auto" w:before="0" w:after="0"/>
        <w:ind w:left="200" w:right="43" w:firstLine="0"/>
        <w:jc w:val="left"/>
        <w:rPr>
          <w:sz w:val="18"/>
        </w:rPr>
      </w:pPr>
      <w:r>
        <w:rPr>
          <w:color w:val="231F20"/>
          <w:sz w:val="18"/>
        </w:rPr>
        <w:t>Despite the overall resilience of manufacturing, some </w:t>
      </w:r>
      <w:r>
        <w:rPr>
          <w:color w:val="231F20"/>
          <w:spacing w:val="-3"/>
          <w:sz w:val="18"/>
        </w:rPr>
        <w:t>sectors </w:t>
      </w:r>
      <w:r>
        <w:rPr>
          <w:color w:val="231F20"/>
          <w:sz w:val="18"/>
        </w:rPr>
        <w:t>had experienced problems. Clothing and footwear output had fallen, with strong retail demand being met by imports.</w:t>
      </w:r>
    </w:p>
    <w:p>
      <w:pPr>
        <w:pStyle w:val="BodyText"/>
        <w:spacing w:before="2"/>
        <w:rPr>
          <w:sz w:val="17"/>
        </w:rPr>
      </w:pPr>
    </w:p>
    <w:p>
      <w:pPr>
        <w:pStyle w:val="ListParagraph"/>
        <w:numPr>
          <w:ilvl w:val="0"/>
          <w:numId w:val="34"/>
        </w:numPr>
        <w:tabs>
          <w:tab w:pos="679" w:val="left" w:leader="none"/>
          <w:tab w:pos="681" w:val="left" w:leader="none"/>
        </w:tabs>
        <w:spacing w:line="232" w:lineRule="auto" w:before="0" w:after="0"/>
        <w:ind w:left="200" w:right="368" w:firstLine="0"/>
        <w:jc w:val="left"/>
        <w:rPr>
          <w:sz w:val="18"/>
        </w:rPr>
      </w:pPr>
      <w:r>
        <w:rPr>
          <w:color w:val="231F20"/>
          <w:sz w:val="18"/>
        </w:rPr>
        <w:t>The quarterly growth rate of services appeared to be weakening slightly, having peaked in 1996 Q4. Slower </w:t>
      </w:r>
      <w:r>
        <w:rPr>
          <w:color w:val="231F20"/>
          <w:spacing w:val="-3"/>
          <w:sz w:val="18"/>
        </w:rPr>
        <w:t>service </w:t>
      </w:r>
      <w:r>
        <w:rPr>
          <w:color w:val="231F20"/>
          <w:sz w:val="18"/>
        </w:rPr>
        <w:t>sector exports could be a cause.</w:t>
      </w:r>
    </w:p>
    <w:p>
      <w:pPr>
        <w:pStyle w:val="BodyText"/>
        <w:spacing w:before="2"/>
        <w:rPr>
          <w:sz w:val="17"/>
        </w:rPr>
      </w:pPr>
    </w:p>
    <w:p>
      <w:pPr>
        <w:pStyle w:val="ListParagraph"/>
        <w:numPr>
          <w:ilvl w:val="0"/>
          <w:numId w:val="34"/>
        </w:numPr>
        <w:tabs>
          <w:tab w:pos="679" w:val="left" w:leader="none"/>
          <w:tab w:pos="681" w:val="left" w:leader="none"/>
        </w:tabs>
        <w:spacing w:line="232" w:lineRule="auto" w:before="1" w:after="0"/>
        <w:ind w:left="200" w:right="78" w:firstLine="0"/>
        <w:jc w:val="left"/>
        <w:rPr>
          <w:sz w:val="18"/>
        </w:rPr>
      </w:pPr>
      <w:r>
        <w:rPr>
          <w:color w:val="231F20"/>
          <w:sz w:val="18"/>
        </w:rPr>
        <w:t>More general indicators of the service sector’s position </w:t>
      </w:r>
      <w:r>
        <w:rPr>
          <w:color w:val="231F20"/>
          <w:spacing w:val="-3"/>
          <w:sz w:val="18"/>
        </w:rPr>
        <w:t>were </w:t>
      </w:r>
      <w:r>
        <w:rPr>
          <w:color w:val="231F20"/>
          <w:sz w:val="18"/>
        </w:rPr>
        <w:t>presented to the Committee. Service sector inflation had picked </w:t>
      </w:r>
      <w:r>
        <w:rPr>
          <w:color w:val="231F20"/>
          <w:spacing w:val="-9"/>
          <w:sz w:val="18"/>
        </w:rPr>
        <w:t>up </w:t>
      </w:r>
      <w:r>
        <w:rPr>
          <w:color w:val="231F20"/>
          <w:sz w:val="18"/>
        </w:rPr>
        <w:t>in early 1996 from 2% to over 3%, despite regulatory restraint on utilities’ prices. But it appeared that service sector inflation might have peaked as more capacity had come on stream, following strong past investment. Activity had been strong throughout the private service sector, but especially so in transport, finance and communications.</w:t>
      </w:r>
    </w:p>
    <w:p>
      <w:pPr>
        <w:pStyle w:val="BodyText"/>
        <w:spacing w:before="9"/>
        <w:rPr>
          <w:sz w:val="16"/>
        </w:rPr>
      </w:pPr>
    </w:p>
    <w:p>
      <w:pPr>
        <w:pStyle w:val="ListParagraph"/>
        <w:numPr>
          <w:ilvl w:val="0"/>
          <w:numId w:val="34"/>
        </w:numPr>
        <w:tabs>
          <w:tab w:pos="679" w:val="left" w:leader="none"/>
          <w:tab w:pos="681" w:val="left" w:leader="none"/>
        </w:tabs>
        <w:spacing w:line="232" w:lineRule="auto" w:before="0" w:after="0"/>
        <w:ind w:left="200" w:right="43" w:firstLine="0"/>
        <w:jc w:val="left"/>
        <w:rPr>
          <w:sz w:val="18"/>
        </w:rPr>
      </w:pPr>
      <w:r>
        <w:rPr>
          <w:color w:val="231F20"/>
          <w:sz w:val="18"/>
        </w:rPr>
        <w:t>The Bank’s regional agencies had conducted a survey of 132 of their contacts to examine developments in the service sector. </w:t>
      </w:r>
      <w:r>
        <w:rPr>
          <w:color w:val="231F20"/>
          <w:spacing w:val="-9"/>
          <w:sz w:val="18"/>
        </w:rPr>
        <w:t>On </w:t>
      </w:r>
      <w:r>
        <w:rPr>
          <w:color w:val="231F20"/>
          <w:sz w:val="18"/>
        </w:rPr>
        <w:t>balance, respondents had said that growth had been higher in Q3 than in the first half of the year. Further, more expected growth to increase in the fourth quarter and 1998 Q1 than expected it to fall, although financial services and hotels expected some moderation. One consequence of strong output growth was that labour supply problems were affecting a third of the contacts surveyed, in terms of both quality and quantity of potential recruits.</w:t>
      </w:r>
    </w:p>
    <w:p>
      <w:pPr>
        <w:pStyle w:val="BodyText"/>
        <w:spacing w:before="9"/>
        <w:rPr>
          <w:sz w:val="16"/>
        </w:rPr>
      </w:pPr>
    </w:p>
    <w:p>
      <w:pPr>
        <w:pStyle w:val="ListParagraph"/>
        <w:numPr>
          <w:ilvl w:val="0"/>
          <w:numId w:val="34"/>
        </w:numPr>
        <w:tabs>
          <w:tab w:pos="679" w:val="left" w:leader="none"/>
          <w:tab w:pos="681" w:val="left" w:leader="none"/>
        </w:tabs>
        <w:spacing w:line="232" w:lineRule="auto" w:before="0" w:after="0"/>
        <w:ind w:left="200" w:right="82" w:firstLine="0"/>
        <w:jc w:val="left"/>
        <w:rPr>
          <w:sz w:val="18"/>
        </w:rPr>
      </w:pPr>
      <w:r>
        <w:rPr>
          <w:color w:val="231F20"/>
          <w:sz w:val="18"/>
        </w:rPr>
        <w:t>The potential effects on the real economy of events in Asia were considered. Asian countries account for just over 8</w:t>
      </w:r>
      <w:r>
        <w:rPr>
          <w:color w:val="231F20"/>
          <w:position w:val="6"/>
          <w:sz w:val="9"/>
        </w:rPr>
        <w:t>1</w:t>
      </w:r>
      <w:r>
        <w:rPr>
          <w:color w:val="231F20"/>
          <w:sz w:val="18"/>
        </w:rPr>
        <w:t>/</w:t>
      </w:r>
      <w:r>
        <w:rPr>
          <w:color w:val="231F20"/>
          <w:sz w:val="9"/>
        </w:rPr>
        <w:t>2</w:t>
      </w:r>
      <w:r>
        <w:rPr>
          <w:color w:val="231F20"/>
          <w:sz w:val="18"/>
        </w:rPr>
        <w:t>% of UK exports, but close to 20% of US exports. Thus part of the risk to the United Kingdom may come via the United States and other industrial countries. Asia is also the source of 10% of UK </w:t>
      </w:r>
      <w:r>
        <w:rPr>
          <w:color w:val="231F20"/>
          <w:spacing w:val="-3"/>
          <w:sz w:val="18"/>
        </w:rPr>
        <w:t>imports, </w:t>
      </w:r>
      <w:r>
        <w:rPr>
          <w:color w:val="231F20"/>
          <w:sz w:val="18"/>
        </w:rPr>
        <w:t>where the initial effect will be downward price pressure on</w:t>
      </w:r>
    </w:p>
    <w:p>
      <w:pPr>
        <w:pStyle w:val="BodyText"/>
        <w:spacing w:line="232" w:lineRule="auto"/>
        <w:ind w:left="200" w:right="136"/>
      </w:pPr>
      <w:r>
        <w:rPr>
          <w:color w:val="231F20"/>
        </w:rPr>
        <w:t>import-competing firms and lower input costs for import-using firms. The O</w:t>
      </w:r>
      <w:r>
        <w:rPr>
          <w:color w:val="231F20"/>
          <w:sz w:val="14"/>
        </w:rPr>
        <w:t>ECD </w:t>
      </w:r>
      <w:r>
        <w:rPr>
          <w:color w:val="231F20"/>
        </w:rPr>
        <w:t>had undertaken some simulations on the effects of developments in Asia on the world economy. These indicated lower GDP growth of 0.1 percentage point this year and</w:t>
      </w:r>
    </w:p>
    <w:p>
      <w:pPr>
        <w:pStyle w:val="BodyText"/>
        <w:spacing w:line="195" w:lineRule="exact"/>
        <w:ind w:left="200"/>
      </w:pPr>
      <w:r>
        <w:rPr>
          <w:color w:val="231F20"/>
        </w:rPr>
        <w:t>0.2 percentage point next year in the EU together with</w:t>
      </w:r>
    </w:p>
    <w:p>
      <w:pPr>
        <w:pStyle w:val="BodyText"/>
        <w:spacing w:line="203" w:lineRule="exact"/>
        <w:ind w:left="200"/>
      </w:pPr>
      <w:r>
        <w:rPr>
          <w:color w:val="231F20"/>
        </w:rPr>
        <w:t>0.2 percentage point lower inflation in 1998. These simulations</w:t>
      </w:r>
    </w:p>
    <w:p>
      <w:pPr>
        <w:pStyle w:val="BodyText"/>
        <w:spacing w:before="4"/>
        <w:rPr>
          <w:sz w:val="21"/>
        </w:rPr>
      </w:pPr>
      <w:r>
        <w:rPr/>
        <w:br w:type="column"/>
      </w:r>
      <w:r>
        <w:rPr>
          <w:sz w:val="21"/>
        </w:rPr>
      </w:r>
    </w:p>
    <w:p>
      <w:pPr>
        <w:pStyle w:val="BodyText"/>
        <w:spacing w:line="232" w:lineRule="auto" w:before="1"/>
        <w:ind w:left="200" w:right="147"/>
      </w:pPr>
      <w:r>
        <w:rPr>
          <w:color w:val="231F20"/>
        </w:rPr>
        <w:t>had been undertaken at the end of September before the most recent stock market turbulence and therefore might be considered a lower bound to the likely effects.</w:t>
      </w:r>
    </w:p>
    <w:p>
      <w:pPr>
        <w:pStyle w:val="BodyText"/>
        <w:spacing w:before="10"/>
        <w:rPr>
          <w:sz w:val="23"/>
        </w:rPr>
      </w:pPr>
    </w:p>
    <w:p>
      <w:pPr>
        <w:pStyle w:val="Heading7"/>
        <w:numPr>
          <w:ilvl w:val="0"/>
          <w:numId w:val="33"/>
        </w:numPr>
        <w:tabs>
          <w:tab w:pos="680" w:val="left" w:leader="none"/>
          <w:tab w:pos="681" w:val="left" w:leader="none"/>
        </w:tabs>
        <w:spacing w:line="240" w:lineRule="auto" w:before="0" w:after="0"/>
        <w:ind w:left="680" w:right="0" w:hanging="481"/>
        <w:jc w:val="left"/>
      </w:pPr>
      <w:r>
        <w:rPr>
          <w:color w:val="009483"/>
        </w:rPr>
        <w:t>Labour</w:t>
      </w:r>
      <w:r>
        <w:rPr>
          <w:color w:val="009483"/>
          <w:spacing w:val="-1"/>
        </w:rPr>
        <w:t> </w:t>
      </w:r>
      <w:r>
        <w:rPr>
          <w:color w:val="009483"/>
        </w:rPr>
        <w:t>market</w:t>
      </w:r>
    </w:p>
    <w:p>
      <w:pPr>
        <w:pStyle w:val="ListParagraph"/>
        <w:numPr>
          <w:ilvl w:val="0"/>
          <w:numId w:val="34"/>
        </w:numPr>
        <w:tabs>
          <w:tab w:pos="679" w:val="left" w:leader="none"/>
          <w:tab w:pos="681" w:val="left" w:leader="none"/>
        </w:tabs>
        <w:spacing w:line="232" w:lineRule="auto" w:before="110" w:after="0"/>
        <w:ind w:left="200" w:right="164" w:firstLine="0"/>
        <w:jc w:val="left"/>
        <w:rPr>
          <w:sz w:val="18"/>
        </w:rPr>
      </w:pPr>
      <w:r>
        <w:rPr>
          <w:color w:val="231F20"/>
          <w:sz w:val="18"/>
        </w:rPr>
        <w:t>The results of the ONS Labour Force Survey for summer 1997 had been published in October. These showed an 86,000 rise in employment during the summer months (0.3%) and a 440,000 increase on a year earlier (1.7%), which was broadly in line with the ONS’s Workforce in Employment numbers—available last month. The rise in employees in employment was even stronger, </w:t>
      </w:r>
      <w:r>
        <w:rPr>
          <w:color w:val="231F20"/>
          <w:spacing w:val="-9"/>
          <w:sz w:val="18"/>
        </w:rPr>
        <w:t>as </w:t>
      </w:r>
      <w:r>
        <w:rPr>
          <w:color w:val="231F20"/>
          <w:sz w:val="18"/>
        </w:rPr>
        <w:t>the numbers of self-employed fell. Unlike the earlier stages of the recovery, most net new jobs were now full time. A wider measure of labour demand was hours worked, and this had grown more quickly than the head count during the summer, by 0.6%. But over the year it had grown by 1.7%, the same rate as employment.</w:t>
      </w:r>
    </w:p>
    <w:p>
      <w:pPr>
        <w:pStyle w:val="BodyText"/>
        <w:spacing w:before="7"/>
        <w:rPr>
          <w:sz w:val="16"/>
        </w:rPr>
      </w:pPr>
    </w:p>
    <w:p>
      <w:pPr>
        <w:pStyle w:val="ListParagraph"/>
        <w:numPr>
          <w:ilvl w:val="0"/>
          <w:numId w:val="34"/>
        </w:numPr>
        <w:tabs>
          <w:tab w:pos="679" w:val="left" w:leader="none"/>
          <w:tab w:pos="681" w:val="left" w:leader="none"/>
        </w:tabs>
        <w:spacing w:line="232" w:lineRule="auto" w:before="0" w:after="0"/>
        <w:ind w:left="200" w:right="174" w:firstLine="0"/>
        <w:jc w:val="left"/>
        <w:rPr>
          <w:sz w:val="18"/>
        </w:rPr>
      </w:pPr>
      <w:r>
        <w:rPr>
          <w:color w:val="231F20"/>
          <w:sz w:val="18"/>
        </w:rPr>
        <w:t>Looking ahead, the Q3 British Chambers of Commerce (BCC) Survey showed a further rise in employment intentions for the service sector, from an already buoyant level. The picture for manufacturing was more mixed. The BCC survey showed employers still expecting to recruit more staff on balance, but at a lower rate—a view supported by the Bank’s Agents; while the </w:t>
      </w:r>
      <w:r>
        <w:rPr>
          <w:color w:val="231F20"/>
          <w:spacing w:val="-6"/>
          <w:sz w:val="18"/>
        </w:rPr>
        <w:t>CBI </w:t>
      </w:r>
      <w:r>
        <w:rPr>
          <w:color w:val="231F20"/>
          <w:sz w:val="18"/>
        </w:rPr>
        <w:t>survey showed employers expecting a fall in employment during the final quarter of 1997. Indeed, ONS data for manufacturing employees in employment had already shown a decline in July and August of 12,000 a month, although the series was volatile.</w:t>
      </w:r>
    </w:p>
    <w:p>
      <w:pPr>
        <w:pStyle w:val="ListParagraph"/>
        <w:numPr>
          <w:ilvl w:val="0"/>
          <w:numId w:val="34"/>
        </w:numPr>
        <w:tabs>
          <w:tab w:pos="679" w:val="left" w:leader="none"/>
          <w:tab w:pos="681" w:val="left" w:leader="none"/>
        </w:tabs>
        <w:spacing w:line="232" w:lineRule="auto" w:before="173" w:after="0"/>
        <w:ind w:left="200" w:right="199" w:firstLine="0"/>
        <w:jc w:val="left"/>
        <w:rPr>
          <w:sz w:val="18"/>
        </w:rPr>
      </w:pPr>
      <w:r>
        <w:rPr>
          <w:color w:val="231F20"/>
          <w:sz w:val="18"/>
        </w:rPr>
        <w:t>There had been a marked increase in skill shortages, according to the October CBI Industrial Trends Survey for manufacturing, although it was still well below its late 1980s peak. The Bank’s Agents had also noted this trend and that it was </w:t>
      </w:r>
      <w:r>
        <w:rPr>
          <w:color w:val="231F20"/>
          <w:spacing w:val="-3"/>
          <w:sz w:val="18"/>
        </w:rPr>
        <w:t>leading </w:t>
      </w:r>
      <w:r>
        <w:rPr>
          <w:color w:val="231F20"/>
          <w:sz w:val="18"/>
        </w:rPr>
        <w:t>to substantial pay rises for particular groups of workers, such as </w:t>
      </w:r>
      <w:r>
        <w:rPr>
          <w:color w:val="231F20"/>
          <w:spacing w:val="-5"/>
          <w:sz w:val="18"/>
        </w:rPr>
        <w:t>IT, </w:t>
      </w:r>
      <w:r>
        <w:rPr>
          <w:color w:val="231F20"/>
          <w:sz w:val="18"/>
        </w:rPr>
        <w:t>bricklayers and HGV drivers.</w:t>
      </w:r>
    </w:p>
    <w:p>
      <w:pPr>
        <w:pStyle w:val="BodyText"/>
        <w:spacing w:before="11"/>
        <w:rPr>
          <w:sz w:val="16"/>
        </w:rPr>
      </w:pPr>
    </w:p>
    <w:p>
      <w:pPr>
        <w:pStyle w:val="ListParagraph"/>
        <w:numPr>
          <w:ilvl w:val="0"/>
          <w:numId w:val="34"/>
        </w:numPr>
        <w:tabs>
          <w:tab w:pos="679" w:val="left" w:leader="none"/>
          <w:tab w:pos="681" w:val="left" w:leader="none"/>
        </w:tabs>
        <w:spacing w:line="232" w:lineRule="auto" w:before="0" w:after="0"/>
        <w:ind w:left="200" w:right="218" w:firstLine="0"/>
        <w:jc w:val="left"/>
        <w:rPr>
          <w:sz w:val="18"/>
        </w:rPr>
      </w:pPr>
      <w:r>
        <w:rPr>
          <w:color w:val="231F20"/>
          <w:sz w:val="18"/>
        </w:rPr>
        <w:t>The claimant count unemployment numbers had fallen by 28,000 in September, so that the unemployment rate stood at </w:t>
      </w:r>
      <w:r>
        <w:rPr>
          <w:color w:val="231F20"/>
          <w:spacing w:val="-4"/>
          <w:sz w:val="18"/>
        </w:rPr>
        <w:t>5.2%. </w:t>
      </w:r>
      <w:r>
        <w:rPr>
          <w:color w:val="231F20"/>
          <w:sz w:val="18"/>
        </w:rPr>
        <w:t>There had also been a further rise in notified vacancies at job centres of almost 9,000 to a reported level of just over 300,000. But this stock level was probably overstated, perhaps by some 40,000.</w:t>
      </w:r>
    </w:p>
    <w:p>
      <w:pPr>
        <w:pStyle w:val="BodyText"/>
        <w:rPr>
          <w:sz w:val="17"/>
        </w:rPr>
      </w:pPr>
    </w:p>
    <w:p>
      <w:pPr>
        <w:pStyle w:val="ListParagraph"/>
        <w:numPr>
          <w:ilvl w:val="0"/>
          <w:numId w:val="34"/>
        </w:numPr>
        <w:tabs>
          <w:tab w:pos="679" w:val="left" w:leader="none"/>
          <w:tab w:pos="681" w:val="left" w:leader="none"/>
        </w:tabs>
        <w:spacing w:line="232" w:lineRule="auto" w:before="0" w:after="0"/>
        <w:ind w:left="200" w:right="219" w:firstLine="0"/>
        <w:jc w:val="left"/>
        <w:rPr>
          <w:sz w:val="18"/>
        </w:rPr>
      </w:pPr>
      <w:r>
        <w:rPr>
          <w:color w:val="231F20"/>
          <w:sz w:val="18"/>
        </w:rPr>
        <w:t>The LFS measure of unemployment had fallen from 7.2% </w:t>
      </w:r>
      <w:r>
        <w:rPr>
          <w:color w:val="231F20"/>
          <w:spacing w:val="-9"/>
          <w:sz w:val="18"/>
        </w:rPr>
        <w:t>to </w:t>
      </w:r>
      <w:r>
        <w:rPr>
          <w:color w:val="231F20"/>
          <w:sz w:val="18"/>
        </w:rPr>
        <w:t>7.1% over the summer. There had been different movements in short-term and long-term unemployment as measured by the LFS. Short-term unemployment had risen slightly and was no longer below the trough of the late 1980s.</w:t>
      </w:r>
    </w:p>
    <w:p>
      <w:pPr>
        <w:pStyle w:val="BodyText"/>
        <w:rPr>
          <w:sz w:val="17"/>
        </w:rPr>
      </w:pPr>
    </w:p>
    <w:p>
      <w:pPr>
        <w:pStyle w:val="ListParagraph"/>
        <w:numPr>
          <w:ilvl w:val="0"/>
          <w:numId w:val="34"/>
        </w:numPr>
        <w:tabs>
          <w:tab w:pos="679" w:val="left" w:leader="none"/>
          <w:tab w:pos="681" w:val="left" w:leader="none"/>
        </w:tabs>
        <w:spacing w:line="232" w:lineRule="auto" w:before="0" w:after="0"/>
        <w:ind w:left="200" w:right="184" w:firstLine="0"/>
        <w:jc w:val="left"/>
        <w:rPr>
          <w:sz w:val="18"/>
        </w:rPr>
      </w:pPr>
      <w:r>
        <w:rPr>
          <w:color w:val="231F20"/>
          <w:sz w:val="18"/>
        </w:rPr>
        <w:t>The fall in total LFS unemployment between the spring and the summer was 40,000, much less than the claimant count drop of some 115,000 over the same period. Moreover there was now a record gap between the two measures of just over 500,000. The LFS measure, the Bank’s preferred one, recorded people who were actively searching for work. It thus differed from the claimant count because non-claimants, who were ineligible for benefit, searched for work and because some claimants were not actively seeking employment. Three months ago the Bank had expected </w:t>
      </w:r>
      <w:r>
        <w:rPr>
          <w:color w:val="231F20"/>
          <w:spacing w:val="-6"/>
          <w:sz w:val="18"/>
        </w:rPr>
        <w:t>the </w:t>
      </w:r>
      <w:r>
        <w:rPr>
          <w:color w:val="231F20"/>
          <w:sz w:val="18"/>
        </w:rPr>
        <w:t>number of claimant searchers to fall by 75,000–90,000 over the summer (an average of 25,000–30,000 each month). The Bank had also expected the number of claimant non-searchers to be little changed, as it was thought that the deterrent effect of the Jobseeker’s Allowance (JSA) should have come to end. The number of searching non-claimants had been expected to remain the same, or perhaps increase slightly in line with the trend of the previous year (an encouraged worker effect).</w:t>
      </w:r>
    </w:p>
    <w:p>
      <w:pPr>
        <w:pStyle w:val="ListParagraph"/>
        <w:numPr>
          <w:ilvl w:val="0"/>
          <w:numId w:val="34"/>
        </w:numPr>
        <w:tabs>
          <w:tab w:pos="679" w:val="left" w:leader="none"/>
          <w:tab w:pos="681" w:val="left" w:leader="none"/>
        </w:tabs>
        <w:spacing w:line="232" w:lineRule="auto" w:before="167" w:after="0"/>
        <w:ind w:left="200" w:right="194" w:firstLine="0"/>
        <w:jc w:val="left"/>
        <w:rPr>
          <w:sz w:val="18"/>
        </w:rPr>
      </w:pPr>
      <w:r>
        <w:rPr>
          <w:color w:val="231F20"/>
          <w:sz w:val="18"/>
        </w:rPr>
        <w:t>In the event, Bank estimates suggested that the number of claimant searchers fell broadly in line with expectations. But the number of claimants not searching continued to fall. This possibly reflected further deterrent effects of the JSA, as students may have been discouraged from signing on for benefit during the</w:t>
      </w:r>
      <w:r>
        <w:rPr>
          <w:color w:val="231F20"/>
          <w:spacing w:val="-17"/>
          <w:sz w:val="18"/>
        </w:rPr>
        <w:t> </w:t>
      </w:r>
      <w:r>
        <w:rPr>
          <w:color w:val="231F20"/>
          <w:sz w:val="18"/>
        </w:rPr>
        <w:t>vacation—</w:t>
      </w:r>
    </w:p>
    <w:p>
      <w:pPr>
        <w:spacing w:after="0" w:line="232" w:lineRule="auto"/>
        <w:jc w:val="left"/>
        <w:rPr>
          <w:sz w:val="18"/>
        </w:rPr>
        <w:sectPr>
          <w:type w:val="continuous"/>
          <w:pgSz w:w="11880" w:h="16840"/>
          <w:pgMar w:top="1200" w:bottom="280" w:left="620" w:right="620"/>
          <w:cols w:num="2" w:equalWidth="0">
            <w:col w:w="5125" w:space="255"/>
            <w:col w:w="5260"/>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4"/>
        <w:rPr>
          <w:sz w:val="21"/>
        </w:rPr>
      </w:pPr>
    </w:p>
    <w:p>
      <w:pPr>
        <w:pStyle w:val="BodyText"/>
        <w:spacing w:line="232" w:lineRule="auto" w:before="1"/>
        <w:ind w:left="180" w:right="121"/>
      </w:pPr>
      <w:r>
        <w:rPr>
          <w:color w:val="231F20"/>
        </w:rPr>
        <w:t>an effect on the claimant count which could unwind in the autumn when fewer students than normal leave the register. Also the number of non-claimant searchers rose more strongly, as more women entered the job market, but were unable to find jobs immediately.</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43" w:firstLine="0"/>
        <w:jc w:val="left"/>
        <w:rPr>
          <w:sz w:val="18"/>
        </w:rPr>
      </w:pPr>
      <w:r>
        <w:rPr>
          <w:color w:val="231F20"/>
          <w:sz w:val="18"/>
        </w:rPr>
        <w:t>Over the autumn, a further fall in claimant searchers of 75,000–90,000 is expected. The student effect may lead to a slight rise in the claimants who are not searching, but equally there may be some further JSA effects pushing this number down as checks on continued eligibility for the allowance are carried out after six, twelve and twenty-four months. It was also possible that there </w:t>
      </w:r>
      <w:r>
        <w:rPr>
          <w:color w:val="231F20"/>
          <w:spacing w:val="-6"/>
          <w:sz w:val="18"/>
        </w:rPr>
        <w:t>may </w:t>
      </w:r>
      <w:r>
        <w:rPr>
          <w:color w:val="231F20"/>
          <w:sz w:val="18"/>
        </w:rPr>
        <w:t>be a further small rise in searching non-claimants as more people are encouraged back into the labour market.</w:t>
      </w:r>
    </w:p>
    <w:p>
      <w:pPr>
        <w:pStyle w:val="ListParagraph"/>
        <w:numPr>
          <w:ilvl w:val="0"/>
          <w:numId w:val="34"/>
        </w:numPr>
        <w:tabs>
          <w:tab w:pos="659" w:val="left" w:leader="none"/>
          <w:tab w:pos="661" w:val="left" w:leader="none"/>
        </w:tabs>
        <w:spacing w:line="232" w:lineRule="auto" w:before="174" w:after="0"/>
        <w:ind w:left="180" w:right="38" w:firstLine="0"/>
        <w:jc w:val="left"/>
        <w:rPr>
          <w:sz w:val="18"/>
        </w:rPr>
      </w:pPr>
      <w:r>
        <w:rPr>
          <w:color w:val="231F20"/>
          <w:sz w:val="18"/>
        </w:rPr>
        <w:t>This raised the question as to whether the possibility of </w:t>
      </w:r>
      <w:r>
        <w:rPr>
          <w:color w:val="231F20"/>
          <w:spacing w:val="-3"/>
          <w:sz w:val="18"/>
        </w:rPr>
        <w:t>more </w:t>
      </w:r>
      <w:r>
        <w:rPr>
          <w:color w:val="231F20"/>
          <w:sz w:val="18"/>
        </w:rPr>
        <w:t>people joining the labour market increased the level of potential labour market slack. Inactivity rates (ie those who were neither employed nor looking for work as a percentage of the population </w:t>
      </w:r>
      <w:r>
        <w:rPr>
          <w:color w:val="231F20"/>
          <w:spacing w:val="-9"/>
          <w:sz w:val="18"/>
        </w:rPr>
        <w:t>of </w:t>
      </w:r>
      <w:r>
        <w:rPr>
          <w:color w:val="231F20"/>
          <w:sz w:val="18"/>
        </w:rPr>
        <w:t>working age) were still well above the trough in the late 1980s. However, since the 1980s there had been significant increases in the numbers of students and long-term sick and disabled. These were two categories that were relatively unlikely to be drawn back into the labour force by strong demand. The inactivity rate excluding these two groups was below its previous trough in the late 1980s.</w:t>
      </w:r>
    </w:p>
    <w:p>
      <w:pPr>
        <w:pStyle w:val="BodyText"/>
        <w:spacing w:before="7"/>
        <w:rPr>
          <w:sz w:val="16"/>
        </w:rPr>
      </w:pPr>
    </w:p>
    <w:p>
      <w:pPr>
        <w:pStyle w:val="ListParagraph"/>
        <w:numPr>
          <w:ilvl w:val="0"/>
          <w:numId w:val="34"/>
        </w:numPr>
        <w:tabs>
          <w:tab w:pos="659" w:val="left" w:leader="none"/>
          <w:tab w:pos="661" w:val="left" w:leader="none"/>
        </w:tabs>
        <w:spacing w:line="232" w:lineRule="auto" w:before="1" w:after="0"/>
        <w:ind w:left="179" w:right="303" w:firstLine="0"/>
        <w:jc w:val="left"/>
        <w:rPr>
          <w:sz w:val="18"/>
        </w:rPr>
      </w:pPr>
      <w:r>
        <w:rPr>
          <w:color w:val="231F20"/>
          <w:sz w:val="18"/>
        </w:rPr>
        <w:t>There was little news on earnings this month. There had been no change in the headline underlying earnings growth in August, which remained at 4</w:t>
      </w:r>
      <w:r>
        <w:rPr>
          <w:color w:val="231F20"/>
          <w:position w:val="6"/>
          <w:sz w:val="9"/>
        </w:rPr>
        <w:t>1</w:t>
      </w:r>
      <w:r>
        <w:rPr>
          <w:color w:val="231F20"/>
          <w:sz w:val="18"/>
        </w:rPr>
        <w:t>/</w:t>
      </w:r>
      <w:r>
        <w:rPr>
          <w:color w:val="231F20"/>
          <w:sz w:val="9"/>
        </w:rPr>
        <w:t>2</w:t>
      </w:r>
      <w:r>
        <w:rPr>
          <w:color w:val="231F20"/>
          <w:sz w:val="18"/>
        </w:rPr>
        <w:t>%. Although the actual growth rate of earnings had increased from 4.3% to 4.6%, this had </w:t>
      </w:r>
      <w:r>
        <w:rPr>
          <w:color w:val="231F20"/>
          <w:spacing w:val="-5"/>
          <w:sz w:val="18"/>
        </w:rPr>
        <w:t>been </w:t>
      </w:r>
      <w:r>
        <w:rPr>
          <w:color w:val="231F20"/>
          <w:sz w:val="18"/>
        </w:rPr>
        <w:t>due to arrears, the timing of settlements and back-pay. After smoothing bonus payments over the whole year, the trend in average earnings growth remained at just below 4</w:t>
      </w:r>
      <w:r>
        <w:rPr>
          <w:color w:val="231F20"/>
          <w:position w:val="6"/>
          <w:sz w:val="9"/>
        </w:rPr>
        <w:t>1</w:t>
      </w:r>
      <w:r>
        <w:rPr>
          <w:color w:val="231F20"/>
          <w:sz w:val="18"/>
        </w:rPr>
        <w:t>/</w:t>
      </w:r>
      <w:r>
        <w:rPr>
          <w:color w:val="231F20"/>
          <w:sz w:val="9"/>
        </w:rPr>
        <w:t>2</w:t>
      </w:r>
      <w:r>
        <w:rPr>
          <w:color w:val="231F20"/>
          <w:sz w:val="18"/>
        </w:rPr>
        <w:t>% in the whole economy.</w:t>
      </w:r>
    </w:p>
    <w:p>
      <w:pPr>
        <w:pStyle w:val="BodyText"/>
        <w:spacing w:before="9"/>
        <w:rPr>
          <w:sz w:val="16"/>
        </w:rPr>
      </w:pPr>
    </w:p>
    <w:p>
      <w:pPr>
        <w:pStyle w:val="ListParagraph"/>
        <w:numPr>
          <w:ilvl w:val="0"/>
          <w:numId w:val="34"/>
        </w:numPr>
        <w:tabs>
          <w:tab w:pos="659" w:val="left" w:leader="none"/>
          <w:tab w:pos="661" w:val="left" w:leader="none"/>
        </w:tabs>
        <w:spacing w:line="232" w:lineRule="auto" w:before="0" w:after="0"/>
        <w:ind w:left="179" w:right="58" w:firstLine="0"/>
        <w:jc w:val="left"/>
        <w:rPr>
          <w:sz w:val="18"/>
        </w:rPr>
      </w:pPr>
      <w:r>
        <w:rPr>
          <w:color w:val="231F20"/>
          <w:sz w:val="18"/>
        </w:rPr>
        <w:t>There had been few wage settlements in September; the autumn was a very fallow period on this front—only 8% of employees covered by the Bank’s settlements database had settled between September and December 1996. January was the next </w:t>
      </w:r>
      <w:r>
        <w:rPr>
          <w:color w:val="231F20"/>
          <w:spacing w:val="-6"/>
          <w:sz w:val="18"/>
        </w:rPr>
        <w:t>key </w:t>
      </w:r>
      <w:r>
        <w:rPr>
          <w:color w:val="231F20"/>
          <w:sz w:val="18"/>
        </w:rPr>
        <w:t>month. The Committee was warned that the Bank’s Agents expected increased wage pressure in 1998. This was partly due to the tightness in the labour market; another factor was that the first stage of the phasing out of profit-related pay would probably put upward pressure on basic settlements.</w:t>
      </w:r>
    </w:p>
    <w:p>
      <w:pPr>
        <w:pStyle w:val="BodyText"/>
        <w:spacing w:before="6"/>
        <w:rPr>
          <w:sz w:val="23"/>
        </w:rPr>
      </w:pPr>
    </w:p>
    <w:p>
      <w:pPr>
        <w:pStyle w:val="Heading7"/>
        <w:numPr>
          <w:ilvl w:val="0"/>
          <w:numId w:val="33"/>
        </w:numPr>
        <w:tabs>
          <w:tab w:pos="660" w:val="left" w:leader="none"/>
          <w:tab w:pos="661" w:val="left" w:leader="none"/>
        </w:tabs>
        <w:spacing w:line="240" w:lineRule="auto" w:before="1" w:after="0"/>
        <w:ind w:left="660" w:right="0" w:hanging="481"/>
        <w:jc w:val="left"/>
      </w:pPr>
      <w:r>
        <w:rPr>
          <w:color w:val="009483"/>
        </w:rPr>
        <w:t>Prices</w:t>
      </w:r>
    </w:p>
    <w:p>
      <w:pPr>
        <w:pStyle w:val="ListParagraph"/>
        <w:numPr>
          <w:ilvl w:val="0"/>
          <w:numId w:val="34"/>
        </w:numPr>
        <w:tabs>
          <w:tab w:pos="659" w:val="left" w:leader="none"/>
          <w:tab w:pos="661" w:val="left" w:leader="none"/>
        </w:tabs>
        <w:spacing w:line="232" w:lineRule="auto" w:before="89" w:after="0"/>
        <w:ind w:left="180" w:right="38" w:firstLine="0"/>
        <w:jc w:val="left"/>
        <w:rPr>
          <w:sz w:val="18"/>
        </w:rPr>
      </w:pPr>
      <w:r>
        <w:rPr>
          <w:color w:val="231F20"/>
          <w:sz w:val="18"/>
        </w:rPr>
        <w:t>There was no sign of upward pressure on non-oil commodity prices currently:  the Bank index had fallen in September, according to latest estimates, although it might be revised upwards modestly when hard data on food prices have been incorporated. Oil prices had risen in October, to around $20 per barrel. They were expected to stabilise at or just below this level into next year as supply kept pace with demand.</w:t>
      </w:r>
    </w:p>
    <w:p>
      <w:pPr>
        <w:pStyle w:val="BodyText"/>
        <w:spacing w:before="10"/>
        <w:rPr>
          <w:sz w:val="16"/>
        </w:rPr>
      </w:pPr>
    </w:p>
    <w:p>
      <w:pPr>
        <w:pStyle w:val="ListParagraph"/>
        <w:numPr>
          <w:ilvl w:val="0"/>
          <w:numId w:val="34"/>
        </w:numPr>
        <w:tabs>
          <w:tab w:pos="659" w:val="left" w:leader="none"/>
          <w:tab w:pos="661" w:val="left" w:leader="none"/>
        </w:tabs>
        <w:spacing w:line="232" w:lineRule="auto" w:before="1" w:after="0"/>
        <w:ind w:left="180" w:right="217" w:firstLine="0"/>
        <w:jc w:val="left"/>
        <w:rPr>
          <w:sz w:val="18"/>
        </w:rPr>
      </w:pPr>
      <w:r>
        <w:rPr>
          <w:color w:val="231F20"/>
          <w:sz w:val="18"/>
        </w:rPr>
        <w:t>Input prices rose in the two months to September, but </w:t>
      </w:r>
      <w:r>
        <w:rPr>
          <w:color w:val="231F20"/>
          <w:spacing w:val="-5"/>
          <w:sz w:val="18"/>
        </w:rPr>
        <w:t>they </w:t>
      </w:r>
      <w:r>
        <w:rPr>
          <w:color w:val="231F20"/>
          <w:sz w:val="18"/>
        </w:rPr>
        <w:t>were still 7.8% lower than a year earlier. Moreover, the most recent C</w:t>
      </w:r>
      <w:r>
        <w:rPr>
          <w:color w:val="231F20"/>
          <w:sz w:val="14"/>
        </w:rPr>
        <w:t>IPS </w:t>
      </w:r>
      <w:r>
        <w:rPr>
          <w:color w:val="231F20"/>
          <w:sz w:val="18"/>
        </w:rPr>
        <w:t>survey had suggested that there was still a downward impetus.</w:t>
      </w:r>
    </w:p>
    <w:p>
      <w:pPr>
        <w:pStyle w:val="BodyText"/>
        <w:spacing w:before="1"/>
        <w:rPr>
          <w:sz w:val="17"/>
        </w:rPr>
      </w:pPr>
    </w:p>
    <w:p>
      <w:pPr>
        <w:pStyle w:val="ListParagraph"/>
        <w:numPr>
          <w:ilvl w:val="0"/>
          <w:numId w:val="34"/>
        </w:numPr>
        <w:tabs>
          <w:tab w:pos="659" w:val="left" w:leader="none"/>
          <w:tab w:pos="661" w:val="left" w:leader="none"/>
        </w:tabs>
        <w:spacing w:line="232" w:lineRule="auto" w:before="0" w:after="0"/>
        <w:ind w:left="180" w:right="148" w:firstLine="0"/>
        <w:jc w:val="left"/>
        <w:rPr>
          <w:sz w:val="18"/>
        </w:rPr>
      </w:pPr>
      <w:r>
        <w:rPr>
          <w:color w:val="231F20"/>
          <w:sz w:val="18"/>
        </w:rPr>
        <w:t>Output prices were showing some signs of an upturn, however. Producer prices (excluding duties) had risen by 0.2% </w:t>
      </w:r>
      <w:r>
        <w:rPr>
          <w:color w:val="231F20"/>
          <w:spacing w:val="-7"/>
          <w:sz w:val="18"/>
        </w:rPr>
        <w:t>in </w:t>
      </w:r>
      <w:r>
        <w:rPr>
          <w:color w:val="231F20"/>
          <w:sz w:val="18"/>
        </w:rPr>
        <w:t>September; and there had been no monthly fall since March. </w:t>
      </w:r>
      <w:r>
        <w:rPr>
          <w:color w:val="231F20"/>
          <w:spacing w:val="-6"/>
          <w:sz w:val="18"/>
        </w:rPr>
        <w:t>The </w:t>
      </w:r>
      <w:r>
        <w:rPr>
          <w:color w:val="231F20"/>
          <w:sz w:val="18"/>
        </w:rPr>
        <w:t>CBI Survey balance had increased slightly and the Bank’s Agents reported expectations of higher price rises in 1998 than this year. Also margins on domestic sales seemed to have risen.</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233" w:firstLine="0"/>
        <w:jc w:val="left"/>
        <w:rPr>
          <w:sz w:val="18"/>
        </w:rPr>
      </w:pPr>
      <w:r>
        <w:rPr>
          <w:color w:val="231F20"/>
          <w:sz w:val="18"/>
        </w:rPr>
        <w:t>Export prices appeared to have bottomed out although margins did appear to have fallen further. Import prices had </w:t>
      </w:r>
      <w:r>
        <w:rPr>
          <w:color w:val="231F20"/>
          <w:spacing w:val="-5"/>
          <w:sz w:val="18"/>
        </w:rPr>
        <w:t>also </w:t>
      </w:r>
      <w:r>
        <w:rPr>
          <w:color w:val="231F20"/>
          <w:sz w:val="18"/>
        </w:rPr>
        <w:t>risen in August. RPIX inflation had been 2.7% in September, compared with 2.8% in August.</w:t>
      </w:r>
    </w:p>
    <w:p>
      <w:pPr>
        <w:pStyle w:val="BodyText"/>
        <w:spacing w:before="4"/>
        <w:rPr>
          <w:sz w:val="21"/>
        </w:rPr>
      </w:pPr>
      <w:r>
        <w:rPr/>
        <w:br w:type="column"/>
      </w:r>
      <w:r>
        <w:rPr>
          <w:sz w:val="21"/>
        </w:rPr>
      </w:r>
    </w:p>
    <w:p>
      <w:pPr>
        <w:pStyle w:val="ListParagraph"/>
        <w:numPr>
          <w:ilvl w:val="0"/>
          <w:numId w:val="34"/>
        </w:numPr>
        <w:tabs>
          <w:tab w:pos="662" w:val="left" w:leader="none"/>
          <w:tab w:pos="663" w:val="left" w:leader="none"/>
        </w:tabs>
        <w:spacing w:line="232" w:lineRule="auto" w:before="1" w:after="0"/>
        <w:ind w:left="182" w:right="246" w:firstLine="0"/>
        <w:jc w:val="left"/>
        <w:rPr>
          <w:sz w:val="18"/>
        </w:rPr>
      </w:pPr>
      <w:r>
        <w:rPr>
          <w:color w:val="231F20"/>
          <w:sz w:val="18"/>
        </w:rPr>
        <w:t>The wedge between RPIX goods and RPIX service inflation had narrowed, but this was largely due to tax effects: higher taxes on petrol and reduced VAT on domestic energy bills. Rent and utility prices had been affected by special factors; excluding</w:t>
      </w:r>
    </w:p>
    <w:p>
      <w:pPr>
        <w:pStyle w:val="BodyText"/>
        <w:spacing w:line="232" w:lineRule="auto"/>
        <w:ind w:left="182" w:right="494"/>
      </w:pPr>
      <w:r>
        <w:rPr>
          <w:color w:val="231F20"/>
        </w:rPr>
        <w:t>these components would have given underlying service sector inflation of around 4</w:t>
      </w:r>
      <w:r>
        <w:rPr>
          <w:color w:val="231F20"/>
          <w:position w:val="6"/>
          <w:sz w:val="9"/>
        </w:rPr>
        <w:t>1</w:t>
      </w:r>
      <w:r>
        <w:rPr>
          <w:color w:val="231F20"/>
        </w:rPr>
        <w:t>/</w:t>
      </w:r>
      <w:r>
        <w:rPr>
          <w:color w:val="231F20"/>
          <w:sz w:val="9"/>
        </w:rPr>
        <w:t>2</w:t>
      </w:r>
      <w:r>
        <w:rPr>
          <w:color w:val="231F20"/>
        </w:rPr>
        <w:t>%. Goods price inflation had continued to moderate, but by less than expected given sterling’s appreciation.</w:t>
      </w:r>
    </w:p>
    <w:p>
      <w:pPr>
        <w:pStyle w:val="BodyText"/>
        <w:spacing w:before="3"/>
        <w:rPr>
          <w:sz w:val="20"/>
        </w:rPr>
      </w:pPr>
    </w:p>
    <w:p>
      <w:pPr>
        <w:pStyle w:val="ListParagraph"/>
        <w:numPr>
          <w:ilvl w:val="0"/>
          <w:numId w:val="34"/>
        </w:numPr>
        <w:tabs>
          <w:tab w:pos="662" w:val="left" w:leader="none"/>
          <w:tab w:pos="663" w:val="left" w:leader="none"/>
        </w:tabs>
        <w:spacing w:line="232" w:lineRule="auto" w:before="0" w:after="0"/>
        <w:ind w:left="182" w:right="226" w:firstLine="0"/>
        <w:jc w:val="left"/>
        <w:rPr>
          <w:sz w:val="18"/>
        </w:rPr>
      </w:pPr>
      <w:r>
        <w:rPr>
          <w:color w:val="231F20"/>
          <w:sz w:val="18"/>
        </w:rPr>
        <w:t>A gap had opened up between the United Kingdom and the main EU economies on local measures of consumer price inflation, with the former above the latter. But the United Kingdom was close to the EU average on a harmonised basis. Lower ‘harmonised’ inflation in the United Kingdom was largely due to the exclusion of housing from the index and its construction as a geometric rather than an arithmetic mean.</w:t>
      </w:r>
    </w:p>
    <w:p>
      <w:pPr>
        <w:pStyle w:val="BodyText"/>
        <w:spacing w:before="8"/>
      </w:pPr>
    </w:p>
    <w:p>
      <w:pPr>
        <w:pStyle w:val="ListParagraph"/>
        <w:numPr>
          <w:ilvl w:val="0"/>
          <w:numId w:val="34"/>
        </w:numPr>
        <w:tabs>
          <w:tab w:pos="662" w:val="left" w:leader="none"/>
          <w:tab w:pos="663" w:val="left" w:leader="none"/>
        </w:tabs>
        <w:spacing w:line="232" w:lineRule="auto" w:before="0" w:after="0"/>
        <w:ind w:left="182" w:right="416" w:firstLine="0"/>
        <w:jc w:val="left"/>
        <w:rPr>
          <w:sz w:val="18"/>
        </w:rPr>
      </w:pPr>
      <w:r>
        <w:rPr>
          <w:color w:val="231F20"/>
          <w:sz w:val="18"/>
        </w:rPr>
        <w:t>The effect of the appreciation on RPIX inflation had been less than might have been expected. Some sectors had felt the effect of the exchange rate more than others: the appreciation had held down prices of leisure goods and to some extent household goods, but there was no sign of any effect on </w:t>
      </w:r>
      <w:r>
        <w:rPr>
          <w:color w:val="231F20"/>
          <w:spacing w:val="-3"/>
          <w:sz w:val="18"/>
        </w:rPr>
        <w:t>clothing </w:t>
      </w:r>
      <w:r>
        <w:rPr>
          <w:color w:val="231F20"/>
          <w:sz w:val="18"/>
        </w:rPr>
        <w:t>and footwear prices. Retailers’ margins appeared to have been significantly boosted by the appreciation: it had reversed much of the narrowing which margins had experienced from 1992 to 1995.</w:t>
      </w:r>
    </w:p>
    <w:p>
      <w:pPr>
        <w:pStyle w:val="BodyText"/>
        <w:rPr>
          <w:sz w:val="27"/>
        </w:rPr>
      </w:pPr>
    </w:p>
    <w:p>
      <w:pPr>
        <w:pStyle w:val="Heading7"/>
        <w:numPr>
          <w:ilvl w:val="0"/>
          <w:numId w:val="33"/>
        </w:numPr>
        <w:tabs>
          <w:tab w:pos="662" w:val="left" w:leader="none"/>
          <w:tab w:pos="663" w:val="left" w:leader="none"/>
        </w:tabs>
        <w:spacing w:line="240" w:lineRule="auto" w:before="0" w:after="0"/>
        <w:ind w:left="662" w:right="0" w:hanging="481"/>
        <w:jc w:val="left"/>
      </w:pPr>
      <w:r>
        <w:rPr>
          <w:color w:val="009483"/>
        </w:rPr>
        <w:t>Financial</w:t>
      </w:r>
      <w:r>
        <w:rPr>
          <w:color w:val="009483"/>
          <w:spacing w:val="-1"/>
        </w:rPr>
        <w:t> </w:t>
      </w:r>
      <w:r>
        <w:rPr>
          <w:color w:val="009483"/>
        </w:rPr>
        <w:t>markets</w:t>
      </w:r>
    </w:p>
    <w:p>
      <w:pPr>
        <w:pStyle w:val="ListParagraph"/>
        <w:numPr>
          <w:ilvl w:val="0"/>
          <w:numId w:val="34"/>
        </w:numPr>
        <w:tabs>
          <w:tab w:pos="662" w:val="left" w:leader="none"/>
          <w:tab w:pos="663" w:val="left" w:leader="none"/>
        </w:tabs>
        <w:spacing w:line="232" w:lineRule="auto" w:before="110" w:after="0"/>
        <w:ind w:left="182" w:right="246" w:firstLine="0"/>
        <w:jc w:val="left"/>
        <w:rPr>
          <w:sz w:val="18"/>
        </w:rPr>
      </w:pPr>
      <w:r>
        <w:rPr>
          <w:color w:val="231F20"/>
          <w:sz w:val="18"/>
        </w:rPr>
        <w:t>It had been a turbulent month in the financial markets. The main developments had been in the equity markets, and they had had an important influence on the foreign exchanges. There had been an increase in volatility for the major currencies rather than any major shifts in the levels over the month as a whole. The dollar was little changed in October; the Deutsche Mark strengthened at the beginning of the month following the unexpected size of the rise in the Bundesbank repo rate, but ended the month slightly down.  The yen strengthened temporarily in mid October on rumours of a package to stimulate the economy. Sterling moved within a narrow channel in the first half of the month, until news that the United Kingdom would not join EMU in 1999 pushed the pound up. Sterling had appreciated by 2.0% since the October MPC, but had depreciated by 2.6% since the August </w:t>
      </w:r>
      <w:r>
        <w:rPr>
          <w:i/>
          <w:color w:val="231F20"/>
          <w:sz w:val="18"/>
        </w:rPr>
        <w:t>Inflation Report </w:t>
      </w:r>
      <w:r>
        <w:rPr>
          <w:color w:val="231F20"/>
          <w:sz w:val="18"/>
        </w:rPr>
        <w:t>was finalised. However, the depreciation was small compared to the appreciation which had preceded it. (Details of changes in the value of sterling between MPC </w:t>
      </w:r>
      <w:r>
        <w:rPr>
          <w:color w:val="231F20"/>
          <w:spacing w:val="-3"/>
          <w:sz w:val="18"/>
        </w:rPr>
        <w:t>meetings </w:t>
      </w:r>
      <w:r>
        <w:rPr>
          <w:color w:val="231F20"/>
          <w:sz w:val="18"/>
        </w:rPr>
        <w:t>are given in the table below.) There were increasing signs of convergence among the ERM currencies and expected future</w:t>
      </w:r>
    </w:p>
    <w:p>
      <w:pPr>
        <w:pStyle w:val="BodyText"/>
        <w:spacing w:line="184" w:lineRule="exact"/>
        <w:ind w:left="182"/>
      </w:pPr>
      <w:r>
        <w:rPr>
          <w:color w:val="231F20"/>
        </w:rPr>
        <w:t>short-term interest rates, reflecting confidence that EMU would go</w:t>
      </w:r>
    </w:p>
    <w:p>
      <w:pPr>
        <w:pStyle w:val="BodyText"/>
        <w:spacing w:line="203" w:lineRule="exact"/>
        <w:ind w:left="182"/>
      </w:pPr>
      <w:r>
        <w:rPr>
          <w:color w:val="231F20"/>
        </w:rPr>
        <w:t>ahead.</w:t>
      </w:r>
    </w:p>
    <w:p>
      <w:pPr>
        <w:pStyle w:val="BodyText"/>
        <w:spacing w:before="2"/>
        <w:rPr>
          <w:sz w:val="20"/>
        </w:rPr>
      </w:pPr>
    </w:p>
    <w:p>
      <w:pPr>
        <w:spacing w:before="0"/>
        <w:ind w:left="179" w:right="0" w:firstLine="0"/>
        <w:jc w:val="left"/>
        <w:rPr>
          <w:b/>
          <w:sz w:val="20"/>
        </w:rPr>
      </w:pPr>
      <w:r>
        <w:rPr>
          <w:b/>
          <w:color w:val="009483"/>
          <w:sz w:val="20"/>
        </w:rPr>
        <w:t>Sterling exchange rates</w:t>
      </w:r>
    </w:p>
    <w:p>
      <w:pPr>
        <w:tabs>
          <w:tab w:pos="3060" w:val="left" w:leader="none"/>
        </w:tabs>
        <w:spacing w:before="166"/>
        <w:ind w:left="1619" w:right="0" w:firstLine="0"/>
        <w:jc w:val="left"/>
        <w:rPr>
          <w:sz w:val="14"/>
        </w:rPr>
      </w:pPr>
      <w:r>
        <w:rPr/>
        <w:pict>
          <v:line style="position:absolute;mso-position-horizontal-relative:page;mso-position-vertical-relative:paragraph;z-index:16034816" from="383pt,17.645153pt" to="426pt,17.645153pt" stroked="true" strokeweight=".125pt" strokecolor="#231f20">
            <v:stroke dashstyle="solid"/>
            <w10:wrap type="none"/>
          </v:line>
        </w:pict>
      </w:r>
      <w:r>
        <w:rPr/>
        <w:pict>
          <v:line style="position:absolute;mso-position-horizontal-relative:page;mso-position-vertical-relative:paragraph;z-index:16035328" from="455.75pt,16.645153pt" to="503.75pt,16.645153pt" stroked="true" strokeweight=".125pt" strokecolor="#231f20">
            <v:stroke dashstyle="solid"/>
            <w10:wrap type="none"/>
          </v:line>
        </w:pict>
      </w:r>
      <w:r>
        <w:rPr>
          <w:color w:val="231F20"/>
          <w:sz w:val="14"/>
        </w:rPr>
        <w:t>8 October 1997</w:t>
        <w:tab/>
        <w:t>5 November 1997</w:t>
      </w:r>
    </w:p>
    <w:p>
      <w:pPr>
        <w:tabs>
          <w:tab w:pos="1970" w:val="left" w:leader="none"/>
          <w:tab w:pos="3795" w:val="right" w:leader="none"/>
        </w:tabs>
        <w:spacing w:line="150" w:lineRule="exact" w:before="119"/>
        <w:ind w:left="179" w:right="0" w:firstLine="0"/>
        <w:jc w:val="left"/>
        <w:rPr>
          <w:sz w:val="14"/>
        </w:rPr>
      </w:pPr>
      <w:r>
        <w:rPr>
          <w:color w:val="231F20"/>
          <w:sz w:val="14"/>
        </w:rPr>
        <w:t>£ ERI</w:t>
        <w:tab/>
        <w:t>100.39</w:t>
        <w:tab/>
        <w:t>102.41</w:t>
      </w:r>
    </w:p>
    <w:p>
      <w:pPr>
        <w:tabs>
          <w:tab w:pos="2110" w:val="left" w:leader="none"/>
          <w:tab w:pos="3550" w:val="left" w:leader="none"/>
        </w:tabs>
        <w:spacing w:line="140" w:lineRule="exact" w:before="0"/>
        <w:ind w:left="179" w:right="0" w:firstLine="0"/>
        <w:jc w:val="left"/>
        <w:rPr>
          <w:sz w:val="14"/>
        </w:rPr>
      </w:pPr>
      <w:r>
        <w:rPr>
          <w:color w:val="231F20"/>
          <w:sz w:val="14"/>
        </w:rPr>
        <w:t>£/$</w:t>
        <w:tab/>
        <w:t>1.62</w:t>
        <w:tab/>
        <w:t>1.68</w:t>
      </w:r>
    </w:p>
    <w:p>
      <w:pPr>
        <w:tabs>
          <w:tab w:pos="2109" w:val="left" w:leader="none"/>
          <w:tab w:pos="3795" w:val="right" w:leader="none"/>
        </w:tabs>
        <w:spacing w:line="150" w:lineRule="exact" w:before="0"/>
        <w:ind w:left="179" w:right="0" w:firstLine="0"/>
        <w:jc w:val="left"/>
        <w:rPr>
          <w:sz w:val="14"/>
        </w:rPr>
      </w:pPr>
      <w:r>
        <w:rPr>
          <w:color w:val="231F20"/>
          <w:sz w:val="14"/>
        </w:rPr>
        <w:t>£/DM</w:t>
        <w:tab/>
        <w:t>2.85</w:t>
        <w:tab/>
        <w:t>2.89</w:t>
      </w:r>
    </w:p>
    <w:p>
      <w:pPr>
        <w:pStyle w:val="ListParagraph"/>
        <w:numPr>
          <w:ilvl w:val="0"/>
          <w:numId w:val="34"/>
        </w:numPr>
        <w:tabs>
          <w:tab w:pos="662" w:val="left" w:leader="none"/>
          <w:tab w:pos="663" w:val="left" w:leader="none"/>
        </w:tabs>
        <w:spacing w:line="232" w:lineRule="auto" w:before="289" w:after="0"/>
        <w:ind w:left="182" w:right="386" w:firstLine="0"/>
        <w:jc w:val="left"/>
        <w:rPr>
          <w:sz w:val="18"/>
        </w:rPr>
      </w:pPr>
      <w:r>
        <w:rPr>
          <w:color w:val="231F20"/>
          <w:sz w:val="18"/>
        </w:rPr>
        <w:t>As a general rule the correlations of the £/DM and $/DM rates was fairly strong. But there had been a break in this relationship during October: sterling had not depreciated </w:t>
      </w:r>
      <w:r>
        <w:rPr>
          <w:color w:val="231F20"/>
          <w:spacing w:val="-3"/>
          <w:sz w:val="18"/>
        </w:rPr>
        <w:t>against </w:t>
      </w:r>
      <w:r>
        <w:rPr>
          <w:color w:val="231F20"/>
          <w:sz w:val="18"/>
        </w:rPr>
        <w:t>the Deutsche Mark at a time when the dollar had. It seemed possible that expectations of a rate rise in the United States before the year end had ebbed, more so than in the United Kingdom.</w:t>
      </w:r>
    </w:p>
    <w:p>
      <w:pPr>
        <w:pStyle w:val="ListParagraph"/>
        <w:numPr>
          <w:ilvl w:val="0"/>
          <w:numId w:val="34"/>
        </w:numPr>
        <w:tabs>
          <w:tab w:pos="662" w:val="left" w:leader="none"/>
          <w:tab w:pos="663" w:val="left" w:leader="none"/>
        </w:tabs>
        <w:spacing w:line="232" w:lineRule="auto" w:before="214" w:after="0"/>
        <w:ind w:left="182" w:right="381" w:firstLine="0"/>
        <w:jc w:val="left"/>
        <w:rPr>
          <w:sz w:val="18"/>
        </w:rPr>
      </w:pPr>
      <w:r>
        <w:rPr>
          <w:color w:val="231F20"/>
          <w:sz w:val="18"/>
        </w:rPr>
        <w:t>Even so, in domestic financial markets, short-term </w:t>
      </w:r>
      <w:r>
        <w:rPr>
          <w:color w:val="231F20"/>
          <w:spacing w:val="-3"/>
          <w:sz w:val="18"/>
        </w:rPr>
        <w:t>interest </w:t>
      </w:r>
      <w:r>
        <w:rPr>
          <w:color w:val="231F20"/>
          <w:sz w:val="18"/>
        </w:rPr>
        <w:t>rate expectations had fallen slightly between 8 and 28 October at maturities out as far as September 1998. But there had been an increase in expected rates for the period from next September outwards.</w:t>
      </w:r>
    </w:p>
    <w:p>
      <w:pPr>
        <w:spacing w:after="0" w:line="232" w:lineRule="auto"/>
        <w:jc w:val="left"/>
        <w:rPr>
          <w:sz w:val="18"/>
        </w:rPr>
        <w:sectPr>
          <w:type w:val="continuous"/>
          <w:pgSz w:w="11880" w:h="16840"/>
          <w:pgMar w:top="1200" w:bottom="280" w:left="620" w:right="620"/>
          <w:cols w:num="2" w:equalWidth="0">
            <w:col w:w="5095" w:space="295"/>
            <w:col w:w="5250"/>
          </w:cols>
        </w:sectPr>
      </w:pPr>
    </w:p>
    <w:p>
      <w:pPr>
        <w:pStyle w:val="BodyText"/>
        <w:rPr>
          <w:sz w:val="20"/>
        </w:rPr>
      </w:pPr>
    </w:p>
    <w:p>
      <w:pPr>
        <w:pStyle w:val="BodyText"/>
        <w:spacing w:before="11"/>
        <w:rPr>
          <w:sz w:val="20"/>
        </w:rPr>
      </w:pPr>
    </w:p>
    <w:p>
      <w:pPr>
        <w:pStyle w:val="ListParagraph"/>
        <w:numPr>
          <w:ilvl w:val="0"/>
          <w:numId w:val="34"/>
        </w:numPr>
        <w:tabs>
          <w:tab w:pos="659" w:val="left" w:leader="none"/>
          <w:tab w:pos="661" w:val="left" w:leader="none"/>
        </w:tabs>
        <w:spacing w:line="203" w:lineRule="exact" w:before="0" w:after="0"/>
        <w:ind w:left="660" w:right="0" w:hanging="481"/>
        <w:jc w:val="left"/>
        <w:rPr>
          <w:sz w:val="18"/>
        </w:rPr>
      </w:pPr>
      <w:r>
        <w:rPr>
          <w:color w:val="231F20"/>
          <w:sz w:val="18"/>
        </w:rPr>
        <w:t>Longer-term UK real yields had declined since</w:t>
      </w:r>
    </w:p>
    <w:p>
      <w:pPr>
        <w:pStyle w:val="BodyText"/>
        <w:spacing w:line="232" w:lineRule="auto" w:before="2"/>
        <w:ind w:left="180" w:right="376"/>
      </w:pPr>
      <w:r>
        <w:rPr>
          <w:color w:val="231F20"/>
        </w:rPr>
        <w:t>mid September in contrast to the United States, where they had remained flat. This could have been due to several factors.</w:t>
      </w:r>
    </w:p>
    <w:p>
      <w:pPr>
        <w:pStyle w:val="BodyText"/>
        <w:spacing w:line="232" w:lineRule="auto"/>
        <w:ind w:left="180" w:right="20"/>
      </w:pPr>
      <w:r>
        <w:rPr>
          <w:color w:val="231F20"/>
        </w:rPr>
        <w:t>Pension and investment fund managers had moved into the UK market; in the case of pension funds, because of new regulations causing them to favour holding more UK index-linked gilts. Low PSBR numbers may have caused the market to expect a reduced supply of index-linked gilts. The flight from volatile equities had been a modest support to index-linked gilts as well as conventionals in late October. This was in contrast to the United States where the ‘flight to quality’ had been predominantly towards non index linked government stock. There may also have been a fall in UK inflation expectations.</w:t>
      </w:r>
    </w:p>
    <w:p>
      <w:pPr>
        <w:pStyle w:val="BodyText"/>
        <w:spacing w:before="6"/>
        <w:rPr>
          <w:sz w:val="16"/>
        </w:rPr>
      </w:pPr>
    </w:p>
    <w:p>
      <w:pPr>
        <w:pStyle w:val="ListParagraph"/>
        <w:numPr>
          <w:ilvl w:val="0"/>
          <w:numId w:val="34"/>
        </w:numPr>
        <w:tabs>
          <w:tab w:pos="659" w:val="left" w:leader="none"/>
          <w:tab w:pos="661" w:val="left" w:leader="none"/>
        </w:tabs>
        <w:spacing w:line="232" w:lineRule="auto" w:before="0" w:after="0"/>
        <w:ind w:left="180" w:right="58" w:firstLine="0"/>
        <w:jc w:val="left"/>
        <w:rPr>
          <w:sz w:val="18"/>
        </w:rPr>
      </w:pPr>
      <w:r>
        <w:rPr>
          <w:color w:val="231F20"/>
          <w:sz w:val="18"/>
        </w:rPr>
        <w:t>There was some talk in the market of the possibility of an interest rate rise this month but no general expectation, in contrast with a month ago when a rise in November had been expected. </w:t>
      </w:r>
      <w:r>
        <w:rPr>
          <w:color w:val="231F20"/>
          <w:spacing w:val="-6"/>
          <w:sz w:val="18"/>
        </w:rPr>
        <w:t>But </w:t>
      </w:r>
      <w:r>
        <w:rPr>
          <w:color w:val="231F20"/>
          <w:sz w:val="18"/>
        </w:rPr>
        <w:t>the expectation of a possible rate rise in December remained. The market’s assessment that a rise was not likely in November seemed to rest on labour market data which were more modest than expected; the unanimity of the September MPC decision for no change; stronger sterling after EMU reversals;  possible concern for systemic stability after the equity market volatility; and the need to see data on retail sales which were unaffected by the death of Princess Diana.  Some market participants had commented on the positive gap between RPI and RPIX, which they thought might make further interest rate rises counter-productive by fuelling higher wage demands. Those who expected an increase in the near term pointed to strong economic data; and the suggestion of a</w:t>
      </w:r>
    </w:p>
    <w:p>
      <w:pPr>
        <w:pStyle w:val="BodyText"/>
        <w:rPr>
          <w:sz w:val="20"/>
        </w:rPr>
      </w:pPr>
      <w:r>
        <w:rPr/>
        <w:br w:type="column"/>
      </w:r>
      <w:r>
        <w:rPr>
          <w:sz w:val="20"/>
        </w:rPr>
      </w:r>
    </w:p>
    <w:p>
      <w:pPr>
        <w:pStyle w:val="BodyText"/>
        <w:spacing w:before="4"/>
        <w:rPr>
          <w:sz w:val="21"/>
        </w:rPr>
      </w:pPr>
    </w:p>
    <w:p>
      <w:pPr>
        <w:pStyle w:val="BodyText"/>
        <w:spacing w:line="232" w:lineRule="auto" w:before="1"/>
        <w:ind w:left="180" w:right="561"/>
      </w:pPr>
      <w:r>
        <w:rPr>
          <w:color w:val="231F20"/>
        </w:rPr>
        <w:t>possible lower inflation target in the Chancellor’s recent EMU speech.</w:t>
      </w:r>
    </w:p>
    <w:p>
      <w:pPr>
        <w:pStyle w:val="BodyText"/>
        <w:spacing w:before="2"/>
        <w:rPr>
          <w:sz w:val="17"/>
        </w:rPr>
      </w:pPr>
    </w:p>
    <w:p>
      <w:pPr>
        <w:pStyle w:val="ListParagraph"/>
        <w:numPr>
          <w:ilvl w:val="0"/>
          <w:numId w:val="34"/>
        </w:numPr>
        <w:tabs>
          <w:tab w:pos="659" w:val="left" w:leader="none"/>
          <w:tab w:pos="661" w:val="left" w:leader="none"/>
        </w:tabs>
        <w:spacing w:line="232" w:lineRule="auto" w:before="1" w:after="0"/>
        <w:ind w:left="180" w:right="219" w:firstLine="0"/>
        <w:jc w:val="left"/>
        <w:rPr>
          <w:sz w:val="18"/>
        </w:rPr>
      </w:pPr>
      <w:r>
        <w:rPr>
          <w:color w:val="231F20"/>
          <w:sz w:val="18"/>
        </w:rPr>
        <w:t>Equity markets had fallen worldwide. The biggest falls had been in the perceived riskier developing markets like Brazil and in those markets that had risen most rapidly, eg Germany. There </w:t>
      </w:r>
      <w:r>
        <w:rPr>
          <w:color w:val="231F20"/>
          <w:spacing w:val="-6"/>
          <w:sz w:val="18"/>
        </w:rPr>
        <w:t>was </w:t>
      </w:r>
      <w:r>
        <w:rPr>
          <w:color w:val="231F20"/>
          <w:sz w:val="18"/>
        </w:rPr>
        <w:t>little clear correlation between movements in G7 stock market indices and trade exposure to Asia.</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424" w:firstLine="0"/>
        <w:jc w:val="left"/>
        <w:rPr>
          <w:sz w:val="18"/>
        </w:rPr>
      </w:pPr>
      <w:r>
        <w:rPr>
          <w:color w:val="231F20"/>
          <w:sz w:val="18"/>
        </w:rPr>
        <w:t>One reason for the fall in UK and US equity prices recently may have been an increase in the equity risk premium. Equity prices reflect discounted future earnings. The rate at which expected profits are discounted includes a risk premium, because equities are riskier than other assets such as government bonds. A rise in the risk premium would cause a rise in the rate of discount and hence a fall in equity prices. Staff research suggested that risk premia in the United Kingdom and United States were not unusually low prior to the downturn.</w:t>
      </w:r>
    </w:p>
    <w:p>
      <w:pPr>
        <w:pStyle w:val="BodyText"/>
        <w:spacing w:line="232" w:lineRule="auto"/>
        <w:ind w:left="180" w:right="651"/>
      </w:pPr>
      <w:r>
        <w:rPr>
          <w:color w:val="231F20"/>
        </w:rPr>
        <w:t>Price-earnings ratios had also been high by historic standards before the equity price falls.</w:t>
      </w:r>
    </w:p>
    <w:p>
      <w:pPr>
        <w:pStyle w:val="BodyText"/>
        <w:spacing w:before="7"/>
        <w:rPr>
          <w:sz w:val="16"/>
        </w:rPr>
      </w:pPr>
    </w:p>
    <w:p>
      <w:pPr>
        <w:pStyle w:val="BodyText"/>
        <w:tabs>
          <w:tab w:pos="659" w:val="left" w:leader="none"/>
        </w:tabs>
        <w:spacing w:line="232" w:lineRule="auto" w:before="1"/>
        <w:ind w:left="180" w:right="194"/>
      </w:pPr>
      <w:r>
        <w:rPr>
          <w:color w:val="231F20"/>
        </w:rPr>
        <w:t>40</w:t>
        <w:tab/>
        <w:t>Inspection of implied volatilities derived from options prices suggested that the market uncertainty about future equity prices was most evident in the short term; it declined over the next </w:t>
      </w:r>
      <w:r>
        <w:rPr>
          <w:color w:val="231F20"/>
          <w:spacing w:val="-3"/>
        </w:rPr>
        <w:t>twelve </w:t>
      </w:r>
      <w:r>
        <w:rPr>
          <w:color w:val="231F20"/>
        </w:rPr>
        <w:t>months. Nevertheless, there appeared to be a much more pronounced negative skew in the implied probability distributions than there had been before the recent turbulence, suggesting that the markets believed a large fall over the coming months was more likely.</w:t>
      </w:r>
    </w:p>
    <w:p>
      <w:pPr>
        <w:spacing w:after="0" w:line="232" w:lineRule="auto"/>
        <w:sectPr>
          <w:pgSz w:w="11880" w:h="16840"/>
          <w:pgMar w:header="566" w:footer="597" w:top="760" w:bottom="780" w:left="620" w:right="620"/>
          <w:cols w:num="2" w:equalWidth="0">
            <w:col w:w="5120" w:space="260"/>
            <w:col w:w="5260"/>
          </w:cols>
        </w:sectPr>
      </w:pPr>
    </w:p>
    <w:p>
      <w:pPr>
        <w:pStyle w:val="BodyText"/>
        <w:rPr>
          <w:sz w:val="20"/>
        </w:rPr>
      </w:pPr>
    </w:p>
    <w:p>
      <w:pPr>
        <w:pStyle w:val="BodyText"/>
        <w:rPr>
          <w:sz w:val="20"/>
        </w:rPr>
      </w:pPr>
    </w:p>
    <w:p>
      <w:pPr>
        <w:pStyle w:val="BodyText"/>
        <w:rPr>
          <w:sz w:val="21"/>
        </w:rPr>
      </w:pPr>
    </w:p>
    <w:p>
      <w:pPr>
        <w:pStyle w:val="Heading2"/>
        <w:spacing w:before="87"/>
        <w:ind w:left="175"/>
      </w:pPr>
      <w:bookmarkStart w:name="_bookmark37" w:id="90"/>
      <w:bookmarkEnd w:id="90"/>
      <w:r>
        <w:rPr>
          <w:b w:val="0"/>
        </w:rPr>
      </w:r>
      <w:r>
        <w:rPr>
          <w:color w:val="009483"/>
        </w:rPr>
        <w:t>Minutes of the Monetary Policy Committee meeting on 3–4 December 1997</w:t>
      </w:r>
    </w:p>
    <w:p>
      <w:pPr>
        <w:pStyle w:val="BodyText"/>
        <w:spacing w:before="9"/>
        <w:rPr>
          <w:b/>
          <w:sz w:val="29"/>
        </w:rPr>
      </w:pPr>
    </w:p>
    <w:p>
      <w:pPr>
        <w:spacing w:after="0"/>
        <w:rPr>
          <w:sz w:val="29"/>
        </w:rPr>
        <w:sectPr>
          <w:pgSz w:w="11880" w:h="16840"/>
          <w:pgMar w:header="566" w:footer="597" w:top="760" w:bottom="780" w:left="620" w:right="620"/>
        </w:sectPr>
      </w:pPr>
    </w:p>
    <w:p>
      <w:pPr>
        <w:pStyle w:val="ListParagraph"/>
        <w:numPr>
          <w:ilvl w:val="0"/>
          <w:numId w:val="35"/>
        </w:numPr>
        <w:tabs>
          <w:tab w:pos="659" w:val="left" w:leader="none"/>
          <w:tab w:pos="661" w:val="left" w:leader="none"/>
        </w:tabs>
        <w:spacing w:line="232" w:lineRule="auto" w:before="97" w:after="0"/>
        <w:ind w:left="180" w:right="62" w:firstLine="0"/>
        <w:jc w:val="left"/>
        <w:rPr>
          <w:sz w:val="18"/>
        </w:rPr>
      </w:pPr>
      <w:r>
        <w:rPr>
          <w:color w:val="231F20"/>
          <w:sz w:val="18"/>
        </w:rPr>
        <w:t>The meeting was preceded by a presentation by Bank staff </w:t>
      </w:r>
      <w:r>
        <w:rPr>
          <w:color w:val="231F20"/>
          <w:spacing w:val="-9"/>
          <w:sz w:val="18"/>
        </w:rPr>
        <w:t>of </w:t>
      </w:r>
      <w:r>
        <w:rPr>
          <w:color w:val="231F20"/>
          <w:sz w:val="18"/>
        </w:rPr>
        <w:t>the most recent data on monetary and economic conditions. The staff presentation is summarised in the Annex to these minutes; it has been updated to incorporate data that subsequently became available to the Monetary Policy Committee before its meeting.</w:t>
      </w:r>
    </w:p>
    <w:p>
      <w:pPr>
        <w:pStyle w:val="BodyText"/>
        <w:spacing w:before="1"/>
        <w:rPr>
          <w:sz w:val="17"/>
        </w:rPr>
      </w:pPr>
    </w:p>
    <w:p>
      <w:pPr>
        <w:pStyle w:val="ListParagraph"/>
        <w:numPr>
          <w:ilvl w:val="0"/>
          <w:numId w:val="35"/>
        </w:numPr>
        <w:tabs>
          <w:tab w:pos="659" w:val="left" w:leader="none"/>
          <w:tab w:pos="661" w:val="left" w:leader="none"/>
        </w:tabs>
        <w:spacing w:line="232" w:lineRule="auto" w:before="0" w:after="0"/>
        <w:ind w:left="180" w:right="38" w:firstLine="0"/>
        <w:jc w:val="left"/>
        <w:rPr>
          <w:sz w:val="18"/>
        </w:rPr>
      </w:pPr>
      <w:r>
        <w:rPr>
          <w:color w:val="231F20"/>
          <w:sz w:val="18"/>
        </w:rPr>
        <w:t>The Committee began by discussing the importance to its assessment of the inflation outlook of levels of economic variables as well as their growth rates. It then discussed monetary growth, consumption, external developments and the prospects for net </w:t>
      </w:r>
      <w:r>
        <w:rPr>
          <w:color w:val="231F20"/>
          <w:spacing w:val="-3"/>
          <w:sz w:val="18"/>
        </w:rPr>
        <w:t>trade, </w:t>
      </w:r>
      <w:r>
        <w:rPr>
          <w:color w:val="231F20"/>
          <w:sz w:val="18"/>
        </w:rPr>
        <w:t>and the labour market. After reviewing key differences between </w:t>
      </w:r>
      <w:r>
        <w:rPr>
          <w:color w:val="231F20"/>
          <w:spacing w:val="-6"/>
          <w:sz w:val="18"/>
        </w:rPr>
        <w:t>the </w:t>
      </w:r>
      <w:r>
        <w:rPr>
          <w:color w:val="231F20"/>
          <w:sz w:val="18"/>
        </w:rPr>
        <w:t>Bank’s November inflation forecast and other forecasts, it turned to the immediate policy decision.</w:t>
      </w:r>
    </w:p>
    <w:p>
      <w:pPr>
        <w:pStyle w:val="BodyText"/>
        <w:spacing w:before="4"/>
        <w:rPr>
          <w:sz w:val="25"/>
        </w:rPr>
      </w:pPr>
    </w:p>
    <w:p>
      <w:pPr>
        <w:pStyle w:val="Heading7"/>
        <w:spacing w:before="1"/>
        <w:ind w:left="180"/>
      </w:pPr>
      <w:r>
        <w:rPr>
          <w:color w:val="009483"/>
        </w:rPr>
        <w:t>Levels versus growth rates</w:t>
      </w:r>
    </w:p>
    <w:p>
      <w:pPr>
        <w:pStyle w:val="ListParagraph"/>
        <w:numPr>
          <w:ilvl w:val="0"/>
          <w:numId w:val="35"/>
        </w:numPr>
        <w:tabs>
          <w:tab w:pos="659" w:val="left" w:leader="none"/>
          <w:tab w:pos="661" w:val="left" w:leader="none"/>
        </w:tabs>
        <w:spacing w:line="232" w:lineRule="auto" w:before="109" w:after="0"/>
        <w:ind w:left="180" w:right="47" w:firstLine="0"/>
        <w:jc w:val="left"/>
        <w:rPr>
          <w:sz w:val="18"/>
        </w:rPr>
      </w:pPr>
      <w:r>
        <w:rPr>
          <w:color w:val="231F20"/>
          <w:sz w:val="18"/>
        </w:rPr>
        <w:t>The Committee discussed the importance of focusing not only on growth rates of economic variables but also on their levels. Above-trend growth rates of output and employment need not </w:t>
      </w:r>
      <w:r>
        <w:rPr>
          <w:color w:val="231F20"/>
          <w:spacing w:val="-3"/>
          <w:sz w:val="18"/>
        </w:rPr>
        <w:t>entail </w:t>
      </w:r>
      <w:r>
        <w:rPr>
          <w:color w:val="231F20"/>
          <w:sz w:val="18"/>
        </w:rPr>
        <w:t>short-run inflationary pressures when there was plenty of spare capacity, as was typically the case when the economy was coming out of a prolonged recession. But as spare capacity was used up, underlying inflationary pressures would increase. Once the level of economic activity was above trend and/or the level of unemployment below the natural rate, increasing inflation would generally result. If the levels of output and employment then remained above trend, inflationary pressures would be exacerbated, requiring a more severe or prolonged slowdown to bring them back to trend levels.</w:t>
      </w:r>
    </w:p>
    <w:p>
      <w:pPr>
        <w:pStyle w:val="BodyText"/>
        <w:spacing w:before="6"/>
        <w:rPr>
          <w:sz w:val="16"/>
        </w:rPr>
      </w:pPr>
    </w:p>
    <w:p>
      <w:pPr>
        <w:pStyle w:val="ListParagraph"/>
        <w:numPr>
          <w:ilvl w:val="0"/>
          <w:numId w:val="35"/>
        </w:numPr>
        <w:tabs>
          <w:tab w:pos="659" w:val="left" w:leader="none"/>
          <w:tab w:pos="661" w:val="left" w:leader="none"/>
        </w:tabs>
        <w:spacing w:line="232" w:lineRule="auto" w:before="0" w:after="0"/>
        <w:ind w:left="180" w:right="167" w:firstLine="0"/>
        <w:jc w:val="left"/>
        <w:rPr>
          <w:sz w:val="18"/>
        </w:rPr>
      </w:pPr>
      <w:r>
        <w:rPr>
          <w:color w:val="231F20"/>
          <w:sz w:val="18"/>
        </w:rPr>
        <w:t>The Committee agreed with the importance of this general analysis. It was particularly relevant at the current stage of the cycle given the need to judge whether the economy was already above full capacity after the prolonged period of above-trend growth rates. The costs of an over-expansionary monetary policy were likely to be greater than when the economy had been </w:t>
      </w:r>
      <w:r>
        <w:rPr>
          <w:color w:val="231F20"/>
          <w:spacing w:val="-3"/>
          <w:sz w:val="18"/>
        </w:rPr>
        <w:t>coming </w:t>
      </w:r>
      <w:r>
        <w:rPr>
          <w:color w:val="231F20"/>
          <w:sz w:val="18"/>
        </w:rPr>
        <w:t>out of recession in the early to mid 1990s.</w:t>
      </w:r>
    </w:p>
    <w:p>
      <w:pPr>
        <w:pStyle w:val="BodyText"/>
        <w:spacing w:before="7"/>
      </w:pPr>
    </w:p>
    <w:p>
      <w:pPr>
        <w:pStyle w:val="ListParagraph"/>
        <w:numPr>
          <w:ilvl w:val="0"/>
          <w:numId w:val="35"/>
        </w:numPr>
        <w:tabs>
          <w:tab w:pos="659" w:val="left" w:leader="none"/>
          <w:tab w:pos="661" w:val="left" w:leader="none"/>
        </w:tabs>
        <w:spacing w:line="232" w:lineRule="auto" w:before="1" w:after="0"/>
        <w:ind w:left="180" w:right="38" w:firstLine="0"/>
        <w:jc w:val="left"/>
        <w:rPr>
          <w:sz w:val="18"/>
        </w:rPr>
      </w:pPr>
      <w:r>
        <w:rPr>
          <w:color w:val="231F20"/>
          <w:sz w:val="18"/>
        </w:rPr>
        <w:t>It was, however, very difficult to assess whether levels of activity were currently at, above or below the sustainable trend. Some collateral evidence was provided by surveys of capacity constraints, skill shortages etc, but it was inevitably inconclusive. There was, for example, considerable uncertainty about the effect </w:t>
      </w:r>
      <w:r>
        <w:rPr>
          <w:color w:val="231F20"/>
          <w:spacing w:val="-9"/>
          <w:sz w:val="18"/>
        </w:rPr>
        <w:t>of </w:t>
      </w:r>
      <w:r>
        <w:rPr>
          <w:color w:val="231F20"/>
          <w:sz w:val="18"/>
        </w:rPr>
        <w:t>continuing labour market reform on the natural rate of unemployment. Thus while it seemed clear that the economy was close to capacity, it was difficult to be confident about the crucial question for policy of whether activity levels were already above trend.</w:t>
      </w:r>
    </w:p>
    <w:p>
      <w:pPr>
        <w:pStyle w:val="BodyText"/>
        <w:spacing w:before="8"/>
        <w:rPr>
          <w:sz w:val="16"/>
        </w:rPr>
      </w:pPr>
    </w:p>
    <w:p>
      <w:pPr>
        <w:pStyle w:val="ListParagraph"/>
        <w:numPr>
          <w:ilvl w:val="0"/>
          <w:numId w:val="35"/>
        </w:numPr>
        <w:tabs>
          <w:tab w:pos="659" w:val="left" w:leader="none"/>
          <w:tab w:pos="661" w:val="left" w:leader="none"/>
        </w:tabs>
        <w:spacing w:line="232" w:lineRule="auto" w:before="0" w:after="0"/>
        <w:ind w:left="180" w:right="237" w:firstLine="0"/>
        <w:jc w:val="left"/>
        <w:rPr>
          <w:sz w:val="18"/>
        </w:rPr>
      </w:pPr>
      <w:r>
        <w:rPr>
          <w:color w:val="231F20"/>
          <w:sz w:val="18"/>
        </w:rPr>
        <w:t>The same general principles could be applied to the monetary data, but the conclusions were not clear. Cumulatively strong money growth would in general be a cause for concern unless reasons for a change in the velocity of circulation could </w:t>
      </w:r>
      <w:r>
        <w:rPr>
          <w:color w:val="231F20"/>
          <w:spacing w:val="-9"/>
          <w:sz w:val="18"/>
        </w:rPr>
        <w:t>be </w:t>
      </w:r>
      <w:r>
        <w:rPr>
          <w:color w:val="231F20"/>
          <w:sz w:val="18"/>
        </w:rPr>
        <w:t>identified, as for example had been the case with financial sector liberalisation in the 1980s.</w:t>
      </w:r>
    </w:p>
    <w:p>
      <w:pPr>
        <w:pStyle w:val="BodyText"/>
        <w:spacing w:before="11"/>
        <w:rPr>
          <w:sz w:val="16"/>
        </w:rPr>
      </w:pPr>
    </w:p>
    <w:p>
      <w:pPr>
        <w:pStyle w:val="ListParagraph"/>
        <w:numPr>
          <w:ilvl w:val="0"/>
          <w:numId w:val="35"/>
        </w:numPr>
        <w:tabs>
          <w:tab w:pos="659" w:val="left" w:leader="none"/>
          <w:tab w:pos="661" w:val="left" w:leader="none"/>
        </w:tabs>
        <w:spacing w:line="232" w:lineRule="auto" w:before="0" w:after="0"/>
        <w:ind w:left="180" w:right="61" w:firstLine="0"/>
        <w:jc w:val="left"/>
        <w:rPr>
          <w:sz w:val="18"/>
        </w:rPr>
      </w:pPr>
      <w:r>
        <w:rPr>
          <w:color w:val="231F20"/>
          <w:sz w:val="18"/>
        </w:rPr>
        <w:t>On one view, it was also important to look at levels of money demand relative to long-run equilibrium. On another interpretation, assessing the monetary data along these lines was difficult. The monetary authorities operated by setting interest rates, so that monetary growth was endogenous. And, in contrast </w:t>
      </w:r>
      <w:r>
        <w:rPr>
          <w:color w:val="231F20"/>
          <w:spacing w:val="-9"/>
          <w:sz w:val="18"/>
        </w:rPr>
        <w:t>to </w:t>
      </w:r>
      <w:r>
        <w:rPr>
          <w:color w:val="231F20"/>
          <w:sz w:val="18"/>
        </w:rPr>
        <w:t>goods and labour markets, financial markets probably cleared more or less continuously. On this view, there was no reason why the economy in aggregate or any sector should hold more money than desired; if so, then as a matter of principle there could not be a monetary overhang. Against this it could be argued that the costs</w:t>
      </w:r>
    </w:p>
    <w:p>
      <w:pPr>
        <w:pStyle w:val="BodyText"/>
        <w:spacing w:line="232" w:lineRule="auto" w:before="97"/>
        <w:ind w:left="180" w:right="188"/>
      </w:pPr>
      <w:r>
        <w:rPr/>
        <w:br w:type="column"/>
      </w:r>
      <w:r>
        <w:rPr>
          <w:color w:val="231F20"/>
        </w:rPr>
        <w:t>of monitoring and adjusting money holdings might lead individuals or companies temporarily to hold more (or less) than their desired level of money balances, to which in principle they would eventually seek to return. But even if this view of the process were correct, it left open the important issue of how quickly economic agents adjusted their money holdings and how they did so, whether by spending on goods or services, investment in financial assets, or repayment of bank loans.</w:t>
      </w:r>
    </w:p>
    <w:p>
      <w:pPr>
        <w:pStyle w:val="BodyText"/>
        <w:spacing w:before="10"/>
        <w:rPr>
          <w:sz w:val="19"/>
        </w:rPr>
      </w:pPr>
    </w:p>
    <w:p>
      <w:pPr>
        <w:pStyle w:val="ListParagraph"/>
        <w:numPr>
          <w:ilvl w:val="0"/>
          <w:numId w:val="35"/>
        </w:numPr>
        <w:tabs>
          <w:tab w:pos="659" w:val="left" w:leader="none"/>
          <w:tab w:pos="661" w:val="left" w:leader="none"/>
        </w:tabs>
        <w:spacing w:line="278" w:lineRule="auto" w:before="0" w:after="0"/>
        <w:ind w:left="180" w:right="406" w:firstLine="0"/>
        <w:jc w:val="left"/>
        <w:rPr>
          <w:sz w:val="18"/>
        </w:rPr>
      </w:pPr>
      <w:r>
        <w:rPr>
          <w:color w:val="231F20"/>
          <w:sz w:val="18"/>
        </w:rPr>
        <w:t>The Committee agreed that money growth needed to </w:t>
      </w:r>
      <w:r>
        <w:rPr>
          <w:color w:val="231F20"/>
          <w:spacing w:val="-5"/>
          <w:sz w:val="18"/>
        </w:rPr>
        <w:t>slow </w:t>
      </w:r>
      <w:r>
        <w:rPr>
          <w:color w:val="231F20"/>
          <w:sz w:val="18"/>
        </w:rPr>
        <w:t>considerably if inflationary pressures were to abate.</w:t>
      </w:r>
    </w:p>
    <w:p>
      <w:pPr>
        <w:pStyle w:val="BodyText"/>
        <w:spacing w:before="10"/>
        <w:rPr>
          <w:sz w:val="22"/>
        </w:rPr>
      </w:pPr>
    </w:p>
    <w:p>
      <w:pPr>
        <w:pStyle w:val="Heading7"/>
        <w:ind w:left="180"/>
      </w:pPr>
      <w:r>
        <w:rPr>
          <w:color w:val="009483"/>
        </w:rPr>
        <w:t>Recent developments in monetary conditions</w:t>
      </w:r>
    </w:p>
    <w:p>
      <w:pPr>
        <w:pStyle w:val="ListParagraph"/>
        <w:numPr>
          <w:ilvl w:val="0"/>
          <w:numId w:val="35"/>
        </w:numPr>
        <w:tabs>
          <w:tab w:pos="659" w:val="left" w:leader="none"/>
          <w:tab w:pos="661" w:val="left" w:leader="none"/>
        </w:tabs>
        <w:spacing w:line="232" w:lineRule="auto" w:before="109" w:after="0"/>
        <w:ind w:left="180" w:right="406" w:firstLine="0"/>
        <w:jc w:val="left"/>
        <w:rPr>
          <w:sz w:val="18"/>
        </w:rPr>
      </w:pPr>
      <w:r>
        <w:rPr>
          <w:color w:val="231F20"/>
          <w:sz w:val="18"/>
        </w:rPr>
        <w:t>Turning to the most recent monetary data, the Committee observed that the growth of notes and coin had picked up again after the dip earlier in the year. Taken together with continuing rapid, albeit slightly lower, growth in consumer credit, there </w:t>
      </w:r>
      <w:r>
        <w:rPr>
          <w:color w:val="231F20"/>
          <w:spacing w:val="-6"/>
          <w:sz w:val="18"/>
        </w:rPr>
        <w:t>was </w:t>
      </w:r>
      <w:r>
        <w:rPr>
          <w:color w:val="231F20"/>
          <w:sz w:val="18"/>
        </w:rPr>
        <w:t>not much comfort from this source for the short-run outlook for consumption.</w:t>
      </w:r>
    </w:p>
    <w:p>
      <w:pPr>
        <w:pStyle w:val="BodyText"/>
        <w:rPr>
          <w:sz w:val="17"/>
        </w:rPr>
      </w:pPr>
    </w:p>
    <w:p>
      <w:pPr>
        <w:pStyle w:val="ListParagraph"/>
        <w:numPr>
          <w:ilvl w:val="0"/>
          <w:numId w:val="35"/>
        </w:numPr>
        <w:tabs>
          <w:tab w:pos="659" w:val="left" w:leader="none"/>
          <w:tab w:pos="661" w:val="left" w:leader="none"/>
        </w:tabs>
        <w:spacing w:line="232" w:lineRule="auto" w:before="0" w:after="0"/>
        <w:ind w:left="180" w:right="186" w:firstLine="0"/>
        <w:jc w:val="left"/>
        <w:rPr>
          <w:sz w:val="18"/>
        </w:rPr>
      </w:pPr>
      <w:r>
        <w:rPr>
          <w:color w:val="231F20"/>
          <w:sz w:val="18"/>
        </w:rPr>
        <w:t>However, aggregate M4 bank lending had continued to </w:t>
      </w:r>
      <w:r>
        <w:rPr>
          <w:color w:val="231F20"/>
          <w:spacing w:val="-4"/>
          <w:sz w:val="18"/>
        </w:rPr>
        <w:t>slow, </w:t>
      </w:r>
      <w:r>
        <w:rPr>
          <w:color w:val="231F20"/>
          <w:sz w:val="18"/>
        </w:rPr>
        <w:t>and there were tentative signs of a slowdown in broad money growth, although the twelve-month rate of 10.7% remained high.</w:t>
      </w:r>
    </w:p>
    <w:p>
      <w:pPr>
        <w:pStyle w:val="BodyText"/>
        <w:spacing w:before="2"/>
        <w:rPr>
          <w:sz w:val="17"/>
        </w:rPr>
      </w:pPr>
    </w:p>
    <w:p>
      <w:pPr>
        <w:pStyle w:val="ListParagraph"/>
        <w:numPr>
          <w:ilvl w:val="0"/>
          <w:numId w:val="35"/>
        </w:numPr>
        <w:tabs>
          <w:tab w:pos="659" w:val="left" w:leader="none"/>
          <w:tab w:pos="661" w:val="left" w:leader="none"/>
        </w:tabs>
        <w:spacing w:line="232" w:lineRule="auto" w:before="0" w:after="0"/>
        <w:ind w:left="180" w:right="356" w:firstLine="0"/>
        <w:jc w:val="left"/>
        <w:rPr>
          <w:sz w:val="18"/>
        </w:rPr>
      </w:pPr>
      <w:r>
        <w:rPr>
          <w:color w:val="231F20"/>
          <w:sz w:val="18"/>
        </w:rPr>
        <w:t>The slowdown in bank lending in October was </w:t>
      </w:r>
      <w:r>
        <w:rPr>
          <w:color w:val="231F20"/>
          <w:spacing w:val="-2"/>
          <w:sz w:val="18"/>
        </w:rPr>
        <w:t>attributable </w:t>
      </w:r>
      <w:r>
        <w:rPr>
          <w:color w:val="231F20"/>
          <w:sz w:val="18"/>
        </w:rPr>
        <w:t>largely to a fall in reverse repo activity with OFIs, which was volatile from month to month. There had also been a progressive slowdown over the year in bank lending to non-financial companies. Even here, however, the picture was not completely clear, as up to Q3 ICC’s foreign currency borrowing from UK banks and via capital markets had been increasing and the proceeds might have been swapped into sterling for domestic spending.</w:t>
      </w:r>
    </w:p>
    <w:p>
      <w:pPr>
        <w:pStyle w:val="BodyText"/>
        <w:rPr>
          <w:sz w:val="27"/>
        </w:rPr>
      </w:pPr>
    </w:p>
    <w:p>
      <w:pPr>
        <w:pStyle w:val="Heading7"/>
        <w:spacing w:before="1"/>
        <w:ind w:left="180"/>
      </w:pPr>
      <w:r>
        <w:rPr>
          <w:color w:val="009483"/>
        </w:rPr>
        <w:t>Consumption</w:t>
      </w:r>
    </w:p>
    <w:p>
      <w:pPr>
        <w:pStyle w:val="ListParagraph"/>
        <w:numPr>
          <w:ilvl w:val="0"/>
          <w:numId w:val="35"/>
        </w:numPr>
        <w:tabs>
          <w:tab w:pos="659" w:val="left" w:leader="none"/>
          <w:tab w:pos="661" w:val="left" w:leader="none"/>
        </w:tabs>
        <w:spacing w:line="232" w:lineRule="auto" w:before="109" w:after="0"/>
        <w:ind w:left="180" w:right="171" w:firstLine="0"/>
        <w:jc w:val="left"/>
        <w:rPr>
          <w:sz w:val="18"/>
        </w:rPr>
      </w:pPr>
      <w:r>
        <w:rPr>
          <w:color w:val="231F20"/>
          <w:sz w:val="18"/>
        </w:rPr>
        <w:t>The Committee discussed the ONS’s first estimate for consumption growth in Q3 which, at 1.2%, was below the Bank’s central projection in the November </w:t>
      </w:r>
      <w:r>
        <w:rPr>
          <w:i/>
          <w:color w:val="231F20"/>
          <w:sz w:val="18"/>
        </w:rPr>
        <w:t>Inflation Report</w:t>
      </w:r>
      <w:r>
        <w:rPr>
          <w:color w:val="231F20"/>
          <w:sz w:val="18"/>
        </w:rPr>
        <w:t>. This figure, however, might be revised.  The ONS had only incomplete data and, as normal, had had to estimate a part of the services sector. They had assumed that service sector sales had been affected by the death of Diana, Princess of Wales to a similar extent as spending </w:t>
      </w:r>
      <w:r>
        <w:rPr>
          <w:color w:val="231F20"/>
          <w:spacing w:val="-9"/>
          <w:sz w:val="18"/>
        </w:rPr>
        <w:t>on </w:t>
      </w:r>
      <w:r>
        <w:rPr>
          <w:color w:val="231F20"/>
          <w:sz w:val="18"/>
        </w:rPr>
        <w:t>goods.</w:t>
      </w:r>
    </w:p>
    <w:p>
      <w:pPr>
        <w:pStyle w:val="BodyText"/>
        <w:spacing w:before="10"/>
        <w:rPr>
          <w:sz w:val="16"/>
        </w:rPr>
      </w:pPr>
    </w:p>
    <w:p>
      <w:pPr>
        <w:pStyle w:val="ListParagraph"/>
        <w:numPr>
          <w:ilvl w:val="0"/>
          <w:numId w:val="35"/>
        </w:numPr>
        <w:tabs>
          <w:tab w:pos="659" w:val="left" w:leader="none"/>
          <w:tab w:pos="661" w:val="left" w:leader="none"/>
        </w:tabs>
        <w:spacing w:line="232" w:lineRule="auto" w:before="0" w:after="0"/>
        <w:ind w:left="180" w:right="246" w:firstLine="0"/>
        <w:jc w:val="left"/>
        <w:rPr>
          <w:sz w:val="18"/>
        </w:rPr>
      </w:pPr>
      <w:r>
        <w:rPr>
          <w:color w:val="231F20"/>
          <w:sz w:val="18"/>
        </w:rPr>
        <w:t>The Committee noted two developments that might suggest consumption growth was peaking. First, consumer confidence </w:t>
      </w:r>
      <w:r>
        <w:rPr>
          <w:color w:val="231F20"/>
          <w:spacing w:val="-6"/>
          <w:sz w:val="18"/>
        </w:rPr>
        <w:t>had </w:t>
      </w:r>
      <w:r>
        <w:rPr>
          <w:color w:val="231F20"/>
          <w:sz w:val="18"/>
        </w:rPr>
        <w:t>fallen back, albeit from a relatively high level. Secondly, the Nationwide and Land Registry measures of house price increases had fallen slightly, and the Bank’s regional Agents had also reported cooling in the housing market.</w:t>
      </w:r>
    </w:p>
    <w:p>
      <w:pPr>
        <w:pStyle w:val="BodyText"/>
        <w:rPr>
          <w:sz w:val="17"/>
        </w:rPr>
      </w:pPr>
    </w:p>
    <w:p>
      <w:pPr>
        <w:pStyle w:val="ListParagraph"/>
        <w:numPr>
          <w:ilvl w:val="0"/>
          <w:numId w:val="35"/>
        </w:numPr>
        <w:tabs>
          <w:tab w:pos="659" w:val="left" w:leader="none"/>
          <w:tab w:pos="661" w:val="left" w:leader="none"/>
        </w:tabs>
        <w:spacing w:line="232" w:lineRule="auto" w:before="0" w:after="0"/>
        <w:ind w:left="180" w:right="273" w:firstLine="0"/>
        <w:jc w:val="left"/>
        <w:rPr>
          <w:sz w:val="18"/>
        </w:rPr>
      </w:pPr>
      <w:r>
        <w:rPr>
          <w:color w:val="231F20"/>
          <w:sz w:val="18"/>
        </w:rPr>
        <w:t>The Committee agreed that consumption growth needed to moderate further for policy to be on course to achieve the </w:t>
      </w:r>
      <w:r>
        <w:rPr>
          <w:color w:val="231F20"/>
          <w:spacing w:val="-3"/>
          <w:sz w:val="18"/>
        </w:rPr>
        <w:t>inflation </w:t>
      </w:r>
      <w:r>
        <w:rPr>
          <w:color w:val="231F20"/>
          <w:sz w:val="18"/>
        </w:rPr>
        <w:t>target.</w:t>
      </w:r>
    </w:p>
    <w:p>
      <w:pPr>
        <w:pStyle w:val="BodyText"/>
        <w:spacing w:before="7"/>
        <w:rPr>
          <w:sz w:val="25"/>
        </w:rPr>
      </w:pPr>
    </w:p>
    <w:p>
      <w:pPr>
        <w:pStyle w:val="Heading7"/>
        <w:spacing w:before="1"/>
        <w:ind w:left="180"/>
      </w:pPr>
      <w:r>
        <w:rPr>
          <w:color w:val="009483"/>
        </w:rPr>
        <w:t>External developments and the outlook for net trade</w:t>
      </w:r>
    </w:p>
    <w:p>
      <w:pPr>
        <w:pStyle w:val="ListParagraph"/>
        <w:numPr>
          <w:ilvl w:val="0"/>
          <w:numId w:val="35"/>
        </w:numPr>
        <w:tabs>
          <w:tab w:pos="659" w:val="left" w:leader="none"/>
          <w:tab w:pos="661" w:val="left" w:leader="none"/>
        </w:tabs>
        <w:spacing w:line="232" w:lineRule="auto" w:before="109" w:after="0"/>
        <w:ind w:left="180" w:right="246" w:firstLine="0"/>
        <w:jc w:val="left"/>
        <w:rPr>
          <w:sz w:val="18"/>
        </w:rPr>
      </w:pPr>
      <w:r>
        <w:rPr>
          <w:color w:val="231F20"/>
          <w:sz w:val="18"/>
        </w:rPr>
        <w:t>The ONS’s first estimate of the breakdown of the Q3 GDP statistics had contained some signs that net trade was beginning to slow, once erratic items were excluded. The Committee noted </w:t>
      </w:r>
      <w:r>
        <w:rPr>
          <w:color w:val="231F20"/>
          <w:spacing w:val="-5"/>
          <w:sz w:val="18"/>
        </w:rPr>
        <w:t>that </w:t>
      </w:r>
      <w:r>
        <w:rPr>
          <w:color w:val="231F20"/>
          <w:sz w:val="18"/>
        </w:rPr>
        <w:t>since its previous meeting sterling had appreciated further. Analysis by Bank staff suggested that changed expectations for monetary policy in the United Kingdom or overseas were not the</w:t>
      </w:r>
    </w:p>
    <w:p>
      <w:pPr>
        <w:spacing w:after="0" w:line="232" w:lineRule="auto"/>
        <w:jc w:val="left"/>
        <w:rPr>
          <w:sz w:val="18"/>
        </w:rPr>
        <w:sectPr>
          <w:type w:val="continuous"/>
          <w:pgSz w:w="11880" w:h="16840"/>
          <w:pgMar w:top="1200" w:bottom="280" w:left="620" w:right="620"/>
          <w:cols w:num="2" w:equalWidth="0">
            <w:col w:w="5133" w:space="259"/>
            <w:col w:w="5248"/>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4"/>
        <w:rPr>
          <w:sz w:val="21"/>
        </w:rPr>
      </w:pPr>
    </w:p>
    <w:p>
      <w:pPr>
        <w:pStyle w:val="BodyText"/>
        <w:spacing w:line="232" w:lineRule="auto" w:before="1"/>
        <w:ind w:left="200" w:right="60"/>
      </w:pPr>
      <w:r>
        <w:rPr>
          <w:color w:val="231F20"/>
        </w:rPr>
        <w:t>prime cause of the appreciation. A possible explanation of the recent appreciation against continental European currencies was a further ‘safe haven’ effect brought about by continuing uncertainty about EMU, including about the level of interest rates on which the EMU ‘ins’ would converge in late 1998/early 1999. Sterling may also have been affected, alongside the dollar, by a ‘safe haven’ effect in relation to East Asian currencies.</w:t>
      </w:r>
    </w:p>
    <w:p>
      <w:pPr>
        <w:pStyle w:val="BodyText"/>
        <w:spacing w:before="4"/>
        <w:rPr>
          <w:sz w:val="20"/>
        </w:rPr>
      </w:pPr>
    </w:p>
    <w:p>
      <w:pPr>
        <w:pStyle w:val="ListParagraph"/>
        <w:numPr>
          <w:ilvl w:val="0"/>
          <w:numId w:val="35"/>
        </w:numPr>
        <w:tabs>
          <w:tab w:pos="679" w:val="left" w:leader="none"/>
          <w:tab w:pos="681" w:val="left" w:leader="none"/>
        </w:tabs>
        <w:spacing w:line="232" w:lineRule="auto" w:before="0" w:after="0"/>
        <w:ind w:left="200" w:right="372" w:firstLine="0"/>
        <w:jc w:val="left"/>
        <w:rPr>
          <w:sz w:val="18"/>
        </w:rPr>
      </w:pPr>
      <w:r>
        <w:rPr>
          <w:color w:val="231F20"/>
          <w:sz w:val="18"/>
        </w:rPr>
        <w:t>The Committee discussed the implications of the East Asian developments. The world economic outlook was </w:t>
      </w:r>
      <w:r>
        <w:rPr>
          <w:color w:val="231F20"/>
          <w:spacing w:val="-3"/>
          <w:sz w:val="18"/>
        </w:rPr>
        <w:t>plainly </w:t>
      </w:r>
      <w:r>
        <w:rPr>
          <w:color w:val="231F20"/>
          <w:sz w:val="18"/>
        </w:rPr>
        <w:t>different from six months ago. Improved prospects in the US and continental Europe might to some extent offset reduced demand from Asia, but it was too early to judge. There was anecdotal evidence that returns from the growth of markets in Asia and other developing regions had helped UK exporters to maintain trade with continental Europe by cutting margins following sterling’s appreciation in 1996. Demand from Asia</w:t>
      </w:r>
    </w:p>
    <w:p>
      <w:pPr>
        <w:pStyle w:val="BodyText"/>
        <w:spacing w:line="232" w:lineRule="auto"/>
        <w:ind w:left="200" w:right="160"/>
      </w:pPr>
      <w:r>
        <w:rPr>
          <w:color w:val="231F20"/>
        </w:rPr>
        <w:t>had also been an important source of growth in exports for the G7 as a whole in recent years. It was possible that a slowdown in Asian markets would combine with sterling’s continuing appreciation to bring about a fall in net exports in 1998, as expected—or possibly more than expected—in the November </w:t>
      </w:r>
      <w:r>
        <w:rPr>
          <w:i/>
          <w:color w:val="231F20"/>
        </w:rPr>
        <w:t>Inflation Report</w:t>
      </w:r>
      <w:r>
        <w:rPr>
          <w:color w:val="231F20"/>
        </w:rPr>
        <w:t>.</w:t>
      </w:r>
    </w:p>
    <w:p>
      <w:pPr>
        <w:pStyle w:val="BodyText"/>
        <w:spacing w:before="7"/>
        <w:rPr>
          <w:sz w:val="21"/>
        </w:rPr>
      </w:pPr>
    </w:p>
    <w:p>
      <w:pPr>
        <w:pStyle w:val="ListParagraph"/>
        <w:numPr>
          <w:ilvl w:val="0"/>
          <w:numId w:val="35"/>
        </w:numPr>
        <w:tabs>
          <w:tab w:pos="679" w:val="left" w:leader="none"/>
          <w:tab w:pos="681" w:val="left" w:leader="none"/>
        </w:tabs>
        <w:spacing w:line="232" w:lineRule="auto" w:before="0" w:after="0"/>
        <w:ind w:left="199" w:right="67" w:firstLine="0"/>
        <w:jc w:val="left"/>
        <w:rPr>
          <w:sz w:val="18"/>
        </w:rPr>
      </w:pPr>
      <w:r>
        <w:rPr>
          <w:color w:val="231F20"/>
          <w:sz w:val="18"/>
        </w:rPr>
        <w:t>A second question was whether Asian problems threatened </w:t>
      </w:r>
      <w:r>
        <w:rPr>
          <w:color w:val="231F20"/>
          <w:spacing w:val="-16"/>
          <w:sz w:val="18"/>
        </w:rPr>
        <w:t>a </w:t>
      </w:r>
      <w:r>
        <w:rPr>
          <w:color w:val="231F20"/>
          <w:sz w:val="18"/>
        </w:rPr>
        <w:t>more global financial crisis. Recent news had, on balance, offered encouragement on this score. Some countries outside Asia had implemented austerity packages as a protective measure; and the IMF appeared to have reached agreement with Korea on the conditions for support. Nevertheless the situation needed to be monitored carefully. The Committee’s judgment remained that on the evidence so far the changing external environment did not of itself either require or prevent a change in UK monetary policy.</w:t>
      </w:r>
    </w:p>
    <w:p>
      <w:pPr>
        <w:pStyle w:val="BodyText"/>
        <w:rPr>
          <w:sz w:val="27"/>
        </w:rPr>
      </w:pPr>
    </w:p>
    <w:p>
      <w:pPr>
        <w:pStyle w:val="Heading7"/>
        <w:ind w:left="200"/>
      </w:pPr>
      <w:r>
        <w:rPr>
          <w:color w:val="009483"/>
        </w:rPr>
        <w:t>Labour market developments</w:t>
      </w:r>
    </w:p>
    <w:p>
      <w:pPr>
        <w:pStyle w:val="ListParagraph"/>
        <w:numPr>
          <w:ilvl w:val="0"/>
          <w:numId w:val="35"/>
        </w:numPr>
        <w:tabs>
          <w:tab w:pos="679" w:val="left" w:leader="none"/>
          <w:tab w:pos="681" w:val="left" w:leader="none"/>
        </w:tabs>
        <w:spacing w:line="232" w:lineRule="auto" w:before="110" w:after="0"/>
        <w:ind w:left="200" w:right="77" w:firstLine="0"/>
        <w:jc w:val="left"/>
        <w:rPr>
          <w:sz w:val="18"/>
        </w:rPr>
      </w:pPr>
      <w:r>
        <w:rPr>
          <w:color w:val="231F20"/>
          <w:sz w:val="18"/>
        </w:rPr>
        <w:t>The Committee agreed that there was not much news on the labour market. Underlying earnings growth had ticked down slightly, but unemployment continued to fall, concerns about skill shortages persisted, and the Agents reported concerns around the country of emerging wage pressures. The reported settlement at Ford seemed high and would be a source of concern if, as in the 1970s and early 1980s, it set an economy-wide norm, but it had </w:t>
      </w:r>
      <w:r>
        <w:rPr>
          <w:color w:val="231F20"/>
          <w:spacing w:val="-6"/>
          <w:sz w:val="18"/>
        </w:rPr>
        <w:t>not </w:t>
      </w:r>
      <w:r>
        <w:rPr>
          <w:color w:val="231F20"/>
          <w:sz w:val="18"/>
        </w:rPr>
        <w:t>done so in recent years.</w:t>
      </w:r>
    </w:p>
    <w:p>
      <w:pPr>
        <w:pStyle w:val="BodyText"/>
        <w:spacing w:before="1"/>
        <w:rPr>
          <w:sz w:val="27"/>
        </w:rPr>
      </w:pPr>
    </w:p>
    <w:p>
      <w:pPr>
        <w:pStyle w:val="Heading7"/>
        <w:spacing w:line="266" w:lineRule="auto"/>
        <w:ind w:left="200"/>
      </w:pPr>
      <w:r>
        <w:rPr>
          <w:color w:val="009483"/>
        </w:rPr>
        <w:t>Comparison of the Bank’s forecast with outside forecasts</w:t>
      </w:r>
    </w:p>
    <w:p>
      <w:pPr>
        <w:pStyle w:val="ListParagraph"/>
        <w:numPr>
          <w:ilvl w:val="0"/>
          <w:numId w:val="35"/>
        </w:numPr>
        <w:tabs>
          <w:tab w:pos="679" w:val="left" w:leader="none"/>
          <w:tab w:pos="681" w:val="left" w:leader="none"/>
        </w:tabs>
        <w:spacing w:line="232" w:lineRule="auto" w:before="100" w:after="0"/>
        <w:ind w:left="199" w:right="38" w:firstLine="0"/>
        <w:jc w:val="left"/>
        <w:rPr>
          <w:sz w:val="18"/>
        </w:rPr>
      </w:pPr>
      <w:r>
        <w:rPr>
          <w:color w:val="231F20"/>
          <w:sz w:val="18"/>
        </w:rPr>
        <w:t>The Committee discussed the main reasons why the November </w:t>
      </w:r>
      <w:r>
        <w:rPr>
          <w:i/>
          <w:color w:val="231F20"/>
          <w:sz w:val="18"/>
        </w:rPr>
        <w:t>Inflation Report </w:t>
      </w:r>
      <w:r>
        <w:rPr>
          <w:color w:val="231F20"/>
          <w:sz w:val="18"/>
        </w:rPr>
        <w:t>central projection for inflation in the year to 1998 Q4 was below virtually all outside forecasts even though its forecast for output growth was around their mean. </w:t>
      </w:r>
      <w:r>
        <w:rPr>
          <w:color w:val="231F20"/>
          <w:spacing w:val="-4"/>
          <w:sz w:val="18"/>
        </w:rPr>
        <w:t>These </w:t>
      </w:r>
      <w:r>
        <w:rPr>
          <w:color w:val="231F20"/>
          <w:sz w:val="18"/>
        </w:rPr>
        <w:t>related to the effects of sterling’s appreciation. The Bank’s central projection assumed that some of the fall in import prices would be passed through to retail prices, unwinding some of the recent increase in retail margins; and that although delayed, there would still be a significant, and in 1998 quite sharp, slowdown in net trade. The Committee agreed that qualitatively this was the most likely outcome but, as reflected in the November forecast, there was considerable uncertainty about its timing and magnitude. The slower the net trade effect was to come through, the greater the risks to the inflation target. It was also the case that recent inflation outturns had been above the Bank’s recent forecasts.</w:t>
      </w:r>
    </w:p>
    <w:p>
      <w:pPr>
        <w:pStyle w:val="BodyText"/>
        <w:spacing w:before="2"/>
        <w:rPr>
          <w:sz w:val="20"/>
        </w:rPr>
      </w:pPr>
      <w:r>
        <w:rPr/>
        <w:br w:type="column"/>
      </w:r>
      <w:r>
        <w:rPr>
          <w:sz w:val="20"/>
        </w:rPr>
      </w:r>
    </w:p>
    <w:p>
      <w:pPr>
        <w:pStyle w:val="Heading7"/>
        <w:ind w:left="200"/>
      </w:pPr>
      <w:r>
        <w:rPr>
          <w:color w:val="009483"/>
        </w:rPr>
        <w:t>Policy conclusions</w:t>
      </w:r>
    </w:p>
    <w:p>
      <w:pPr>
        <w:pStyle w:val="ListParagraph"/>
        <w:numPr>
          <w:ilvl w:val="0"/>
          <w:numId w:val="35"/>
        </w:numPr>
        <w:tabs>
          <w:tab w:pos="679" w:val="left" w:leader="none"/>
          <w:tab w:pos="681" w:val="left" w:leader="none"/>
        </w:tabs>
        <w:spacing w:line="232" w:lineRule="auto" w:before="109" w:after="0"/>
        <w:ind w:left="200" w:right="184" w:firstLine="0"/>
        <w:jc w:val="left"/>
        <w:rPr>
          <w:sz w:val="18"/>
        </w:rPr>
      </w:pPr>
      <w:r>
        <w:rPr>
          <w:color w:val="231F20"/>
          <w:sz w:val="18"/>
        </w:rPr>
        <w:t>The Committee identified a range of possible views on the outlook for inflation. One was that the level of activity was </w:t>
      </w:r>
      <w:r>
        <w:rPr>
          <w:color w:val="231F20"/>
          <w:spacing w:val="-3"/>
          <w:sz w:val="18"/>
        </w:rPr>
        <w:t>already </w:t>
      </w:r>
      <w:r>
        <w:rPr>
          <w:color w:val="231F20"/>
          <w:sz w:val="18"/>
        </w:rPr>
        <w:t>above trend, perhaps materially so. In that case output growth would need to slow sharply in order to avoid a marked increase in inflation. If instead growth slowed gradually so that activity levels remained above trend, it would prove necessary to tighten policy while output growth was falling. On such a view, policy might need to be tightened again quite soon if there were not clear evidence in the early part of the New Year that the economy was slowing sharply.</w:t>
      </w:r>
    </w:p>
    <w:p>
      <w:pPr>
        <w:pStyle w:val="BodyText"/>
        <w:spacing w:before="8"/>
        <w:rPr>
          <w:sz w:val="16"/>
        </w:rPr>
      </w:pPr>
    </w:p>
    <w:p>
      <w:pPr>
        <w:pStyle w:val="ListParagraph"/>
        <w:numPr>
          <w:ilvl w:val="0"/>
          <w:numId w:val="35"/>
        </w:numPr>
        <w:tabs>
          <w:tab w:pos="679" w:val="left" w:leader="none"/>
          <w:tab w:pos="681" w:val="left" w:leader="none"/>
        </w:tabs>
        <w:spacing w:line="232" w:lineRule="auto" w:before="0" w:after="0"/>
        <w:ind w:left="200" w:right="169" w:firstLine="0"/>
        <w:jc w:val="left"/>
        <w:rPr>
          <w:sz w:val="18"/>
        </w:rPr>
      </w:pPr>
      <w:r>
        <w:rPr>
          <w:color w:val="231F20"/>
          <w:sz w:val="18"/>
        </w:rPr>
        <w:t>Another possibility was that the economy was close to but not clearly above capacity, although still growing above trend. The economy was therefore delicately poised. Retail price inflation </w:t>
      </w:r>
      <w:r>
        <w:rPr>
          <w:color w:val="231F20"/>
          <w:spacing w:val="-6"/>
          <w:sz w:val="18"/>
        </w:rPr>
        <w:t>was </w:t>
      </w:r>
      <w:r>
        <w:rPr>
          <w:color w:val="231F20"/>
          <w:sz w:val="18"/>
        </w:rPr>
        <w:t>higher than had been expected in the summer, remained stubbornly high, and increased wage pressures were widely expected. On the other hand, domestic demand growth should slow given the tightening of monetary and fiscal policy. And the effects of sterling’s appreciation on inflation was still expected to come through, via a slowdown in net trade and greater pass-through into retail prices.</w:t>
      </w:r>
    </w:p>
    <w:p>
      <w:pPr>
        <w:pStyle w:val="BodyText"/>
        <w:spacing w:before="8"/>
        <w:rPr>
          <w:sz w:val="16"/>
        </w:rPr>
      </w:pPr>
    </w:p>
    <w:p>
      <w:pPr>
        <w:pStyle w:val="ListParagraph"/>
        <w:numPr>
          <w:ilvl w:val="0"/>
          <w:numId w:val="35"/>
        </w:numPr>
        <w:tabs>
          <w:tab w:pos="679" w:val="left" w:leader="none"/>
          <w:tab w:pos="681" w:val="left" w:leader="none"/>
        </w:tabs>
        <w:spacing w:line="232" w:lineRule="auto" w:before="1" w:after="0"/>
        <w:ind w:left="200" w:right="249" w:firstLine="0"/>
        <w:jc w:val="left"/>
        <w:rPr>
          <w:sz w:val="18"/>
        </w:rPr>
      </w:pPr>
      <w:r>
        <w:rPr>
          <w:color w:val="231F20"/>
          <w:sz w:val="18"/>
        </w:rPr>
        <w:t>A further possible view was to take encouragement for the inflation outlook from the most recent data. There were signs that output would peak in Q4, as the Bank had forecast, and that the economy would slow in the first half of 1998. Developments in Asia could mean that the slowdown in net trade would be more pronounced than forecast in the November </w:t>
      </w:r>
      <w:r>
        <w:rPr>
          <w:i/>
          <w:color w:val="231F20"/>
          <w:sz w:val="18"/>
        </w:rPr>
        <w:t>Inflation Report</w:t>
      </w:r>
      <w:r>
        <w:rPr>
          <w:color w:val="231F20"/>
          <w:sz w:val="18"/>
        </w:rPr>
        <w:t>. If uncertainty over EMU and other external developments continued, sterling might not depreciate in line with uncovered interest parity as had been assumed in the November forecast, which could improve the inflation outlook. And while the pace of slowdown needed to avert a pick-up in inflation depended on whether there was any slack in the economy, some encouragement on this score might be taken from the persistence of muted producer input and output prices.</w:t>
      </w:r>
    </w:p>
    <w:p>
      <w:pPr>
        <w:pStyle w:val="BodyText"/>
        <w:spacing w:before="5"/>
        <w:rPr>
          <w:sz w:val="16"/>
        </w:rPr>
      </w:pPr>
    </w:p>
    <w:p>
      <w:pPr>
        <w:pStyle w:val="ListParagraph"/>
        <w:numPr>
          <w:ilvl w:val="0"/>
          <w:numId w:val="35"/>
        </w:numPr>
        <w:tabs>
          <w:tab w:pos="679" w:val="left" w:leader="none"/>
          <w:tab w:pos="681" w:val="left" w:leader="none"/>
        </w:tabs>
        <w:spacing w:line="232" w:lineRule="auto" w:before="0" w:after="0"/>
        <w:ind w:left="200" w:right="284" w:firstLine="0"/>
        <w:jc w:val="left"/>
        <w:rPr>
          <w:sz w:val="18"/>
        </w:rPr>
      </w:pPr>
      <w:r>
        <w:rPr>
          <w:color w:val="231F20"/>
          <w:sz w:val="18"/>
        </w:rPr>
        <w:t>The Committee agreed that there was uncertainty about where the economy was in relation to capacity and that this made the policy judgment very difficult. There had been relatively </w:t>
      </w:r>
      <w:r>
        <w:rPr>
          <w:color w:val="231F20"/>
          <w:spacing w:val="-3"/>
          <w:sz w:val="18"/>
        </w:rPr>
        <w:t>little </w:t>
      </w:r>
      <w:r>
        <w:rPr>
          <w:color w:val="231F20"/>
          <w:sz w:val="18"/>
        </w:rPr>
        <w:t>news in the last month’s data that helped to resolve this question, given that the Committee had already been expecting a strong Q4. That being so, there was a case for waiting to see further developments. It was also possible that the exchange rate would prove especially sensitive to an interest rate move at a time of unusual uncertainty in global financial markets.</w:t>
      </w:r>
    </w:p>
    <w:p>
      <w:pPr>
        <w:pStyle w:val="BodyText"/>
        <w:spacing w:before="9"/>
        <w:rPr>
          <w:sz w:val="16"/>
        </w:rPr>
      </w:pPr>
    </w:p>
    <w:p>
      <w:pPr>
        <w:pStyle w:val="ListParagraph"/>
        <w:numPr>
          <w:ilvl w:val="0"/>
          <w:numId w:val="35"/>
        </w:numPr>
        <w:tabs>
          <w:tab w:pos="679" w:val="left" w:leader="none"/>
          <w:tab w:pos="681" w:val="left" w:leader="none"/>
        </w:tabs>
        <w:spacing w:line="232" w:lineRule="auto" w:before="0" w:after="0"/>
        <w:ind w:left="200" w:right="208" w:firstLine="0"/>
        <w:jc w:val="left"/>
        <w:rPr>
          <w:sz w:val="18"/>
        </w:rPr>
      </w:pPr>
      <w:r>
        <w:rPr>
          <w:color w:val="231F20"/>
          <w:sz w:val="18"/>
        </w:rPr>
        <w:t>The Committee then voted unanimously in favour of </w:t>
      </w:r>
      <w:r>
        <w:rPr>
          <w:color w:val="231F20"/>
          <w:spacing w:val="-3"/>
          <w:sz w:val="18"/>
        </w:rPr>
        <w:t>leaving </w:t>
      </w:r>
      <w:r>
        <w:rPr>
          <w:color w:val="231F20"/>
          <w:sz w:val="18"/>
        </w:rPr>
        <w:t>the Bank’s repo rate unchanged.</w:t>
      </w:r>
    </w:p>
    <w:p>
      <w:pPr>
        <w:pStyle w:val="ListParagraph"/>
        <w:numPr>
          <w:ilvl w:val="0"/>
          <w:numId w:val="35"/>
        </w:numPr>
        <w:tabs>
          <w:tab w:pos="679" w:val="left" w:leader="none"/>
          <w:tab w:pos="681" w:val="left" w:leader="none"/>
        </w:tabs>
        <w:spacing w:line="400" w:lineRule="atLeast" w:before="0" w:after="0"/>
        <w:ind w:left="200" w:right="53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200" w:right="2465"/>
      </w:pPr>
      <w:r>
        <w:rPr>
          <w:color w:val="231F20"/>
        </w:rPr>
        <w:t>David Clementi (Deputy Governor) Sir Alan Budd</w:t>
      </w:r>
    </w:p>
    <w:p>
      <w:pPr>
        <w:pStyle w:val="BodyText"/>
        <w:spacing w:line="232" w:lineRule="auto"/>
        <w:ind w:left="200" w:right="3495"/>
      </w:pPr>
      <w:r>
        <w:rPr>
          <w:color w:val="231F20"/>
        </w:rPr>
        <w:t>Willem Buiter Charles </w:t>
      </w:r>
      <w:r>
        <w:rPr>
          <w:color w:val="231F20"/>
          <w:spacing w:val="-3"/>
        </w:rPr>
        <w:t>Goodhart </w:t>
      </w:r>
      <w:r>
        <w:rPr>
          <w:color w:val="231F20"/>
        </w:rPr>
        <w:t>DeAnne Julius Mervyn King</w:t>
      </w:r>
    </w:p>
    <w:p>
      <w:pPr>
        <w:pStyle w:val="BodyText"/>
        <w:spacing w:line="199" w:lineRule="exact"/>
        <w:ind w:left="200"/>
      </w:pPr>
      <w:r>
        <w:rPr>
          <w:color w:val="231F20"/>
        </w:rPr>
        <w:t>Ian Plenderleith</w:t>
      </w:r>
    </w:p>
    <w:p>
      <w:pPr>
        <w:pStyle w:val="BodyText"/>
        <w:spacing w:before="11"/>
        <w:rPr>
          <w:sz w:val="16"/>
        </w:rPr>
      </w:pPr>
    </w:p>
    <w:p>
      <w:pPr>
        <w:pStyle w:val="ListParagraph"/>
        <w:numPr>
          <w:ilvl w:val="0"/>
          <w:numId w:val="35"/>
        </w:numPr>
        <w:tabs>
          <w:tab w:pos="679" w:val="left" w:leader="none"/>
          <w:tab w:pos="681" w:val="left" w:leader="none"/>
        </w:tabs>
        <w:spacing w:line="232" w:lineRule="auto" w:before="0" w:after="0"/>
        <w:ind w:left="200" w:right="769" w:firstLine="0"/>
        <w:jc w:val="left"/>
        <w:rPr>
          <w:sz w:val="18"/>
        </w:rPr>
      </w:pPr>
      <w:r>
        <w:rPr>
          <w:color w:val="231F20"/>
          <w:sz w:val="18"/>
        </w:rPr>
        <w:t>Sir Terence Burns was also present as the Treasury’s representative.</w:t>
      </w:r>
    </w:p>
    <w:p>
      <w:pPr>
        <w:spacing w:after="0" w:line="232" w:lineRule="auto"/>
        <w:jc w:val="left"/>
        <w:rPr>
          <w:sz w:val="18"/>
        </w:rPr>
        <w:sectPr>
          <w:type w:val="continuous"/>
          <w:pgSz w:w="11880" w:h="16840"/>
          <w:pgMar w:top="1200" w:bottom="280" w:left="620" w:right="620"/>
          <w:cols w:num="2" w:equalWidth="0">
            <w:col w:w="5129" w:space="251"/>
            <w:col w:w="5260"/>
          </w:cols>
        </w:sectPr>
      </w:pPr>
    </w:p>
    <w:p>
      <w:pPr>
        <w:pStyle w:val="BodyText"/>
        <w:rPr>
          <w:sz w:val="20"/>
        </w:rPr>
      </w:pPr>
    </w:p>
    <w:p>
      <w:pPr>
        <w:pStyle w:val="BodyText"/>
        <w:rPr>
          <w:sz w:val="20"/>
        </w:rPr>
      </w:pPr>
    </w:p>
    <w:p>
      <w:pPr>
        <w:pStyle w:val="BodyText"/>
        <w:spacing w:before="1"/>
        <w:rPr>
          <w:sz w:val="16"/>
        </w:rPr>
      </w:pPr>
    </w:p>
    <w:p>
      <w:pPr>
        <w:pStyle w:val="Heading2"/>
        <w:ind w:left="185"/>
      </w:pPr>
      <w:r>
        <w:rPr>
          <w:color w:val="009483"/>
        </w:rPr>
        <w:t>Annex: Summary of data presented by Bank staff</w:t>
      </w:r>
    </w:p>
    <w:p>
      <w:pPr>
        <w:pStyle w:val="BodyText"/>
        <w:spacing w:before="9"/>
        <w:rPr>
          <w:b/>
          <w:sz w:val="27"/>
        </w:rPr>
      </w:pPr>
    </w:p>
    <w:p>
      <w:pPr>
        <w:spacing w:after="0"/>
        <w:rPr>
          <w:sz w:val="27"/>
        </w:rPr>
        <w:sectPr>
          <w:pgSz w:w="11880" w:h="16840"/>
          <w:pgMar w:header="566" w:footer="597" w:top="760" w:bottom="780" w:left="620" w:right="620"/>
        </w:sectPr>
      </w:pPr>
    </w:p>
    <w:p>
      <w:pPr>
        <w:pStyle w:val="ListParagraph"/>
        <w:numPr>
          <w:ilvl w:val="0"/>
          <w:numId w:val="36"/>
        </w:numPr>
        <w:tabs>
          <w:tab w:pos="659" w:val="left" w:leader="none"/>
          <w:tab w:pos="661" w:val="left" w:leader="none"/>
        </w:tabs>
        <w:spacing w:line="232" w:lineRule="auto" w:before="98" w:after="0"/>
        <w:ind w:left="180" w:right="82"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28 November 1997, in advance of its meeting. At the start of the Committee meeting itself, members were made aware of information that had subsequently become available, and that information is included in the Annex</w:t>
      </w:r>
    </w:p>
    <w:p>
      <w:pPr>
        <w:pStyle w:val="BodyText"/>
        <w:spacing w:before="2"/>
        <w:rPr>
          <w:sz w:val="27"/>
        </w:rPr>
      </w:pPr>
    </w:p>
    <w:p>
      <w:pPr>
        <w:pStyle w:val="Heading7"/>
        <w:numPr>
          <w:ilvl w:val="0"/>
          <w:numId w:val="37"/>
        </w:numPr>
        <w:tabs>
          <w:tab w:pos="659" w:val="left" w:leader="none"/>
          <w:tab w:pos="661" w:val="left" w:leader="none"/>
        </w:tabs>
        <w:spacing w:line="240" w:lineRule="auto" w:before="0" w:after="0"/>
        <w:ind w:left="660" w:right="0" w:hanging="481"/>
        <w:jc w:val="left"/>
      </w:pPr>
      <w:r>
        <w:rPr>
          <w:color w:val="009483"/>
        </w:rPr>
        <w:t>Monetary conditions</w:t>
      </w:r>
    </w:p>
    <w:p>
      <w:pPr>
        <w:pStyle w:val="ListParagraph"/>
        <w:numPr>
          <w:ilvl w:val="0"/>
          <w:numId w:val="36"/>
        </w:numPr>
        <w:tabs>
          <w:tab w:pos="659" w:val="left" w:leader="none"/>
          <w:tab w:pos="661" w:val="left" w:leader="none"/>
        </w:tabs>
        <w:spacing w:line="232" w:lineRule="auto" w:before="110" w:after="0"/>
        <w:ind w:left="180" w:right="48" w:firstLine="0"/>
        <w:jc w:val="left"/>
        <w:rPr>
          <w:sz w:val="18"/>
        </w:rPr>
      </w:pPr>
      <w:r>
        <w:rPr>
          <w:color w:val="231F20"/>
          <w:sz w:val="18"/>
        </w:rPr>
        <w:t>The introduction of the new 50p coin had again affected the monthly notes and coins numbers in November. But whereas in previous months it had inflated the growth rate, in the latest month there had been a net return of old 50p coins, depressing the </w:t>
      </w:r>
      <w:r>
        <w:rPr>
          <w:color w:val="231F20"/>
          <w:spacing w:val="-3"/>
          <w:sz w:val="18"/>
        </w:rPr>
        <w:t>monthly </w:t>
      </w:r>
      <w:r>
        <w:rPr>
          <w:color w:val="231F20"/>
          <w:sz w:val="18"/>
        </w:rPr>
        <w:t>growth rate by an estimated 0.1 percentage point. After adjustment for the 50p coin effect, the growth rate had been 0.8%.</w:t>
      </w:r>
    </w:p>
    <w:p>
      <w:pPr>
        <w:pStyle w:val="BodyText"/>
        <w:spacing w:before="8"/>
      </w:pPr>
    </w:p>
    <w:p>
      <w:pPr>
        <w:pStyle w:val="ListParagraph"/>
        <w:numPr>
          <w:ilvl w:val="0"/>
          <w:numId w:val="36"/>
        </w:numPr>
        <w:tabs>
          <w:tab w:pos="659" w:val="left" w:leader="none"/>
          <w:tab w:pos="661" w:val="left" w:leader="none"/>
        </w:tabs>
        <w:spacing w:line="232" w:lineRule="auto" w:before="0" w:after="0"/>
        <w:ind w:left="180" w:right="38" w:firstLine="0"/>
        <w:jc w:val="left"/>
        <w:rPr>
          <w:sz w:val="18"/>
        </w:rPr>
      </w:pPr>
      <w:r>
        <w:rPr>
          <w:color w:val="231F20"/>
          <w:sz w:val="18"/>
        </w:rPr>
        <w:t>Monthly M4 growth fell in October to 0.5%, considerably below the rate of growth seen in the previous five months. October’s data included for the first time an estimate of the </w:t>
      </w:r>
      <w:r>
        <w:rPr>
          <w:color w:val="231F20"/>
          <w:spacing w:val="-3"/>
          <w:sz w:val="18"/>
        </w:rPr>
        <w:t>monthly </w:t>
      </w:r>
      <w:r>
        <w:rPr>
          <w:color w:val="231F20"/>
          <w:sz w:val="18"/>
        </w:rPr>
        <w:t>sectoral breakdown of M4; the weakness in the aggregate had been due to ICCs and OFIs, possibly reflecting strong tax payments and also probably OFIs drawing down deposits in order to buy shares from members of Northern Rock, which had been demutualised earlier in the month.</w:t>
      </w:r>
    </w:p>
    <w:p>
      <w:pPr>
        <w:pStyle w:val="BodyText"/>
        <w:spacing w:before="7"/>
      </w:pPr>
    </w:p>
    <w:p>
      <w:pPr>
        <w:pStyle w:val="ListParagraph"/>
        <w:numPr>
          <w:ilvl w:val="0"/>
          <w:numId w:val="36"/>
        </w:numPr>
        <w:tabs>
          <w:tab w:pos="659" w:val="left" w:leader="none"/>
          <w:tab w:pos="661" w:val="left" w:leader="none"/>
        </w:tabs>
        <w:spacing w:line="232" w:lineRule="auto" w:before="0" w:after="0"/>
        <w:ind w:left="180" w:right="177" w:firstLine="0"/>
        <w:jc w:val="left"/>
        <w:rPr>
          <w:sz w:val="18"/>
        </w:rPr>
      </w:pPr>
      <w:r>
        <w:rPr>
          <w:color w:val="231F20"/>
          <w:sz w:val="18"/>
        </w:rPr>
        <w:t>Personal sector M4 rose more rapidly in October, possibly due to the Northern Rock and Scottish Amicable windfalls. The underlying strength of persons’ M4 in the month did not appear </w:t>
      </w:r>
      <w:r>
        <w:rPr>
          <w:color w:val="231F20"/>
          <w:spacing w:val="-9"/>
          <w:sz w:val="18"/>
        </w:rPr>
        <w:t>to </w:t>
      </w:r>
      <w:r>
        <w:rPr>
          <w:color w:val="231F20"/>
          <w:sz w:val="18"/>
        </w:rPr>
        <w:t>be a function of a reallocation within savings portfolios, as PEP holdings had also grown relatively strongly in October. The estimated rise in personal sector M4 in Q3 had been revised up slightly, because of a reallocation of deposits from ICCs to unincorporated businesses, which are part of the personal sector. Strong flows into unincorporated businesses had in fact been behind the growth in personal sector deposits in Q3; the quarterly growth rate of individuals’ deposits slowed from 1.5% to 0.7%.</w:t>
      </w:r>
    </w:p>
    <w:p>
      <w:pPr>
        <w:pStyle w:val="BodyText"/>
        <w:spacing w:before="4"/>
      </w:pPr>
    </w:p>
    <w:p>
      <w:pPr>
        <w:pStyle w:val="ListParagraph"/>
        <w:numPr>
          <w:ilvl w:val="0"/>
          <w:numId w:val="36"/>
        </w:numPr>
        <w:tabs>
          <w:tab w:pos="659" w:val="left" w:leader="none"/>
          <w:tab w:pos="661" w:val="left" w:leader="none"/>
        </w:tabs>
        <w:spacing w:line="232" w:lineRule="auto" w:before="0" w:after="0"/>
        <w:ind w:left="180" w:right="52" w:firstLine="0"/>
        <w:jc w:val="left"/>
        <w:rPr>
          <w:sz w:val="18"/>
        </w:rPr>
      </w:pPr>
      <w:r>
        <w:rPr>
          <w:color w:val="231F20"/>
          <w:sz w:val="18"/>
        </w:rPr>
        <w:t>Looking at a split of retail M4 deposits in October, bank deposit inflows had been stronger than for some time, possibly reflecting deposits made by individuals who had sold shares from the Northern Rock demutualisation and payments made when Scottish Amicable demutualised. But the flow into building </w:t>
      </w:r>
      <w:r>
        <w:rPr>
          <w:color w:val="231F20"/>
          <w:spacing w:val="-3"/>
          <w:sz w:val="18"/>
        </w:rPr>
        <w:t>society </w:t>
      </w:r>
      <w:r>
        <w:rPr>
          <w:color w:val="231F20"/>
          <w:sz w:val="18"/>
        </w:rPr>
        <w:t>deposits had remained strong, perhaps reflecting speculation on future windfalls. (The Nationwide’s decision to prevent new members benefiting from a possible future demutualisation had not come into effect until 3 November.)</w:t>
      </w:r>
    </w:p>
    <w:p>
      <w:pPr>
        <w:pStyle w:val="BodyText"/>
        <w:spacing w:before="6"/>
      </w:pPr>
    </w:p>
    <w:p>
      <w:pPr>
        <w:pStyle w:val="ListParagraph"/>
        <w:numPr>
          <w:ilvl w:val="0"/>
          <w:numId w:val="36"/>
        </w:numPr>
        <w:tabs>
          <w:tab w:pos="659" w:val="left" w:leader="none"/>
          <w:tab w:pos="661" w:val="left" w:leader="none"/>
        </w:tabs>
        <w:spacing w:line="232" w:lineRule="auto" w:before="0" w:after="0"/>
        <w:ind w:left="180" w:right="38" w:firstLine="0"/>
        <w:jc w:val="left"/>
        <w:rPr>
          <w:sz w:val="18"/>
        </w:rPr>
      </w:pPr>
      <w:r>
        <w:rPr>
          <w:color w:val="231F20"/>
          <w:sz w:val="18"/>
        </w:rPr>
        <w:t>Although OFIs’ deposits had fallen in October, they had risen considerably  between 1995 Q1 and 1997 Q3.  Was this purely a function of structural changes in OFIs’ desired asset portfolios or did it represent a possible accumulation of excess money balances? Several institutional or regulatory changes over recent years might have affected pension funds’ portfolio behaviour. These included: the increasing number of closed or maturing occupational pension schemes, which needed to match their liabilities with less risky assets of similar maturities; the Minimum Funding Requirement (introduced by the Pensions Act of 1995) which encouraged pension funds, close to their solvency margins, to switch out of equities; and the abolition of ACT </w:t>
      </w:r>
      <w:r>
        <w:rPr>
          <w:color w:val="231F20"/>
          <w:spacing w:val="-3"/>
          <w:sz w:val="18"/>
        </w:rPr>
        <w:t>rebates </w:t>
      </w:r>
      <w:r>
        <w:rPr>
          <w:color w:val="231F20"/>
          <w:sz w:val="18"/>
        </w:rPr>
        <w:t>in the July Budget, which lowered the after-tax return on pension funds’ UK equity holdings. These factors might have encouraged pension funds to hold more assets which were capital-certain in nominal terms, with the choice between bonds and M4 deposits depending on expected returns. Pension funds had, in fact, made </w:t>
      </w:r>
      <w:r>
        <w:rPr>
          <w:color w:val="231F20"/>
          <w:spacing w:val="-7"/>
          <w:sz w:val="18"/>
        </w:rPr>
        <w:t>an </w:t>
      </w:r>
      <w:r>
        <w:rPr>
          <w:color w:val="231F20"/>
          <w:sz w:val="18"/>
        </w:rPr>
        <w:t>unprecedented switch out of UK equities over the past three years, but had moved into gilts as well as M4 balances. And the rise in</w:t>
      </w:r>
    </w:p>
    <w:p>
      <w:pPr>
        <w:pStyle w:val="BodyText"/>
        <w:spacing w:line="232" w:lineRule="auto" w:before="98"/>
        <w:ind w:left="180" w:right="367"/>
      </w:pPr>
      <w:r>
        <w:rPr/>
        <w:br w:type="column"/>
      </w:r>
      <w:r>
        <w:rPr>
          <w:color w:val="231F20"/>
        </w:rPr>
        <w:t>OFIs’ M4 holdings was due not only to pension funds but also to life assurance funds, which had not been affected by the institutional changes described above.</w:t>
      </w:r>
    </w:p>
    <w:p>
      <w:pPr>
        <w:pStyle w:val="BodyText"/>
        <w:spacing w:before="10"/>
      </w:pPr>
    </w:p>
    <w:p>
      <w:pPr>
        <w:pStyle w:val="ListParagraph"/>
        <w:numPr>
          <w:ilvl w:val="0"/>
          <w:numId w:val="36"/>
        </w:numPr>
        <w:tabs>
          <w:tab w:pos="659" w:val="left" w:leader="none"/>
          <w:tab w:pos="661" w:val="left" w:leader="none"/>
        </w:tabs>
        <w:spacing w:line="232" w:lineRule="auto" w:before="0" w:after="0"/>
        <w:ind w:left="180" w:right="206" w:firstLine="0"/>
        <w:jc w:val="left"/>
        <w:rPr>
          <w:sz w:val="18"/>
        </w:rPr>
      </w:pPr>
      <w:r>
        <w:rPr>
          <w:color w:val="231F20"/>
          <w:sz w:val="18"/>
        </w:rPr>
        <w:t>A number of other developments could have influenced </w:t>
      </w:r>
      <w:r>
        <w:rPr>
          <w:color w:val="231F20"/>
          <w:spacing w:val="-5"/>
          <w:sz w:val="18"/>
        </w:rPr>
        <w:t>both </w:t>
      </w:r>
      <w:r>
        <w:rPr>
          <w:color w:val="231F20"/>
          <w:sz w:val="18"/>
        </w:rPr>
        <w:t>life assurance and pension fund portfolios. During 1995 and 1996, cash-financed mergers and acquisition activity, together with share buy-backs, might have contributed directly to higher holdings of M4.  The downward slope of the yield curve may also have induced a substitution from bonds to bank deposits. And fears of a stockmarket downturn might have led some L</w:t>
      </w:r>
      <w:r>
        <w:rPr>
          <w:color w:val="231F20"/>
          <w:sz w:val="14"/>
        </w:rPr>
        <w:t>APFs </w:t>
      </w:r>
      <w:r>
        <w:rPr>
          <w:color w:val="231F20"/>
          <w:sz w:val="18"/>
        </w:rPr>
        <w:t>to switch into M4 deposits.</w:t>
      </w:r>
    </w:p>
    <w:p>
      <w:pPr>
        <w:pStyle w:val="BodyText"/>
        <w:spacing w:before="7"/>
      </w:pPr>
    </w:p>
    <w:p>
      <w:pPr>
        <w:pStyle w:val="ListParagraph"/>
        <w:numPr>
          <w:ilvl w:val="0"/>
          <w:numId w:val="36"/>
        </w:numPr>
        <w:tabs>
          <w:tab w:pos="659" w:val="left" w:leader="none"/>
          <w:tab w:pos="661" w:val="left" w:leader="none"/>
        </w:tabs>
        <w:spacing w:line="232" w:lineRule="auto" w:before="0" w:after="0"/>
        <w:ind w:left="180" w:right="261" w:firstLine="0"/>
        <w:jc w:val="left"/>
        <w:rPr>
          <w:sz w:val="18"/>
        </w:rPr>
      </w:pPr>
      <w:r>
        <w:rPr>
          <w:color w:val="231F20"/>
          <w:sz w:val="18"/>
        </w:rPr>
        <w:t>A further factor affecting OFIs’ M4 was the introduction of the gilt repo market in January 1996, and the more recent pick-up of activity in other types of repo business. Gilt repos had enabled OFIs and banks to mobilise gilts more easily as collateral for secured borrowing and lending, causing an increase in M4 and </w:t>
      </w:r>
      <w:r>
        <w:rPr>
          <w:color w:val="231F20"/>
          <w:spacing w:val="-9"/>
          <w:sz w:val="18"/>
        </w:rPr>
        <w:t>M4 </w:t>
      </w:r>
      <w:r>
        <w:rPr>
          <w:color w:val="231F20"/>
          <w:sz w:val="18"/>
        </w:rPr>
        <w:t>lending. But repo business could simply be substituting for other forms of wholesale money market transactions. Even excluding repo activity, OFIs’ M4 growth had still been high.</w:t>
      </w:r>
    </w:p>
    <w:p>
      <w:pPr>
        <w:pStyle w:val="BodyText"/>
        <w:spacing w:before="7"/>
      </w:pPr>
    </w:p>
    <w:p>
      <w:pPr>
        <w:pStyle w:val="ListParagraph"/>
        <w:numPr>
          <w:ilvl w:val="0"/>
          <w:numId w:val="36"/>
        </w:numPr>
        <w:tabs>
          <w:tab w:pos="659" w:val="left" w:leader="none"/>
          <w:tab w:pos="661" w:val="left" w:leader="none"/>
        </w:tabs>
        <w:spacing w:line="232" w:lineRule="auto" w:before="0" w:after="0"/>
        <w:ind w:left="180" w:right="387" w:firstLine="0"/>
        <w:jc w:val="left"/>
        <w:rPr>
          <w:sz w:val="18"/>
        </w:rPr>
      </w:pPr>
      <w:r>
        <w:rPr>
          <w:color w:val="231F20"/>
          <w:sz w:val="18"/>
        </w:rPr>
        <w:t>M4 lending increased by only 0.1% in October. The weakness was more than accounted for by a fall in reverse </w:t>
      </w:r>
      <w:r>
        <w:rPr>
          <w:color w:val="231F20"/>
          <w:spacing w:val="-3"/>
          <w:sz w:val="18"/>
        </w:rPr>
        <w:t>repos. </w:t>
      </w:r>
      <w:r>
        <w:rPr>
          <w:color w:val="231F20"/>
          <w:sz w:val="18"/>
        </w:rPr>
        <w:t>Nevertheless, there did appear to be a weakening trend in M4 lending, with the six-month and three-month annualised rates of increase below the twelve-month rate since July.</w:t>
      </w:r>
    </w:p>
    <w:p>
      <w:pPr>
        <w:pStyle w:val="BodyText"/>
        <w:spacing w:before="9"/>
      </w:pPr>
    </w:p>
    <w:p>
      <w:pPr>
        <w:pStyle w:val="ListParagraph"/>
        <w:numPr>
          <w:ilvl w:val="0"/>
          <w:numId w:val="36"/>
        </w:numPr>
        <w:tabs>
          <w:tab w:pos="659" w:val="left" w:leader="none"/>
          <w:tab w:pos="661" w:val="left" w:leader="none"/>
        </w:tabs>
        <w:spacing w:line="232" w:lineRule="auto" w:before="0" w:after="0"/>
        <w:ind w:left="180" w:right="156" w:firstLine="0"/>
        <w:jc w:val="left"/>
        <w:rPr>
          <w:sz w:val="18"/>
        </w:rPr>
      </w:pPr>
      <w:r>
        <w:rPr>
          <w:color w:val="231F20"/>
          <w:sz w:val="18"/>
        </w:rPr>
        <w:t>The sectoral breakdown showed that the twelve-month growth rate of M4 lending to persons in October was steady. Unsecured lending remained robust, although the twelve-month </w:t>
      </w:r>
      <w:r>
        <w:rPr>
          <w:color w:val="231F20"/>
          <w:spacing w:val="-5"/>
          <w:sz w:val="18"/>
        </w:rPr>
        <w:t>rate </w:t>
      </w:r>
      <w:r>
        <w:rPr>
          <w:color w:val="231F20"/>
          <w:sz w:val="18"/>
        </w:rPr>
        <w:t>fell back slightly in October;  secured lending had continued to grow at around 6%.</w:t>
      </w:r>
    </w:p>
    <w:p>
      <w:pPr>
        <w:pStyle w:val="BodyText"/>
        <w:spacing w:before="9"/>
      </w:pPr>
    </w:p>
    <w:p>
      <w:pPr>
        <w:pStyle w:val="ListParagraph"/>
        <w:numPr>
          <w:ilvl w:val="0"/>
          <w:numId w:val="36"/>
        </w:numPr>
        <w:tabs>
          <w:tab w:pos="659" w:val="left" w:leader="none"/>
          <w:tab w:pos="661" w:val="left" w:leader="none"/>
        </w:tabs>
        <w:spacing w:line="232" w:lineRule="auto" w:before="0" w:after="0"/>
        <w:ind w:left="180" w:right="161" w:firstLine="0"/>
        <w:jc w:val="left"/>
        <w:rPr>
          <w:sz w:val="18"/>
        </w:rPr>
      </w:pPr>
      <w:r>
        <w:rPr>
          <w:color w:val="231F20"/>
          <w:sz w:val="18"/>
        </w:rPr>
        <w:t>M4 lending to ICCs grew by 0.3% in October, after a small fall in Q3, but this was not enough to boost the twelve-month growth rate, which fell further in October to 2.4%. The general weakness of M4 lending to ICCs did not simply reflect their greater use of the sterling capital markets: the total flow of sterling borrowing by ICCs was falling. The flow of ICCs’ internally generated finance had been broadly stable. However, there had been a build-up in foreign currency capital issues during 1997, although these had fallen back in October. ICCs’ foreign currency borrowing from UK banks had also increased in Q3 after slowing </w:t>
      </w:r>
      <w:r>
        <w:rPr>
          <w:color w:val="231F20"/>
          <w:spacing w:val="-9"/>
          <w:sz w:val="18"/>
        </w:rPr>
        <w:t>in </w:t>
      </w:r>
      <w:r>
        <w:rPr>
          <w:color w:val="231F20"/>
          <w:sz w:val="18"/>
        </w:rPr>
        <w:t>Q2. M4 lending to OFIs fell in October, on account of a fall in reverse repo activity: there were anecdotal suggestions that some OFIs had unwound positions financed by reverse repos, possibly because of developments in financial markets.</w:t>
      </w:r>
    </w:p>
    <w:p>
      <w:pPr>
        <w:pStyle w:val="BodyText"/>
        <w:spacing w:before="2"/>
      </w:pPr>
    </w:p>
    <w:p>
      <w:pPr>
        <w:pStyle w:val="ListParagraph"/>
        <w:numPr>
          <w:ilvl w:val="0"/>
          <w:numId w:val="36"/>
        </w:numPr>
        <w:tabs>
          <w:tab w:pos="659" w:val="left" w:leader="none"/>
          <w:tab w:pos="661" w:val="left" w:leader="none"/>
        </w:tabs>
        <w:spacing w:line="232" w:lineRule="auto" w:before="0" w:after="0"/>
        <w:ind w:left="180" w:right="221" w:firstLine="0"/>
        <w:jc w:val="left"/>
        <w:rPr>
          <w:sz w:val="18"/>
        </w:rPr>
      </w:pPr>
      <w:r>
        <w:rPr>
          <w:color w:val="231F20"/>
          <w:sz w:val="18"/>
        </w:rPr>
        <w:t>Net sterling and foreign currency lending overseas by UK banks had continued to drive a wedge between M4 and M4 </w:t>
      </w:r>
      <w:r>
        <w:rPr>
          <w:color w:val="231F20"/>
          <w:spacing w:val="-3"/>
          <w:sz w:val="18"/>
        </w:rPr>
        <w:t>lending </w:t>
      </w:r>
      <w:r>
        <w:rPr>
          <w:color w:val="231F20"/>
          <w:sz w:val="18"/>
        </w:rPr>
        <w:t>in October. A slowdown in M4 lending would not inevitably </w:t>
      </w:r>
      <w:r>
        <w:rPr>
          <w:color w:val="231F20"/>
          <w:spacing w:val="-3"/>
          <w:sz w:val="18"/>
        </w:rPr>
        <w:t>bring </w:t>
      </w:r>
      <w:r>
        <w:rPr>
          <w:color w:val="231F20"/>
          <w:sz w:val="18"/>
        </w:rPr>
        <w:t>M4 growth down if lending overseas remained strong and flowed back into the UK as sterling deposits in the future.</w:t>
      </w:r>
    </w:p>
    <w:p>
      <w:pPr>
        <w:pStyle w:val="BodyText"/>
        <w:spacing w:before="9"/>
      </w:pPr>
    </w:p>
    <w:p>
      <w:pPr>
        <w:pStyle w:val="ListParagraph"/>
        <w:numPr>
          <w:ilvl w:val="0"/>
          <w:numId w:val="36"/>
        </w:numPr>
        <w:tabs>
          <w:tab w:pos="659" w:val="left" w:leader="none"/>
          <w:tab w:pos="661" w:val="left" w:leader="none"/>
        </w:tabs>
        <w:spacing w:line="232" w:lineRule="auto" w:before="1" w:after="0"/>
        <w:ind w:left="180" w:right="236" w:firstLine="0"/>
        <w:jc w:val="left"/>
        <w:rPr>
          <w:sz w:val="18"/>
        </w:rPr>
      </w:pPr>
      <w:r>
        <w:rPr>
          <w:color w:val="231F20"/>
          <w:sz w:val="18"/>
        </w:rPr>
        <w:t>Since the previous MPC meeting, the short end of the yield curve had moved up as a result of the rise in the official repo rate. Estimated real rates had also risen at the short end. Short real </w:t>
      </w:r>
      <w:r>
        <w:rPr>
          <w:color w:val="231F20"/>
          <w:spacing w:val="-4"/>
          <w:sz w:val="18"/>
        </w:rPr>
        <w:t>rates </w:t>
      </w:r>
      <w:r>
        <w:rPr>
          <w:color w:val="231F20"/>
          <w:sz w:val="18"/>
        </w:rPr>
        <w:t>had remained above the ten-year real forward rate, which was a possible proxy for an equilibrium short real rate.</w:t>
      </w:r>
    </w:p>
    <w:p>
      <w:pPr>
        <w:pStyle w:val="BodyText"/>
        <w:spacing w:before="9"/>
      </w:pPr>
    </w:p>
    <w:p>
      <w:pPr>
        <w:pStyle w:val="ListParagraph"/>
        <w:numPr>
          <w:ilvl w:val="0"/>
          <w:numId w:val="36"/>
        </w:numPr>
        <w:tabs>
          <w:tab w:pos="659" w:val="left" w:leader="none"/>
          <w:tab w:pos="661" w:val="left" w:leader="none"/>
        </w:tabs>
        <w:spacing w:line="232" w:lineRule="auto" w:before="0" w:after="0"/>
        <w:ind w:left="180" w:right="361" w:firstLine="0"/>
        <w:jc w:val="left"/>
        <w:rPr>
          <w:sz w:val="18"/>
        </w:rPr>
      </w:pPr>
      <w:r>
        <w:rPr>
          <w:color w:val="231F20"/>
          <w:sz w:val="18"/>
        </w:rPr>
        <w:t>There had been little pass-through of the latest official </w:t>
      </w:r>
      <w:r>
        <w:rPr>
          <w:color w:val="231F20"/>
          <w:spacing w:val="-5"/>
          <w:sz w:val="18"/>
        </w:rPr>
        <w:t>rate </w:t>
      </w:r>
      <w:r>
        <w:rPr>
          <w:color w:val="231F20"/>
          <w:sz w:val="18"/>
        </w:rPr>
        <w:t>change to the retail market, except on unsecured loans. The opposite was true of the cumulative increases since May.</w:t>
      </w:r>
    </w:p>
    <w:p>
      <w:pPr>
        <w:pStyle w:val="BodyText"/>
        <w:spacing w:line="196" w:lineRule="exact"/>
        <w:ind w:left="180"/>
      </w:pPr>
      <w:r>
        <w:rPr>
          <w:color w:val="231F20"/>
        </w:rPr>
        <w:t>Excluding the last rise, there had been almost complete</w:t>
      </w:r>
    </w:p>
    <w:p>
      <w:pPr>
        <w:pStyle w:val="BodyText"/>
        <w:spacing w:line="203" w:lineRule="exact"/>
        <w:ind w:left="180"/>
      </w:pPr>
      <w:r>
        <w:rPr>
          <w:color w:val="231F20"/>
        </w:rPr>
        <w:t>pass-through of official rates into deposit accounts and standard</w:t>
      </w:r>
    </w:p>
    <w:p>
      <w:pPr>
        <w:spacing w:after="0" w:line="203" w:lineRule="exact"/>
        <w:sectPr>
          <w:type w:val="continuous"/>
          <w:pgSz w:w="11880" w:h="16840"/>
          <w:pgMar w:top="1200" w:bottom="280" w:left="620" w:right="620"/>
          <w:cols w:num="2" w:equalWidth="0">
            <w:col w:w="5125" w:space="268"/>
            <w:col w:w="5247"/>
          </w:cols>
        </w:sectPr>
      </w:pPr>
    </w:p>
    <w:p>
      <w:pPr>
        <w:pStyle w:val="BodyText"/>
        <w:rPr>
          <w:sz w:val="20"/>
        </w:rPr>
      </w:pPr>
    </w:p>
    <w:p>
      <w:pPr>
        <w:spacing w:after="0"/>
        <w:rPr>
          <w:sz w:val="20"/>
        </w:rPr>
        <w:sectPr>
          <w:pgSz w:w="11880" w:h="16840"/>
          <w:pgMar w:header="566" w:footer="597" w:top="760" w:bottom="780" w:left="620" w:right="620"/>
        </w:sectPr>
      </w:pPr>
    </w:p>
    <w:p>
      <w:pPr>
        <w:pStyle w:val="BodyText"/>
        <w:spacing w:before="4"/>
        <w:rPr>
          <w:sz w:val="21"/>
        </w:rPr>
      </w:pPr>
    </w:p>
    <w:p>
      <w:pPr>
        <w:pStyle w:val="BodyText"/>
        <w:spacing w:line="232" w:lineRule="auto" w:before="1"/>
        <w:ind w:left="200" w:right="35"/>
      </w:pPr>
      <w:r>
        <w:rPr>
          <w:color w:val="231F20"/>
        </w:rPr>
        <w:t>variable rate mortgages, but little into unsecured lending. Around a quarter of mortgages had their rates reviewed annually, most of these were due at the year end. Five-year fixed mortgage rates had fallen as the yield curve had inverted, and reports suggested that new fixed-rate mortgage business was strong.</w:t>
      </w:r>
    </w:p>
    <w:p>
      <w:pPr>
        <w:pStyle w:val="BodyText"/>
        <w:spacing w:before="9"/>
      </w:pPr>
    </w:p>
    <w:p>
      <w:pPr>
        <w:pStyle w:val="ListParagraph"/>
        <w:numPr>
          <w:ilvl w:val="0"/>
          <w:numId w:val="36"/>
        </w:numPr>
        <w:tabs>
          <w:tab w:pos="679" w:val="left" w:leader="none"/>
          <w:tab w:pos="681" w:val="left" w:leader="none"/>
        </w:tabs>
        <w:spacing w:line="232" w:lineRule="auto" w:before="0" w:after="0"/>
        <w:ind w:left="200" w:right="38" w:firstLine="0"/>
        <w:jc w:val="left"/>
        <w:rPr>
          <w:sz w:val="18"/>
        </w:rPr>
      </w:pPr>
      <w:r>
        <w:rPr>
          <w:color w:val="231F20"/>
          <w:sz w:val="18"/>
        </w:rPr>
        <w:t>An examination of earlier interest rate cycles showed that pass-through had been quicker this time, but that the spread of </w:t>
      </w:r>
      <w:r>
        <w:rPr>
          <w:color w:val="231F20"/>
          <w:spacing w:val="-3"/>
          <w:sz w:val="18"/>
        </w:rPr>
        <w:t>retail </w:t>
      </w:r>
      <w:r>
        <w:rPr>
          <w:color w:val="231F20"/>
          <w:sz w:val="18"/>
        </w:rPr>
        <w:t>rates over the official rate was lower now than it had been at the peaks of previous official interest rate cycles. (The comparisons were made between June 1988—October 1989, September 1994— February 1995 and May 1997—November 1997.) Further comparisons showed that the two-year real spot rate was roughly the same now as it had been at the peak of previous interest rate cycles; but ten-year real forward rates were lower: it was difficult to judge whether the ten-year forward rate had been affected by some of the institutional factors affecting pension funds referred to above.</w:t>
      </w:r>
    </w:p>
    <w:p>
      <w:pPr>
        <w:pStyle w:val="BodyText"/>
        <w:spacing w:before="3"/>
      </w:pPr>
    </w:p>
    <w:p>
      <w:pPr>
        <w:pStyle w:val="ListParagraph"/>
        <w:numPr>
          <w:ilvl w:val="0"/>
          <w:numId w:val="36"/>
        </w:numPr>
        <w:tabs>
          <w:tab w:pos="679" w:val="left" w:leader="none"/>
          <w:tab w:pos="681" w:val="left" w:leader="none"/>
        </w:tabs>
        <w:spacing w:line="232" w:lineRule="auto" w:before="0" w:after="0"/>
        <w:ind w:left="199" w:right="58" w:firstLine="0"/>
        <w:jc w:val="left"/>
        <w:rPr>
          <w:sz w:val="18"/>
        </w:rPr>
      </w:pPr>
      <w:r>
        <w:rPr>
          <w:color w:val="231F20"/>
          <w:sz w:val="18"/>
        </w:rPr>
        <w:t>As at 3 December, the nominal effective exchange rate </w:t>
      </w:r>
      <w:r>
        <w:rPr>
          <w:color w:val="231F20"/>
          <w:spacing w:val="-4"/>
          <w:sz w:val="18"/>
        </w:rPr>
        <w:t>index </w:t>
      </w:r>
      <w:r>
        <w:rPr>
          <w:color w:val="231F20"/>
          <w:sz w:val="18"/>
        </w:rPr>
        <w:t>had appreciated by 2.8% since the previous MPC meeting and by 3.2% from the level used in the projections in the November </w:t>
      </w:r>
      <w:r>
        <w:rPr>
          <w:i/>
          <w:color w:val="231F20"/>
          <w:sz w:val="18"/>
        </w:rPr>
        <w:t>Inflation Report </w:t>
      </w:r>
      <w:r>
        <w:rPr>
          <w:color w:val="231F20"/>
          <w:sz w:val="18"/>
        </w:rPr>
        <w:t>forecast. The change could not be explained by reference to the uncovered interest parity condition using forward interest rate differentials. Nor could it be explained by unexpected shifts in UK monetary policy relative to the rest of the world. This left other unforeseen shocks: important among which were events in Japan; the appreciation of sterling against the yen had accounted for around 0.6 percentage points of the appreciation in the sterling exchange rate index since the November </w:t>
      </w:r>
      <w:r>
        <w:rPr>
          <w:i/>
          <w:color w:val="231F20"/>
          <w:sz w:val="18"/>
        </w:rPr>
        <w:t>Inflation Report</w:t>
      </w:r>
      <w:r>
        <w:rPr>
          <w:color w:val="231F20"/>
          <w:sz w:val="18"/>
        </w:rPr>
        <w:t>, and might be explained by a change in the foreign currency risk premium in sterling’s favour given the financial fragility concerns there.</w:t>
      </w:r>
    </w:p>
    <w:p>
      <w:pPr>
        <w:pStyle w:val="BodyText"/>
        <w:spacing w:before="8"/>
        <w:rPr>
          <w:sz w:val="26"/>
        </w:rPr>
      </w:pPr>
    </w:p>
    <w:p>
      <w:pPr>
        <w:pStyle w:val="Heading7"/>
        <w:numPr>
          <w:ilvl w:val="0"/>
          <w:numId w:val="37"/>
        </w:numPr>
        <w:tabs>
          <w:tab w:pos="680" w:val="left" w:leader="none"/>
          <w:tab w:pos="681" w:val="left" w:leader="none"/>
        </w:tabs>
        <w:spacing w:line="240" w:lineRule="auto" w:before="0" w:after="0"/>
        <w:ind w:left="680" w:right="0" w:hanging="481"/>
        <w:jc w:val="left"/>
      </w:pPr>
      <w:r>
        <w:rPr>
          <w:color w:val="009483"/>
        </w:rPr>
        <w:t>Demand and output</w:t>
      </w:r>
    </w:p>
    <w:p>
      <w:pPr>
        <w:pStyle w:val="ListParagraph"/>
        <w:numPr>
          <w:ilvl w:val="0"/>
          <w:numId w:val="36"/>
        </w:numPr>
        <w:tabs>
          <w:tab w:pos="679" w:val="left" w:leader="none"/>
          <w:tab w:pos="681" w:val="left" w:leader="none"/>
        </w:tabs>
        <w:spacing w:line="232" w:lineRule="auto" w:before="110" w:after="0"/>
        <w:ind w:left="199" w:right="132" w:firstLine="0"/>
        <w:jc w:val="left"/>
        <w:rPr>
          <w:sz w:val="18"/>
        </w:rPr>
      </w:pPr>
      <w:r>
        <w:rPr>
          <w:color w:val="231F20"/>
          <w:sz w:val="18"/>
        </w:rPr>
        <w:t>The second estimate of GDP for 1997 Q3 had been published in November. This provided the first estimates of GDP expenditure components. It was not clear how much weight to </w:t>
      </w:r>
      <w:r>
        <w:rPr>
          <w:color w:val="231F20"/>
          <w:spacing w:val="-4"/>
          <w:sz w:val="18"/>
        </w:rPr>
        <w:t>put </w:t>
      </w:r>
      <w:r>
        <w:rPr>
          <w:color w:val="231F20"/>
          <w:sz w:val="18"/>
        </w:rPr>
        <w:t>on these components, as they were often revised significantly before the third GDP estimate—the main revisions to GDP </w:t>
      </w:r>
      <w:r>
        <w:rPr>
          <w:color w:val="231F20"/>
          <w:spacing w:val="-3"/>
          <w:sz w:val="18"/>
        </w:rPr>
        <w:t>growth </w:t>
      </w:r>
      <w:r>
        <w:rPr>
          <w:color w:val="231F20"/>
          <w:sz w:val="18"/>
        </w:rPr>
        <w:t>tended to occur after the third estimate had been published. The new data showed domestic demand weakening considerably in Q3 as private consumption growth slowed and investment fell. Offsetting this, net trade made a positive contribution to GDP growth. The C</w:t>
      </w:r>
      <w:r>
        <w:rPr>
          <w:color w:val="231F20"/>
          <w:sz w:val="14"/>
        </w:rPr>
        <w:t>IPS </w:t>
      </w:r>
      <w:r>
        <w:rPr>
          <w:color w:val="231F20"/>
          <w:sz w:val="18"/>
        </w:rPr>
        <w:t>survey suggested that services output was continuing to grow rapidly, though less rapidly than in the spring, and that manufacturing output was continuing to grow.</w:t>
      </w:r>
    </w:p>
    <w:p>
      <w:pPr>
        <w:pStyle w:val="BodyText"/>
        <w:spacing w:before="3"/>
      </w:pPr>
    </w:p>
    <w:p>
      <w:pPr>
        <w:pStyle w:val="ListParagraph"/>
        <w:numPr>
          <w:ilvl w:val="0"/>
          <w:numId w:val="36"/>
        </w:numPr>
        <w:tabs>
          <w:tab w:pos="679" w:val="left" w:leader="none"/>
          <w:tab w:pos="681" w:val="left" w:leader="none"/>
        </w:tabs>
        <w:spacing w:line="232" w:lineRule="auto" w:before="0" w:after="0"/>
        <w:ind w:left="199" w:right="122" w:firstLine="0"/>
        <w:jc w:val="left"/>
        <w:rPr>
          <w:sz w:val="18"/>
        </w:rPr>
      </w:pPr>
      <w:r>
        <w:rPr>
          <w:color w:val="231F20"/>
          <w:sz w:val="18"/>
        </w:rPr>
        <w:t>Consumption, particularly of services, now seemed likely </w:t>
      </w:r>
      <w:r>
        <w:rPr>
          <w:color w:val="231F20"/>
          <w:spacing w:val="-9"/>
          <w:sz w:val="18"/>
        </w:rPr>
        <w:t>to </w:t>
      </w:r>
      <w:r>
        <w:rPr>
          <w:color w:val="231F20"/>
          <w:sz w:val="18"/>
        </w:rPr>
        <w:t>have been weaker than Bank staff had expected. The death of Diana, Princess of Wales, might have affected spending by more than Bank staff had assumed, and there might not have been as much windfall-related spending as Bank staff had expected on services such as foreign holidays. At this stage, the data on both effects were probably incomplete.</w:t>
      </w:r>
    </w:p>
    <w:p>
      <w:pPr>
        <w:pStyle w:val="BodyText"/>
        <w:spacing w:before="8"/>
      </w:pPr>
    </w:p>
    <w:p>
      <w:pPr>
        <w:pStyle w:val="ListParagraph"/>
        <w:numPr>
          <w:ilvl w:val="0"/>
          <w:numId w:val="36"/>
        </w:numPr>
        <w:tabs>
          <w:tab w:pos="679" w:val="left" w:leader="none"/>
          <w:tab w:pos="681" w:val="left" w:leader="none"/>
        </w:tabs>
        <w:spacing w:line="232" w:lineRule="auto" w:before="0" w:after="0"/>
        <w:ind w:left="199" w:right="67" w:firstLine="0"/>
        <w:jc w:val="left"/>
        <w:rPr>
          <w:sz w:val="18"/>
        </w:rPr>
      </w:pPr>
      <w:r>
        <w:rPr>
          <w:color w:val="231F20"/>
          <w:sz w:val="18"/>
        </w:rPr>
        <w:t>Retail sales increased by 2.8% in October—the largest monthly rise since April 1987. The increase was largely driven by sectors where sales had fallen most during September (household goods’ sales had been affected by the death of Diana, Princess of Wales and sales of clothing and footwear had also been depressed by the unusually warm September). Nevertheless, the large increase was probably an indication that goods consumption would grow strongly in Q4. Consumer confidence, though falling, remained high. The CBI distributive trades survey suggested some softening of retail sales in November, though it was not expected </w:t>
      </w:r>
      <w:r>
        <w:rPr>
          <w:color w:val="231F20"/>
          <w:spacing w:val="-9"/>
          <w:sz w:val="18"/>
        </w:rPr>
        <w:t>to </w:t>
      </w:r>
      <w:r>
        <w:rPr>
          <w:color w:val="231F20"/>
          <w:sz w:val="18"/>
        </w:rPr>
        <w:t>last.</w:t>
      </w:r>
    </w:p>
    <w:p>
      <w:pPr>
        <w:pStyle w:val="BodyText"/>
        <w:spacing w:before="1"/>
        <w:rPr>
          <w:sz w:val="20"/>
        </w:rPr>
      </w:pPr>
    </w:p>
    <w:p>
      <w:pPr>
        <w:pStyle w:val="ListParagraph"/>
        <w:numPr>
          <w:ilvl w:val="0"/>
          <w:numId w:val="36"/>
        </w:numPr>
        <w:tabs>
          <w:tab w:pos="679" w:val="left" w:leader="none"/>
          <w:tab w:pos="681" w:val="left" w:leader="none"/>
        </w:tabs>
        <w:spacing w:line="232" w:lineRule="auto" w:before="1" w:after="0"/>
        <w:ind w:left="199" w:right="562" w:firstLine="0"/>
        <w:jc w:val="left"/>
        <w:rPr>
          <w:sz w:val="18"/>
        </w:rPr>
      </w:pPr>
      <w:r>
        <w:rPr>
          <w:color w:val="231F20"/>
          <w:sz w:val="18"/>
        </w:rPr>
        <w:t>Investment fell by 1.2% in 1997 Q3, but rose by </w:t>
      </w:r>
      <w:r>
        <w:rPr>
          <w:color w:val="231F20"/>
          <w:spacing w:val="-5"/>
          <w:sz w:val="18"/>
        </w:rPr>
        <w:t>0.5% </w:t>
      </w:r>
      <w:r>
        <w:rPr>
          <w:color w:val="231F20"/>
          <w:sz w:val="18"/>
        </w:rPr>
        <w:t>excluding the volatile vehicle, ships and aircraft component.</w:t>
      </w:r>
    </w:p>
    <w:p>
      <w:pPr>
        <w:pStyle w:val="BodyText"/>
        <w:spacing w:before="4"/>
        <w:rPr>
          <w:sz w:val="21"/>
        </w:rPr>
      </w:pPr>
      <w:r>
        <w:rPr/>
        <w:br w:type="column"/>
      </w:r>
      <w:r>
        <w:rPr>
          <w:sz w:val="21"/>
        </w:rPr>
      </w:r>
    </w:p>
    <w:p>
      <w:pPr>
        <w:pStyle w:val="BodyText"/>
        <w:spacing w:line="232" w:lineRule="auto" w:before="1"/>
        <w:ind w:left="199" w:right="351"/>
      </w:pPr>
      <w:r>
        <w:rPr>
          <w:color w:val="231F20"/>
        </w:rPr>
        <w:t>Excluding vehicle, ships and aircraft, private service sector investment was essentially flat; manufacturing investment fell; and construction investment, though a small part of the total, remained strong. But upward revisions to total investment were likely.</w:t>
      </w:r>
    </w:p>
    <w:p>
      <w:pPr>
        <w:pStyle w:val="BodyText"/>
        <w:spacing w:before="9"/>
      </w:pPr>
    </w:p>
    <w:p>
      <w:pPr>
        <w:pStyle w:val="ListParagraph"/>
        <w:numPr>
          <w:ilvl w:val="0"/>
          <w:numId w:val="36"/>
        </w:numPr>
        <w:tabs>
          <w:tab w:pos="679" w:val="left" w:leader="none"/>
          <w:tab w:pos="681" w:val="left" w:leader="none"/>
        </w:tabs>
        <w:spacing w:line="232" w:lineRule="auto" w:before="0" w:after="0"/>
        <w:ind w:left="199" w:right="343" w:firstLine="0"/>
        <w:jc w:val="left"/>
        <w:rPr>
          <w:sz w:val="18"/>
        </w:rPr>
      </w:pPr>
      <w:r>
        <w:rPr>
          <w:color w:val="231F20"/>
          <w:sz w:val="18"/>
        </w:rPr>
        <w:t>Stocks rose by £1.1 billion at 1990 prices in Q3, including the ONS’s alignment adjustment—the largest rise since 1996 </w:t>
      </w:r>
      <w:r>
        <w:rPr>
          <w:color w:val="231F20"/>
          <w:spacing w:val="-6"/>
          <w:sz w:val="18"/>
        </w:rPr>
        <w:t>Q1. </w:t>
      </w:r>
      <w:r>
        <w:rPr>
          <w:color w:val="231F20"/>
          <w:sz w:val="18"/>
        </w:rPr>
        <w:t>Nevertheless, the Bank’s estimate of the stock-output ratio continued to fall.</w:t>
      </w:r>
    </w:p>
    <w:p>
      <w:pPr>
        <w:pStyle w:val="BodyText"/>
        <w:spacing w:before="9"/>
      </w:pPr>
    </w:p>
    <w:p>
      <w:pPr>
        <w:pStyle w:val="ListParagraph"/>
        <w:numPr>
          <w:ilvl w:val="0"/>
          <w:numId w:val="36"/>
        </w:numPr>
        <w:tabs>
          <w:tab w:pos="679" w:val="left" w:leader="none"/>
          <w:tab w:pos="681" w:val="left" w:leader="none"/>
        </w:tabs>
        <w:spacing w:line="232" w:lineRule="auto" w:before="1" w:after="0"/>
        <w:ind w:left="199" w:right="164" w:firstLine="0"/>
        <w:jc w:val="left"/>
        <w:rPr>
          <w:sz w:val="18"/>
        </w:rPr>
      </w:pPr>
      <w:r>
        <w:rPr>
          <w:color w:val="231F20"/>
          <w:sz w:val="18"/>
        </w:rPr>
        <w:t>There was no clear trend in the aggregate trade numbers; </w:t>
      </w:r>
      <w:r>
        <w:rPr>
          <w:color w:val="231F20"/>
          <w:spacing w:val="-6"/>
          <w:sz w:val="18"/>
        </w:rPr>
        <w:t>but </w:t>
      </w:r>
      <w:r>
        <w:rPr>
          <w:color w:val="231F20"/>
          <w:sz w:val="18"/>
        </w:rPr>
        <w:t>once erratic items were stripped away, there were signs of an underlying deterioration in Q3. In Q2, oil and erratics had more than offset the positive contribution to GDP from net trade in other goods;  this picture had been entirely reversed in Q3.  The weakness of trade in Q3 was mostly an export story, as import growth was still surprisingly subdued given the strength of domestic demand. The recent revisions to the trade numbers had not yet been incorporated into GDP.  But as exports and imports had both been revised, the net trade contribution to GDP had probably not changed much. The C</w:t>
      </w:r>
      <w:r>
        <w:rPr>
          <w:color w:val="231F20"/>
          <w:sz w:val="14"/>
        </w:rPr>
        <w:t>IPS </w:t>
      </w:r>
      <w:r>
        <w:rPr>
          <w:color w:val="231F20"/>
          <w:sz w:val="18"/>
        </w:rPr>
        <w:t>manufacturing survey suggested that export orders had been little changed in November, after having risen in October.</w:t>
      </w:r>
    </w:p>
    <w:p>
      <w:pPr>
        <w:pStyle w:val="BodyText"/>
        <w:spacing w:before="2"/>
      </w:pPr>
    </w:p>
    <w:p>
      <w:pPr>
        <w:pStyle w:val="ListParagraph"/>
        <w:numPr>
          <w:ilvl w:val="0"/>
          <w:numId w:val="36"/>
        </w:numPr>
        <w:tabs>
          <w:tab w:pos="679" w:val="left" w:leader="none"/>
          <w:tab w:pos="681" w:val="left" w:leader="none"/>
        </w:tabs>
        <w:spacing w:line="232" w:lineRule="auto" w:before="1" w:after="0"/>
        <w:ind w:left="200" w:right="244" w:firstLine="0"/>
        <w:jc w:val="left"/>
        <w:rPr>
          <w:sz w:val="18"/>
        </w:rPr>
      </w:pPr>
      <w:r>
        <w:rPr>
          <w:color w:val="231F20"/>
          <w:sz w:val="18"/>
        </w:rPr>
        <w:t>Was there a threat to net trade from the Asian crisis? A comparison was drawn with the United States, where there had </w:t>
      </w:r>
      <w:r>
        <w:rPr>
          <w:color w:val="231F20"/>
          <w:spacing w:val="-6"/>
          <w:sz w:val="18"/>
        </w:rPr>
        <w:t>not </w:t>
      </w:r>
      <w:r>
        <w:rPr>
          <w:color w:val="231F20"/>
          <w:sz w:val="18"/>
        </w:rPr>
        <w:t>been a substantial deterioration in the trade deficit since the dollar had started to rise in 1995 Q2. As in the United Kingdom until recently, US export volume growth had remained strong, because exporters had lowered their prices to offset the appreciation of the currency. Additionally, as in the United Kingdom, US exporters had benefited from strong demand in the non-O</w:t>
      </w:r>
      <w:r>
        <w:rPr>
          <w:color w:val="231F20"/>
          <w:sz w:val="14"/>
        </w:rPr>
        <w:t>ECD </w:t>
      </w:r>
      <w:r>
        <w:rPr>
          <w:color w:val="231F20"/>
          <w:sz w:val="18"/>
        </w:rPr>
        <w:t>area. Around one fifth of US export growth since 1995 Q2 had been accounted for by East Asia, while Mexico and Brazil had accounted for another third—much larger than their respective shares of US exports. This meant that the Asian crisis and its contagion effects on Latin America could have a more damaging impact on the US trade balance than the simple shares of these countries in US exports would suggest. This also applied to the United Kingdom and, to a lesser extent, Germany and France.</w:t>
      </w:r>
    </w:p>
    <w:p>
      <w:pPr>
        <w:pStyle w:val="BodyText"/>
      </w:pPr>
    </w:p>
    <w:p>
      <w:pPr>
        <w:pStyle w:val="ListParagraph"/>
        <w:numPr>
          <w:ilvl w:val="0"/>
          <w:numId w:val="36"/>
        </w:numPr>
        <w:tabs>
          <w:tab w:pos="679" w:val="left" w:leader="none"/>
          <w:tab w:pos="681" w:val="left" w:leader="none"/>
        </w:tabs>
        <w:spacing w:line="232" w:lineRule="auto" w:before="0" w:after="0"/>
        <w:ind w:left="200" w:right="194" w:firstLine="0"/>
        <w:jc w:val="left"/>
        <w:rPr>
          <w:sz w:val="18"/>
        </w:rPr>
      </w:pPr>
      <w:r>
        <w:rPr>
          <w:color w:val="231F20"/>
          <w:sz w:val="18"/>
        </w:rPr>
        <w:t>The Bank’s Agents reported on a survey of their contacts, which had asked about the impact of sterling’s appreciation on orders and output. There had been a significant downward impact on sterling export prices. But this effect was likely to be smaller in the future, and if sterling remained unchanged, the future effect should come through quickly. A small number of contacts had commented that they would be prepared to raise prices in the </w:t>
      </w:r>
      <w:r>
        <w:rPr>
          <w:color w:val="231F20"/>
          <w:spacing w:val="-3"/>
          <w:sz w:val="18"/>
        </w:rPr>
        <w:t>future </w:t>
      </w:r>
      <w:r>
        <w:rPr>
          <w:color w:val="231F20"/>
          <w:sz w:val="18"/>
        </w:rPr>
        <w:t>to restore their margins at the expense of reduced volumes.</w:t>
      </w:r>
    </w:p>
    <w:p>
      <w:pPr>
        <w:pStyle w:val="BodyText"/>
        <w:spacing w:before="4"/>
        <w:rPr>
          <w:sz w:val="20"/>
        </w:rPr>
      </w:pPr>
    </w:p>
    <w:p>
      <w:pPr>
        <w:pStyle w:val="ListParagraph"/>
        <w:numPr>
          <w:ilvl w:val="0"/>
          <w:numId w:val="36"/>
        </w:numPr>
        <w:tabs>
          <w:tab w:pos="679" w:val="left" w:leader="none"/>
          <w:tab w:pos="681" w:val="left" w:leader="none"/>
        </w:tabs>
        <w:spacing w:line="232" w:lineRule="auto" w:before="0" w:after="0"/>
        <w:ind w:left="200" w:right="339" w:firstLine="0"/>
        <w:jc w:val="left"/>
        <w:rPr>
          <w:sz w:val="18"/>
        </w:rPr>
      </w:pPr>
      <w:r>
        <w:rPr>
          <w:color w:val="231F20"/>
          <w:sz w:val="18"/>
        </w:rPr>
        <w:t>But the effect on overseas sales so far had mostly been moderate or non-existent, and contacts expected this to continue into the future. Some smaller companies had been surprisingly resilient, probably because they were more flexible in adapting </w:t>
      </w:r>
      <w:r>
        <w:rPr>
          <w:color w:val="231F20"/>
          <w:spacing w:val="-9"/>
          <w:sz w:val="18"/>
        </w:rPr>
        <w:t>to </w:t>
      </w:r>
      <w:r>
        <w:rPr>
          <w:color w:val="231F20"/>
          <w:sz w:val="18"/>
        </w:rPr>
        <w:t>the higher exchange rate. In a range of industries, particularly in the service sector, non-price factors had supported orders.</w:t>
      </w:r>
    </w:p>
    <w:p>
      <w:pPr>
        <w:pStyle w:val="BodyText"/>
        <w:spacing w:before="8"/>
      </w:pPr>
    </w:p>
    <w:p>
      <w:pPr>
        <w:pStyle w:val="ListParagraph"/>
        <w:numPr>
          <w:ilvl w:val="0"/>
          <w:numId w:val="36"/>
        </w:numPr>
        <w:tabs>
          <w:tab w:pos="679" w:val="left" w:leader="none"/>
          <w:tab w:pos="681" w:val="left" w:leader="none"/>
        </w:tabs>
        <w:spacing w:line="232" w:lineRule="auto" w:before="0" w:after="0"/>
        <w:ind w:left="200" w:right="248" w:firstLine="0"/>
        <w:jc w:val="left"/>
        <w:rPr>
          <w:sz w:val="18"/>
        </w:rPr>
      </w:pPr>
      <w:r>
        <w:rPr>
          <w:color w:val="231F20"/>
          <w:sz w:val="18"/>
        </w:rPr>
        <w:t>The appreciation had not passed through fully into domestic prices. There had been some effect from cheaper import competition and imported inputs. But many overseas suppliers were taking advantage of the appreciation to build up margins and were not significantly reducing their sterling prices.</w:t>
      </w:r>
    </w:p>
    <w:p>
      <w:pPr>
        <w:pStyle w:val="BodyText"/>
        <w:spacing w:before="9"/>
      </w:pPr>
    </w:p>
    <w:p>
      <w:pPr>
        <w:pStyle w:val="ListParagraph"/>
        <w:numPr>
          <w:ilvl w:val="0"/>
          <w:numId w:val="36"/>
        </w:numPr>
        <w:tabs>
          <w:tab w:pos="679" w:val="left" w:leader="none"/>
          <w:tab w:pos="681" w:val="left" w:leader="none"/>
        </w:tabs>
        <w:spacing w:line="232" w:lineRule="auto" w:before="1" w:after="0"/>
        <w:ind w:left="200" w:right="363" w:firstLine="0"/>
        <w:jc w:val="left"/>
        <w:rPr>
          <w:sz w:val="18"/>
        </w:rPr>
      </w:pPr>
      <w:r>
        <w:rPr>
          <w:color w:val="231F20"/>
          <w:sz w:val="18"/>
        </w:rPr>
        <w:t>The impact on domestic sales had been mostly invisible </w:t>
      </w:r>
      <w:r>
        <w:rPr>
          <w:color w:val="231F20"/>
          <w:spacing w:val="-9"/>
          <w:sz w:val="18"/>
        </w:rPr>
        <w:t>or </w:t>
      </w:r>
      <w:r>
        <w:rPr>
          <w:color w:val="231F20"/>
          <w:sz w:val="18"/>
        </w:rPr>
        <w:t>moderate so far and this was expected to continue. The tourist industry had reported little effect to date, but it was concerned about prospects for 1998.</w:t>
      </w:r>
    </w:p>
    <w:p>
      <w:pPr>
        <w:pStyle w:val="BodyText"/>
        <w:spacing w:before="6"/>
        <w:rPr>
          <w:sz w:val="20"/>
        </w:rPr>
      </w:pPr>
    </w:p>
    <w:p>
      <w:pPr>
        <w:pStyle w:val="ListParagraph"/>
        <w:numPr>
          <w:ilvl w:val="0"/>
          <w:numId w:val="36"/>
        </w:numPr>
        <w:tabs>
          <w:tab w:pos="679" w:val="left" w:leader="none"/>
          <w:tab w:pos="681" w:val="left" w:leader="none"/>
        </w:tabs>
        <w:spacing w:line="232" w:lineRule="auto" w:before="1" w:after="0"/>
        <w:ind w:left="200" w:right="464" w:firstLine="0"/>
        <w:jc w:val="left"/>
        <w:rPr>
          <w:sz w:val="18"/>
        </w:rPr>
      </w:pPr>
      <w:r>
        <w:rPr>
          <w:color w:val="231F20"/>
          <w:sz w:val="18"/>
        </w:rPr>
        <w:t>The overwhelming response to the appreciation had </w:t>
      </w:r>
      <w:r>
        <w:rPr>
          <w:color w:val="231F20"/>
          <w:spacing w:val="-5"/>
          <w:sz w:val="18"/>
        </w:rPr>
        <w:t>been </w:t>
      </w:r>
      <w:r>
        <w:rPr>
          <w:color w:val="231F20"/>
          <w:sz w:val="18"/>
        </w:rPr>
        <w:t>to cut export margins or costs, as maintaining market share had</w:t>
      </w:r>
    </w:p>
    <w:p>
      <w:pPr>
        <w:spacing w:after="0" w:line="232" w:lineRule="auto"/>
        <w:jc w:val="left"/>
        <w:rPr>
          <w:sz w:val="18"/>
        </w:rPr>
        <w:sectPr>
          <w:type w:val="continuous"/>
          <w:pgSz w:w="11880" w:h="16840"/>
          <w:pgMar w:top="1200" w:bottom="280" w:left="620" w:right="620"/>
          <w:cols w:num="2" w:equalWidth="0">
            <w:col w:w="5139" w:space="241"/>
            <w:col w:w="5260"/>
          </w:cols>
        </w:sectPr>
      </w:pPr>
    </w:p>
    <w:p>
      <w:pPr>
        <w:spacing w:before="63"/>
        <w:ind w:left="120" w:right="0" w:firstLine="0"/>
        <w:jc w:val="left"/>
        <w:rPr>
          <w:b/>
          <w:sz w:val="36"/>
        </w:rPr>
      </w:pPr>
      <w:r>
        <w:rPr>
          <w:b/>
          <w:color w:val="231F20"/>
          <w:sz w:val="36"/>
        </w:rPr>
        <w:t>ERRATA</w:t>
      </w:r>
    </w:p>
    <w:p>
      <w:pPr>
        <w:spacing w:before="326"/>
        <w:ind w:left="120" w:right="0" w:firstLine="0"/>
        <w:jc w:val="left"/>
        <w:rPr>
          <w:sz w:val="24"/>
        </w:rPr>
      </w:pPr>
      <w:hyperlink w:history="true" w:anchor="_bookmark38">
        <w:r>
          <w:rPr>
            <w:color w:val="231F20"/>
            <w:sz w:val="24"/>
            <w:u w:val="single" w:color="231F20"/>
          </w:rPr>
          <w:t>Page 64, paragraph 39</w:t>
        </w:r>
      </w:hyperlink>
    </w:p>
    <w:p>
      <w:pPr>
        <w:pStyle w:val="BodyText"/>
        <w:spacing w:before="11"/>
        <w:rPr>
          <w:sz w:val="16"/>
        </w:rPr>
      </w:pPr>
    </w:p>
    <w:p>
      <w:pPr>
        <w:spacing w:line="242" w:lineRule="auto" w:before="90"/>
        <w:ind w:left="120" w:right="0" w:firstLine="0"/>
        <w:jc w:val="left"/>
        <w:rPr>
          <w:sz w:val="24"/>
        </w:rPr>
      </w:pPr>
      <w:r>
        <w:rPr>
          <w:color w:val="231F20"/>
          <w:sz w:val="24"/>
        </w:rPr>
        <w:t>Replace ‘Whole-economy underlying earnings growth, smoothed for the effects of bonusus, probably remained in the range of 43% to 42%.</w:t>
      </w:r>
    </w:p>
    <w:p>
      <w:pPr>
        <w:pStyle w:val="BodyText"/>
        <w:spacing w:before="6"/>
        <w:rPr>
          <w:sz w:val="24"/>
        </w:rPr>
      </w:pPr>
    </w:p>
    <w:p>
      <w:pPr>
        <w:spacing w:line="242" w:lineRule="auto" w:before="0"/>
        <w:ind w:left="120" w:right="0" w:firstLine="0"/>
        <w:jc w:val="left"/>
        <w:rPr>
          <w:sz w:val="24"/>
        </w:rPr>
      </w:pPr>
      <w:r>
        <w:rPr>
          <w:color w:val="231F20"/>
          <w:sz w:val="24"/>
        </w:rPr>
        <w:t>with ‘Whole-economy underlying earnings growth, smoothed for the effects of bonusus, probably remained in the range of 4</w:t>
      </w:r>
      <w:r>
        <w:rPr>
          <w:color w:val="231F20"/>
          <w:position w:val="8"/>
          <w:sz w:val="12"/>
        </w:rPr>
        <w:t>1</w:t>
      </w:r>
      <w:r>
        <w:rPr>
          <w:color w:val="231F20"/>
          <w:sz w:val="24"/>
        </w:rPr>
        <w:t>/</w:t>
      </w:r>
      <w:r>
        <w:rPr>
          <w:color w:val="231F20"/>
          <w:sz w:val="12"/>
        </w:rPr>
        <w:t>4</w:t>
      </w:r>
      <w:r>
        <w:rPr>
          <w:color w:val="231F20"/>
          <w:sz w:val="24"/>
        </w:rPr>
        <w:t>% to 4</w:t>
      </w:r>
      <w:r>
        <w:rPr>
          <w:color w:val="231F20"/>
          <w:position w:val="8"/>
          <w:sz w:val="12"/>
        </w:rPr>
        <w:t>1</w:t>
      </w:r>
      <w:r>
        <w:rPr>
          <w:color w:val="231F20"/>
          <w:sz w:val="24"/>
        </w:rPr>
        <w:t>/</w:t>
      </w:r>
      <w:r>
        <w:rPr>
          <w:color w:val="231F20"/>
          <w:sz w:val="12"/>
        </w:rPr>
        <w:t>2</w:t>
      </w:r>
      <w:r>
        <w:rPr>
          <w:color w:val="231F20"/>
          <w:sz w:val="24"/>
        </w:rPr>
        <w:t>%.</w:t>
      </w:r>
    </w:p>
    <w:p>
      <w:pPr>
        <w:pStyle w:val="BodyText"/>
        <w:spacing w:before="6"/>
        <w:rPr>
          <w:sz w:val="24"/>
        </w:rPr>
      </w:pPr>
    </w:p>
    <w:p>
      <w:pPr>
        <w:spacing w:before="1"/>
        <w:ind w:left="119" w:right="0" w:firstLine="0"/>
        <w:jc w:val="left"/>
        <w:rPr>
          <w:sz w:val="24"/>
        </w:rPr>
      </w:pPr>
      <w:hyperlink w:history="true" w:anchor="_bookmark41">
        <w:r>
          <w:rPr>
            <w:color w:val="231F20"/>
            <w:sz w:val="24"/>
            <w:u w:val="single" w:color="231F20"/>
          </w:rPr>
          <w:t>Page 71, paragraph 27</w:t>
        </w:r>
      </w:hyperlink>
    </w:p>
    <w:p>
      <w:pPr>
        <w:pStyle w:val="BodyText"/>
        <w:spacing w:before="10"/>
        <w:rPr>
          <w:sz w:val="16"/>
        </w:rPr>
      </w:pPr>
    </w:p>
    <w:p>
      <w:pPr>
        <w:spacing w:line="242" w:lineRule="auto" w:before="90"/>
        <w:ind w:left="120" w:right="0" w:firstLine="0"/>
        <w:jc w:val="left"/>
        <w:rPr>
          <w:sz w:val="24"/>
        </w:rPr>
      </w:pPr>
      <w:r>
        <w:rPr>
          <w:color w:val="231F20"/>
          <w:sz w:val="24"/>
        </w:rPr>
        <w:t>Replace ‘Whole-economy underlying earnings growth, according to the ONS, remained at 43% in October: 42% in services and 43% in manufacturing.’</w:t>
      </w:r>
    </w:p>
    <w:p>
      <w:pPr>
        <w:pStyle w:val="BodyText"/>
        <w:spacing w:before="6"/>
        <w:rPr>
          <w:sz w:val="24"/>
        </w:rPr>
      </w:pPr>
    </w:p>
    <w:p>
      <w:pPr>
        <w:spacing w:line="242" w:lineRule="auto" w:before="0"/>
        <w:ind w:left="120" w:right="0" w:firstLine="0"/>
        <w:jc w:val="left"/>
        <w:rPr>
          <w:sz w:val="24"/>
        </w:rPr>
      </w:pPr>
      <w:r>
        <w:rPr>
          <w:color w:val="231F20"/>
          <w:sz w:val="24"/>
        </w:rPr>
        <w:t>with ‘Whole-economy underlying earnings growth, according to the ONS, remained at 4</w:t>
      </w:r>
      <w:r>
        <w:rPr>
          <w:color w:val="231F20"/>
          <w:position w:val="8"/>
          <w:sz w:val="12"/>
        </w:rPr>
        <w:t>1</w:t>
      </w:r>
      <w:r>
        <w:rPr>
          <w:color w:val="231F20"/>
          <w:sz w:val="24"/>
        </w:rPr>
        <w:t>/</w:t>
      </w:r>
      <w:r>
        <w:rPr>
          <w:color w:val="231F20"/>
          <w:sz w:val="12"/>
        </w:rPr>
        <w:t>4</w:t>
      </w:r>
      <w:r>
        <w:rPr>
          <w:color w:val="231F20"/>
          <w:sz w:val="24"/>
        </w:rPr>
        <w:t>% in October: 4</w:t>
      </w:r>
      <w:r>
        <w:rPr>
          <w:color w:val="231F20"/>
          <w:position w:val="8"/>
          <w:sz w:val="12"/>
        </w:rPr>
        <w:t>1</w:t>
      </w:r>
      <w:r>
        <w:rPr>
          <w:color w:val="231F20"/>
          <w:sz w:val="24"/>
        </w:rPr>
        <w:t>/</w:t>
      </w:r>
      <w:r>
        <w:rPr>
          <w:color w:val="231F20"/>
          <w:sz w:val="12"/>
        </w:rPr>
        <w:t>2</w:t>
      </w:r>
      <w:r>
        <w:rPr>
          <w:color w:val="231F20"/>
          <w:sz w:val="24"/>
        </w:rPr>
        <w:t>% in services and 4</w:t>
      </w:r>
      <w:r>
        <w:rPr>
          <w:color w:val="231F20"/>
          <w:position w:val="8"/>
          <w:sz w:val="12"/>
        </w:rPr>
        <w:t>1</w:t>
      </w:r>
      <w:r>
        <w:rPr>
          <w:color w:val="231F20"/>
          <w:sz w:val="24"/>
        </w:rPr>
        <w:t>/</w:t>
      </w:r>
      <w:r>
        <w:rPr>
          <w:color w:val="231F20"/>
          <w:sz w:val="12"/>
        </w:rPr>
        <w:t>4</w:t>
      </w:r>
      <w:r>
        <w:rPr>
          <w:color w:val="231F20"/>
          <w:sz w:val="24"/>
        </w:rPr>
        <w:t>% in manufacturing.’</w:t>
      </w:r>
    </w:p>
    <w:p>
      <w:pPr>
        <w:spacing w:after="0" w:line="242" w:lineRule="auto"/>
        <w:jc w:val="left"/>
        <w:rPr>
          <w:sz w:val="24"/>
        </w:rPr>
        <w:sectPr>
          <w:headerReference w:type="default" r:id="rId106"/>
          <w:footerReference w:type="default" r:id="rId107"/>
          <w:pgSz w:w="11880" w:h="5940" w:orient="landscape"/>
          <w:pgMar w:header="0" w:footer="0" w:top="440" w:bottom="280" w:left="620" w:right="620"/>
        </w:sectPr>
      </w:pPr>
    </w:p>
    <w:p>
      <w:pPr>
        <w:pStyle w:val="BodyText"/>
        <w:spacing w:before="3"/>
        <w:rPr>
          <w:sz w:val="28"/>
        </w:rPr>
      </w:pPr>
    </w:p>
    <w:p>
      <w:pPr>
        <w:spacing w:after="0"/>
        <w:rPr>
          <w:sz w:val="28"/>
        </w:rPr>
        <w:sectPr>
          <w:headerReference w:type="even" r:id="rId108"/>
          <w:headerReference w:type="default" r:id="rId109"/>
          <w:footerReference w:type="even" r:id="rId110"/>
          <w:footerReference w:type="default" r:id="rId111"/>
          <w:pgSz w:w="11880" w:h="16840"/>
          <w:pgMar w:header="566" w:footer="597" w:top="800" w:bottom="780" w:left="680" w:right="660"/>
          <w:pgNumType w:start="64"/>
        </w:sectPr>
      </w:pPr>
    </w:p>
    <w:p>
      <w:pPr>
        <w:pStyle w:val="BodyText"/>
        <w:spacing w:line="232" w:lineRule="auto" w:before="98"/>
        <w:ind w:left="105" w:right="61"/>
      </w:pPr>
      <w:bookmarkStart w:name="_bookmark38" w:id="91"/>
      <w:bookmarkEnd w:id="91"/>
      <w:r>
        <w:rPr/>
      </w:r>
      <w:r>
        <w:rPr>
          <w:color w:val="231F20"/>
        </w:rPr>
        <w:t>been perceived to be important. Cutting margins would continue, but would become increasingly difficult, and more companies would turn to cutting costs; reduced overtime and shedding labour would become more likely. Exploring new markets had been and would continue to be a response. Increased sourcing of raw materials and components abroad was likely as was the location of new investment abroad, particularly by multinationals.</w:t>
      </w:r>
    </w:p>
    <w:p>
      <w:pPr>
        <w:pStyle w:val="BodyText"/>
        <w:spacing w:before="10"/>
        <w:rPr>
          <w:sz w:val="16"/>
        </w:rPr>
      </w:pPr>
    </w:p>
    <w:p>
      <w:pPr>
        <w:pStyle w:val="ListParagraph"/>
        <w:numPr>
          <w:ilvl w:val="0"/>
          <w:numId w:val="36"/>
        </w:numPr>
        <w:tabs>
          <w:tab w:pos="585" w:val="left" w:leader="none"/>
          <w:tab w:pos="586" w:val="left" w:leader="none"/>
        </w:tabs>
        <w:spacing w:line="232" w:lineRule="auto" w:before="0" w:after="0"/>
        <w:ind w:left="105" w:right="127" w:firstLine="0"/>
        <w:jc w:val="left"/>
        <w:rPr>
          <w:sz w:val="18"/>
        </w:rPr>
      </w:pPr>
      <w:r>
        <w:rPr>
          <w:color w:val="231F20"/>
          <w:sz w:val="18"/>
        </w:rPr>
        <w:t>For those respondents who believed that their output </w:t>
      </w:r>
      <w:r>
        <w:rPr>
          <w:color w:val="231F20"/>
          <w:spacing w:val="-3"/>
          <w:sz w:val="18"/>
        </w:rPr>
        <w:t>growth </w:t>
      </w:r>
      <w:r>
        <w:rPr>
          <w:color w:val="231F20"/>
          <w:sz w:val="18"/>
        </w:rPr>
        <w:t>had slowed as a result of the appreciation, the main channel had been exports rather than import competition.</w:t>
      </w:r>
    </w:p>
    <w:p>
      <w:pPr>
        <w:pStyle w:val="BodyText"/>
        <w:spacing w:before="2"/>
        <w:rPr>
          <w:sz w:val="17"/>
        </w:rPr>
      </w:pPr>
    </w:p>
    <w:p>
      <w:pPr>
        <w:pStyle w:val="ListParagraph"/>
        <w:numPr>
          <w:ilvl w:val="0"/>
          <w:numId w:val="36"/>
        </w:numPr>
        <w:tabs>
          <w:tab w:pos="585" w:val="left" w:leader="none"/>
          <w:tab w:pos="586" w:val="left" w:leader="none"/>
        </w:tabs>
        <w:spacing w:line="232" w:lineRule="auto" w:before="0" w:after="0"/>
        <w:ind w:left="105" w:right="258" w:firstLine="0"/>
        <w:jc w:val="left"/>
        <w:rPr>
          <w:sz w:val="18"/>
        </w:rPr>
      </w:pPr>
      <w:r>
        <w:rPr>
          <w:color w:val="231F20"/>
          <w:sz w:val="18"/>
        </w:rPr>
        <w:t>House price inflation slowed in October according to both the Halifax and Nationwide indices to 5.4% and 12.2% respectively. But the divergence between the two indices had widened to its largest ever. The gap narrowed in November: </w:t>
      </w:r>
      <w:r>
        <w:rPr>
          <w:color w:val="231F20"/>
          <w:spacing w:val="-4"/>
          <w:sz w:val="18"/>
        </w:rPr>
        <w:t>the </w:t>
      </w:r>
      <w:r>
        <w:rPr>
          <w:color w:val="231F20"/>
          <w:sz w:val="18"/>
        </w:rPr>
        <w:t>Nationwide showed twelve month house price inflation falling </w:t>
      </w:r>
      <w:r>
        <w:rPr>
          <w:color w:val="231F20"/>
          <w:spacing w:val="-9"/>
          <w:sz w:val="18"/>
        </w:rPr>
        <w:t>to </w:t>
      </w:r>
      <w:r>
        <w:rPr>
          <w:color w:val="231F20"/>
          <w:sz w:val="18"/>
        </w:rPr>
        <w:t>11.6%, but the Halifax estimate increased to 6.1%.</w:t>
      </w:r>
    </w:p>
    <w:p>
      <w:pPr>
        <w:pStyle w:val="BodyText"/>
        <w:rPr>
          <w:sz w:val="17"/>
        </w:rPr>
      </w:pPr>
    </w:p>
    <w:p>
      <w:pPr>
        <w:pStyle w:val="ListParagraph"/>
        <w:numPr>
          <w:ilvl w:val="0"/>
          <w:numId w:val="36"/>
        </w:numPr>
        <w:tabs>
          <w:tab w:pos="585" w:val="left" w:leader="none"/>
          <w:tab w:pos="586" w:val="left" w:leader="none"/>
        </w:tabs>
        <w:spacing w:line="232" w:lineRule="auto" w:before="0" w:after="0"/>
        <w:ind w:left="105" w:right="343" w:firstLine="0"/>
        <w:jc w:val="left"/>
        <w:rPr>
          <w:sz w:val="18"/>
        </w:rPr>
      </w:pPr>
      <w:r>
        <w:rPr>
          <w:color w:val="231F20"/>
          <w:sz w:val="18"/>
        </w:rPr>
        <w:t>It was difficult to explain the difference between the two series. The Department of the Environment (DoE) index, </w:t>
      </w:r>
      <w:r>
        <w:rPr>
          <w:color w:val="231F20"/>
          <w:spacing w:val="-4"/>
          <w:sz w:val="18"/>
        </w:rPr>
        <w:t>based </w:t>
      </w:r>
      <w:r>
        <w:rPr>
          <w:color w:val="231F20"/>
          <w:sz w:val="18"/>
        </w:rPr>
        <w:t>on a 5% sample of mortgage transactions across all lenders had shown a rise of 10.6% in the year to 1997 Q3. Land Registry data, which covered all transactions in England and Wales,</w:t>
      </w:r>
    </w:p>
    <w:p>
      <w:pPr>
        <w:pStyle w:val="BodyText"/>
        <w:spacing w:line="232" w:lineRule="auto"/>
        <w:ind w:left="105" w:right="38"/>
      </w:pPr>
      <w:r>
        <w:rPr>
          <w:color w:val="231F20"/>
        </w:rPr>
        <w:t>indicated a rise of 7.7% in Q3. But the Land Registry did not </w:t>
      </w:r>
      <w:r>
        <w:rPr>
          <w:color w:val="231F20"/>
          <w:spacing w:val="-3"/>
        </w:rPr>
        <w:t>adjust </w:t>
      </w:r>
      <w:r>
        <w:rPr>
          <w:color w:val="231F20"/>
        </w:rPr>
        <w:t>its series to allow for the composition of the houses sold, in the way that the Halifax, Nationwide and DoE did. Bank economists had made such an adjustment to the Land Registry data. This showed that house prices had risen by 7.9% in the year to 1997 Q3. Late returns to the Land Registry meant that this number could be revised; and in a rising market the revision was likely to be upwards.</w:t>
      </w:r>
    </w:p>
    <w:p>
      <w:pPr>
        <w:pStyle w:val="BodyText"/>
        <w:spacing w:before="6"/>
        <w:rPr>
          <w:sz w:val="16"/>
        </w:rPr>
      </w:pPr>
    </w:p>
    <w:p>
      <w:pPr>
        <w:pStyle w:val="ListParagraph"/>
        <w:numPr>
          <w:ilvl w:val="0"/>
          <w:numId w:val="36"/>
        </w:numPr>
        <w:tabs>
          <w:tab w:pos="585" w:val="left" w:leader="none"/>
          <w:tab w:pos="586" w:val="left" w:leader="none"/>
        </w:tabs>
        <w:spacing w:line="232" w:lineRule="auto" w:before="0" w:after="0"/>
        <w:ind w:left="105" w:right="258" w:firstLine="0"/>
        <w:jc w:val="left"/>
        <w:rPr>
          <w:sz w:val="18"/>
        </w:rPr>
      </w:pPr>
      <w:r>
        <w:rPr>
          <w:color w:val="231F20"/>
          <w:sz w:val="18"/>
        </w:rPr>
        <w:t>The Chancellor had introduced his Pre-Budget Report in November. There had been little change from the July Budget </w:t>
      </w:r>
      <w:r>
        <w:rPr>
          <w:color w:val="231F20"/>
          <w:spacing w:val="-9"/>
          <w:sz w:val="18"/>
        </w:rPr>
        <w:t>in </w:t>
      </w:r>
      <w:r>
        <w:rPr>
          <w:color w:val="231F20"/>
          <w:sz w:val="18"/>
        </w:rPr>
        <w:t>the fiscal stance, though no account had been taken in the</w:t>
      </w:r>
    </w:p>
    <w:p>
      <w:pPr>
        <w:pStyle w:val="BodyText"/>
        <w:spacing w:line="232" w:lineRule="auto"/>
        <w:ind w:left="105" w:right="61"/>
      </w:pPr>
      <w:r>
        <w:rPr>
          <w:color w:val="231F20"/>
        </w:rPr>
        <w:t>Pre-Budget Report of any possible tax changes. The Control Total for public expenditure had remained unchanged, once reclassifications of some items had been taken into account.</w:t>
      </w:r>
    </w:p>
    <w:p>
      <w:pPr>
        <w:pStyle w:val="BodyText"/>
        <w:spacing w:line="232" w:lineRule="auto"/>
        <w:ind w:left="105" w:right="51"/>
      </w:pPr>
      <w:r>
        <w:rPr>
          <w:color w:val="231F20"/>
        </w:rPr>
        <w:t>Central government tax revenues were expected to be marginally weaker than at Budget time, but the tax burden continued to rise—a combination of previous tax measures and real fiscal drag.</w:t>
      </w:r>
    </w:p>
    <w:p>
      <w:pPr>
        <w:pStyle w:val="ListParagraph"/>
        <w:numPr>
          <w:ilvl w:val="0"/>
          <w:numId w:val="36"/>
        </w:numPr>
        <w:tabs>
          <w:tab w:pos="585" w:val="left" w:leader="none"/>
          <w:tab w:pos="586" w:val="left" w:leader="none"/>
        </w:tabs>
        <w:spacing w:line="232" w:lineRule="auto" w:before="173" w:after="0"/>
        <w:ind w:left="105" w:right="43" w:firstLine="0"/>
        <w:jc w:val="left"/>
        <w:rPr>
          <w:sz w:val="18"/>
        </w:rPr>
      </w:pPr>
      <w:r>
        <w:rPr>
          <w:color w:val="231F20"/>
          <w:sz w:val="18"/>
        </w:rPr>
        <w:t>Over the medium term, the ‘golden rule’ was expected to be achieved by 1998/99; the headline and structural PSBR were expected to balance by 1999/00 and, on a more cautious assumption about the output gap, structural balance was expected in 2000/01. Net debt was expected to fall and net public sector wealth to increase, reflecting the outlook for the PSBR. But the improvement in the public sector balance sheet was small compared with the preceding deterioration.</w:t>
      </w:r>
    </w:p>
    <w:p>
      <w:pPr>
        <w:pStyle w:val="BodyText"/>
        <w:spacing w:before="10"/>
        <w:rPr>
          <w:sz w:val="16"/>
        </w:rPr>
      </w:pPr>
    </w:p>
    <w:p>
      <w:pPr>
        <w:pStyle w:val="ListParagraph"/>
        <w:numPr>
          <w:ilvl w:val="0"/>
          <w:numId w:val="36"/>
        </w:numPr>
        <w:tabs>
          <w:tab w:pos="585" w:val="left" w:leader="none"/>
          <w:tab w:pos="586" w:val="left" w:leader="none"/>
        </w:tabs>
        <w:spacing w:line="232" w:lineRule="auto" w:before="0" w:after="0"/>
        <w:ind w:left="105" w:right="73" w:firstLine="0"/>
        <w:jc w:val="left"/>
        <w:rPr>
          <w:sz w:val="18"/>
        </w:rPr>
      </w:pPr>
      <w:r>
        <w:rPr>
          <w:color w:val="231F20"/>
          <w:sz w:val="18"/>
        </w:rPr>
        <w:t>In the report, the Chancellor had announced proposals for a fiscal policy framework, which aimed to improve the transparency and credibility of fiscal policy, in parallel with the improvements </w:t>
      </w:r>
      <w:r>
        <w:rPr>
          <w:color w:val="231F20"/>
          <w:spacing w:val="-9"/>
          <w:sz w:val="18"/>
        </w:rPr>
        <w:t>in </w:t>
      </w:r>
      <w:r>
        <w:rPr>
          <w:color w:val="231F20"/>
          <w:sz w:val="18"/>
        </w:rPr>
        <w:t>monetary policy. The government intended to introduce a ‘Code for Fiscal Stability’. This would require the government to state and adhere to fiscal principles; to adopt best-practice public sector accounting; and to supply detailed reports and information on the fiscal outlook. Proposals to promote investment and improve the operation of the labour market had also been included in the Chancellor’s statement.</w:t>
      </w:r>
    </w:p>
    <w:p>
      <w:pPr>
        <w:pStyle w:val="BodyText"/>
        <w:spacing w:before="5"/>
        <w:rPr>
          <w:sz w:val="23"/>
        </w:rPr>
      </w:pPr>
    </w:p>
    <w:p>
      <w:pPr>
        <w:pStyle w:val="Heading7"/>
        <w:numPr>
          <w:ilvl w:val="0"/>
          <w:numId w:val="37"/>
        </w:numPr>
        <w:tabs>
          <w:tab w:pos="585" w:val="left" w:leader="none"/>
          <w:tab w:pos="586" w:val="left" w:leader="none"/>
        </w:tabs>
        <w:spacing w:line="240" w:lineRule="auto" w:before="0" w:after="0"/>
        <w:ind w:left="585" w:right="0" w:hanging="481"/>
        <w:jc w:val="left"/>
      </w:pPr>
      <w:r>
        <w:rPr>
          <w:color w:val="009483"/>
        </w:rPr>
        <w:t>Labour</w:t>
      </w:r>
      <w:r>
        <w:rPr>
          <w:color w:val="009483"/>
          <w:spacing w:val="-1"/>
        </w:rPr>
        <w:t> </w:t>
      </w:r>
      <w:r>
        <w:rPr>
          <w:color w:val="009483"/>
        </w:rPr>
        <w:t>market</w:t>
      </w:r>
    </w:p>
    <w:p>
      <w:pPr>
        <w:pStyle w:val="ListParagraph"/>
        <w:numPr>
          <w:ilvl w:val="0"/>
          <w:numId w:val="36"/>
        </w:numPr>
        <w:tabs>
          <w:tab w:pos="585" w:val="left" w:leader="none"/>
          <w:tab w:pos="586" w:val="left" w:leader="none"/>
        </w:tabs>
        <w:spacing w:line="232" w:lineRule="auto" w:before="110" w:after="0"/>
        <w:ind w:left="105" w:right="58" w:firstLine="0"/>
        <w:jc w:val="left"/>
        <w:rPr>
          <w:sz w:val="18"/>
        </w:rPr>
      </w:pPr>
      <w:r>
        <w:rPr>
          <w:color w:val="231F20"/>
          <w:sz w:val="18"/>
        </w:rPr>
        <w:t>There had been a small seasonally adjusted fall in the unemployment claimant count in October of 9,500—the smallest decline since April 1996. But the seasonal adjustment had not allowed for fewer students than normal leaving the claimant count. The ONS estimated that around 20,000 fewer students entered the claimant count in July than in previous years, probably because of tighter eligibility rules following the introduction of the</w:t>
      </w:r>
      <w:r>
        <w:rPr>
          <w:color w:val="231F20"/>
          <w:spacing w:val="-17"/>
          <w:sz w:val="18"/>
        </w:rPr>
        <w:t> </w:t>
      </w:r>
      <w:r>
        <w:rPr>
          <w:color w:val="231F20"/>
          <w:sz w:val="18"/>
        </w:rPr>
        <w:t>Jobseeker’s</w:t>
      </w:r>
    </w:p>
    <w:p>
      <w:pPr>
        <w:pStyle w:val="BodyText"/>
        <w:spacing w:line="232" w:lineRule="auto" w:before="98"/>
        <w:ind w:left="105" w:right="134"/>
      </w:pPr>
      <w:r>
        <w:rPr/>
        <w:br w:type="column"/>
      </w:r>
      <w:r>
        <w:rPr>
          <w:color w:val="231F20"/>
        </w:rPr>
        <w:t>Allowance. So 20,000 fewer may have left the count in October. This meant that the underlying fall in unemployment was still probably around 25–30,000 per month.</w:t>
      </w:r>
    </w:p>
    <w:p>
      <w:pPr>
        <w:pStyle w:val="BodyText"/>
        <w:spacing w:before="10"/>
      </w:pPr>
    </w:p>
    <w:p>
      <w:pPr>
        <w:pStyle w:val="BodyText"/>
        <w:tabs>
          <w:tab w:pos="585" w:val="left" w:leader="none"/>
        </w:tabs>
        <w:spacing w:line="232" w:lineRule="auto"/>
        <w:ind w:left="105" w:right="134"/>
      </w:pPr>
      <w:r>
        <w:rPr>
          <w:color w:val="231F20"/>
        </w:rPr>
        <w:t>26</w:t>
        <w:tab/>
        <w:t>Unfilled vacancies rose by 12,000 in October, to 312,000. One reason why the stock had risen in recent months was that placings had fallen, perhaps suggesting that vacancies were becoming harder to fill. The ONS had reduced the overstatement </w:t>
      </w:r>
      <w:r>
        <w:rPr>
          <w:color w:val="231F20"/>
          <w:spacing w:val="-9"/>
        </w:rPr>
        <w:t>of </w:t>
      </w:r>
      <w:r>
        <w:rPr>
          <w:color w:val="231F20"/>
        </w:rPr>
        <w:t>the stock from 40,000 to 25,000.</w:t>
      </w:r>
    </w:p>
    <w:p>
      <w:pPr>
        <w:pStyle w:val="BodyText"/>
        <w:spacing w:before="1"/>
        <w:rPr>
          <w:sz w:val="17"/>
        </w:rPr>
      </w:pPr>
    </w:p>
    <w:p>
      <w:pPr>
        <w:pStyle w:val="ListParagraph"/>
        <w:numPr>
          <w:ilvl w:val="0"/>
          <w:numId w:val="38"/>
        </w:numPr>
        <w:tabs>
          <w:tab w:pos="585" w:val="left" w:leader="none"/>
          <w:tab w:pos="586" w:val="left" w:leader="none"/>
        </w:tabs>
        <w:spacing w:line="232" w:lineRule="auto" w:before="0" w:after="0"/>
        <w:ind w:left="105" w:right="158" w:firstLine="0"/>
        <w:jc w:val="left"/>
        <w:rPr>
          <w:sz w:val="18"/>
        </w:rPr>
      </w:pPr>
      <w:r>
        <w:rPr>
          <w:color w:val="231F20"/>
          <w:sz w:val="18"/>
        </w:rPr>
        <w:t>According to the Bank’s Agents, there had been a few more signs of manufacturing job cuts in November, though they were still reporting a marginal net rise overall. Set against this, the </w:t>
      </w:r>
      <w:r>
        <w:rPr>
          <w:color w:val="231F20"/>
          <w:spacing w:val="-6"/>
          <w:sz w:val="18"/>
        </w:rPr>
        <w:t>ONS </w:t>
      </w:r>
      <w:r>
        <w:rPr>
          <w:color w:val="231F20"/>
          <w:sz w:val="18"/>
        </w:rPr>
        <w:t>had reported a fall in manufacturing employees of 5,000 in September, taking the decline in 1997 Q3 to 30,000.   But this was a preliminary figure which might be revised.</w:t>
      </w:r>
    </w:p>
    <w:p>
      <w:pPr>
        <w:pStyle w:val="BodyText"/>
        <w:rPr>
          <w:sz w:val="17"/>
        </w:rPr>
      </w:pPr>
    </w:p>
    <w:p>
      <w:pPr>
        <w:pStyle w:val="ListParagraph"/>
        <w:numPr>
          <w:ilvl w:val="0"/>
          <w:numId w:val="38"/>
        </w:numPr>
        <w:tabs>
          <w:tab w:pos="585" w:val="left" w:leader="none"/>
          <w:tab w:pos="586" w:val="left" w:leader="none"/>
        </w:tabs>
        <w:spacing w:line="232" w:lineRule="auto" w:before="0" w:after="0"/>
        <w:ind w:left="105" w:right="143" w:firstLine="0"/>
        <w:jc w:val="left"/>
        <w:rPr>
          <w:sz w:val="18"/>
        </w:rPr>
      </w:pPr>
      <w:r>
        <w:rPr>
          <w:color w:val="231F20"/>
          <w:sz w:val="18"/>
        </w:rPr>
        <w:t>Agents’ reports suggested that service sector firms were still actively recruiting, though they were finding it increasingly difficult to find staff with suitable qualifications and skills. In </w:t>
      </w:r>
      <w:r>
        <w:rPr>
          <w:color w:val="231F20"/>
          <w:spacing w:val="-5"/>
          <w:sz w:val="18"/>
        </w:rPr>
        <w:t>some </w:t>
      </w:r>
      <w:r>
        <w:rPr>
          <w:color w:val="231F20"/>
          <w:sz w:val="18"/>
        </w:rPr>
        <w:t>of the tighter labour market areas, such as the South, firms were looking to recruit from outside the region. Skill shortages were becoming increasingly widespread, which led to more concerns from businesses about the forthcoming pay round.</w:t>
      </w:r>
    </w:p>
    <w:p>
      <w:pPr>
        <w:pStyle w:val="BodyText"/>
        <w:spacing w:before="10"/>
        <w:rPr>
          <w:sz w:val="16"/>
        </w:rPr>
      </w:pPr>
    </w:p>
    <w:p>
      <w:pPr>
        <w:pStyle w:val="ListParagraph"/>
        <w:numPr>
          <w:ilvl w:val="0"/>
          <w:numId w:val="38"/>
        </w:numPr>
        <w:tabs>
          <w:tab w:pos="585" w:val="left" w:leader="none"/>
          <w:tab w:pos="586" w:val="left" w:leader="none"/>
        </w:tabs>
        <w:spacing w:line="232" w:lineRule="auto" w:before="0" w:after="0"/>
        <w:ind w:left="105" w:right="319" w:firstLine="0"/>
        <w:jc w:val="left"/>
        <w:rPr>
          <w:sz w:val="18"/>
        </w:rPr>
      </w:pPr>
      <w:r>
        <w:rPr>
          <w:color w:val="231F20"/>
          <w:sz w:val="18"/>
        </w:rPr>
        <w:t>Underlying earnings growth on a year earlier fell in September to 4</w:t>
      </w:r>
      <w:r>
        <w:rPr>
          <w:color w:val="231F20"/>
          <w:position w:val="6"/>
          <w:sz w:val="9"/>
        </w:rPr>
        <w:t>1</w:t>
      </w:r>
      <w:r>
        <w:rPr>
          <w:color w:val="231F20"/>
          <w:sz w:val="18"/>
        </w:rPr>
        <w:t>/</w:t>
      </w:r>
      <w:r>
        <w:rPr>
          <w:color w:val="231F20"/>
          <w:sz w:val="9"/>
        </w:rPr>
        <w:t>4</w:t>
      </w:r>
      <w:r>
        <w:rPr>
          <w:color w:val="231F20"/>
          <w:sz w:val="18"/>
        </w:rPr>
        <w:t>% from 4</w:t>
      </w:r>
      <w:r>
        <w:rPr>
          <w:color w:val="231F20"/>
          <w:position w:val="6"/>
          <w:sz w:val="9"/>
        </w:rPr>
        <w:t>1</w:t>
      </w:r>
      <w:r>
        <w:rPr>
          <w:color w:val="231F20"/>
          <w:sz w:val="18"/>
        </w:rPr>
        <w:t>/</w:t>
      </w:r>
      <w:r>
        <w:rPr>
          <w:color w:val="231F20"/>
          <w:sz w:val="9"/>
        </w:rPr>
        <w:t>2</w:t>
      </w:r>
      <w:r>
        <w:rPr>
          <w:color w:val="231F20"/>
          <w:sz w:val="18"/>
        </w:rPr>
        <w:t>%. This was caused by the manufacturing sector, where underlying growth fell from 4</w:t>
      </w:r>
      <w:r>
        <w:rPr>
          <w:color w:val="231F20"/>
          <w:position w:val="6"/>
          <w:sz w:val="9"/>
        </w:rPr>
        <w:t>1</w:t>
      </w:r>
      <w:r>
        <w:rPr>
          <w:color w:val="231F20"/>
          <w:sz w:val="18"/>
        </w:rPr>
        <w:t>/</w:t>
      </w:r>
      <w:r>
        <w:rPr>
          <w:color w:val="231F20"/>
          <w:sz w:val="9"/>
        </w:rPr>
        <w:t>4</w:t>
      </w:r>
      <w:r>
        <w:rPr>
          <w:color w:val="231F20"/>
          <w:sz w:val="18"/>
        </w:rPr>
        <w:t>% </w:t>
      </w:r>
      <w:r>
        <w:rPr>
          <w:color w:val="231F20"/>
          <w:spacing w:val="-9"/>
          <w:sz w:val="18"/>
        </w:rPr>
        <w:t>to </w:t>
      </w:r>
      <w:r>
        <w:rPr>
          <w:color w:val="231F20"/>
          <w:sz w:val="18"/>
        </w:rPr>
        <w:t>4%. Slower earnings growth was fairly widespread across the sector: earnings growth fell in eight out of thirteen industries. Lower overtime payments seem to have been a factor.</w:t>
      </w:r>
    </w:p>
    <w:p>
      <w:pPr>
        <w:pStyle w:val="BodyText"/>
        <w:spacing w:line="232" w:lineRule="auto"/>
        <w:ind w:left="105" w:right="586"/>
      </w:pPr>
      <w:r>
        <w:rPr>
          <w:color w:val="231F20"/>
        </w:rPr>
        <w:t>Whole-economy earnings growth, smoothed for the effects of bonuses, probably remained in the range of 43% to 42%.</w:t>
      </w:r>
    </w:p>
    <w:p>
      <w:pPr>
        <w:pStyle w:val="BodyText"/>
        <w:spacing w:before="10"/>
        <w:rPr>
          <w:sz w:val="16"/>
        </w:rPr>
      </w:pPr>
    </w:p>
    <w:p>
      <w:pPr>
        <w:pStyle w:val="ListParagraph"/>
        <w:numPr>
          <w:ilvl w:val="0"/>
          <w:numId w:val="38"/>
        </w:numPr>
        <w:tabs>
          <w:tab w:pos="586" w:val="left" w:leader="none"/>
        </w:tabs>
        <w:spacing w:line="232" w:lineRule="auto" w:before="0" w:after="0"/>
        <w:ind w:left="105" w:right="218" w:firstLine="0"/>
        <w:jc w:val="both"/>
        <w:rPr>
          <w:sz w:val="18"/>
        </w:rPr>
      </w:pPr>
      <w:r>
        <w:rPr>
          <w:color w:val="231F20"/>
          <w:sz w:val="18"/>
        </w:rPr>
        <w:t>There had been little news on settlements in October, which was in any case a quiet month. The twelve-month </w:t>
      </w:r>
      <w:r>
        <w:rPr>
          <w:color w:val="231F20"/>
          <w:spacing w:val="-2"/>
          <w:sz w:val="18"/>
        </w:rPr>
        <w:t>whole-economy </w:t>
      </w:r>
      <w:r>
        <w:rPr>
          <w:color w:val="231F20"/>
          <w:sz w:val="18"/>
        </w:rPr>
        <w:t>mean had remained at 3.3%.</w:t>
      </w:r>
    </w:p>
    <w:p>
      <w:pPr>
        <w:pStyle w:val="BodyText"/>
        <w:spacing w:before="2"/>
        <w:rPr>
          <w:sz w:val="17"/>
        </w:rPr>
      </w:pPr>
    </w:p>
    <w:p>
      <w:pPr>
        <w:pStyle w:val="ListParagraph"/>
        <w:numPr>
          <w:ilvl w:val="0"/>
          <w:numId w:val="38"/>
        </w:numPr>
        <w:tabs>
          <w:tab w:pos="585" w:val="left" w:leader="none"/>
          <w:tab w:pos="586" w:val="left" w:leader="none"/>
        </w:tabs>
        <w:spacing w:line="232" w:lineRule="auto" w:before="0" w:after="0"/>
        <w:ind w:left="105" w:right="248" w:firstLine="0"/>
        <w:jc w:val="left"/>
        <w:rPr>
          <w:sz w:val="18"/>
        </w:rPr>
      </w:pPr>
      <w:r>
        <w:rPr>
          <w:color w:val="231F20"/>
          <w:sz w:val="18"/>
        </w:rPr>
        <w:t>The relationship between unemployment and earnings was then considered: in particular, did short-term unemployment </w:t>
      </w:r>
      <w:r>
        <w:rPr>
          <w:color w:val="231F20"/>
          <w:spacing w:val="-4"/>
          <w:sz w:val="18"/>
        </w:rPr>
        <w:t>exert </w:t>
      </w:r>
      <w:r>
        <w:rPr>
          <w:color w:val="231F20"/>
          <w:sz w:val="18"/>
        </w:rPr>
        <w:t>more downward pressure on earnings than long-term unemployment?</w:t>
      </w:r>
    </w:p>
    <w:p>
      <w:pPr>
        <w:pStyle w:val="BodyText"/>
        <w:spacing w:before="2"/>
        <w:rPr>
          <w:sz w:val="17"/>
        </w:rPr>
      </w:pPr>
    </w:p>
    <w:p>
      <w:pPr>
        <w:pStyle w:val="ListParagraph"/>
        <w:numPr>
          <w:ilvl w:val="0"/>
          <w:numId w:val="38"/>
        </w:numPr>
        <w:tabs>
          <w:tab w:pos="585" w:val="left" w:leader="none"/>
          <w:tab w:pos="586" w:val="left" w:leader="none"/>
        </w:tabs>
        <w:spacing w:line="232" w:lineRule="auto" w:before="0" w:after="0"/>
        <w:ind w:left="105" w:right="648" w:firstLine="0"/>
        <w:jc w:val="left"/>
        <w:rPr>
          <w:sz w:val="18"/>
        </w:rPr>
      </w:pPr>
      <w:r>
        <w:rPr>
          <w:color w:val="231F20"/>
          <w:sz w:val="18"/>
        </w:rPr>
        <w:t>According to the British Household Panel Survey, the short-term unemployed were more than twice as likely as</w:t>
      </w:r>
      <w:r>
        <w:rPr>
          <w:color w:val="231F20"/>
          <w:spacing w:val="1"/>
          <w:sz w:val="18"/>
        </w:rPr>
        <w:t> </w:t>
      </w:r>
      <w:r>
        <w:rPr>
          <w:color w:val="231F20"/>
          <w:spacing w:val="-6"/>
          <w:sz w:val="18"/>
        </w:rPr>
        <w:t>the</w:t>
      </w:r>
    </w:p>
    <w:p>
      <w:pPr>
        <w:pStyle w:val="BodyText"/>
        <w:spacing w:line="232" w:lineRule="auto"/>
        <w:ind w:left="105" w:right="134"/>
      </w:pPr>
      <w:r>
        <w:rPr>
          <w:color w:val="231F20"/>
        </w:rPr>
        <w:t>long-term unemployed to be employed a year later. There were </w:t>
      </w:r>
      <w:r>
        <w:rPr>
          <w:color w:val="231F20"/>
          <w:spacing w:val="-6"/>
        </w:rPr>
        <w:t>two </w:t>
      </w:r>
      <w:r>
        <w:rPr>
          <w:color w:val="231F20"/>
        </w:rPr>
        <w:t>possible reasons why the probability of employment declined with unemployment duration. First, from any pool of unemployed workers, employers would tend to select those with the strongest skills and most relevant experience first. The long-term unemployed were thus less likely to have the most appropriate qualifications and skills and were less likely to find a job. Second, the length of the unemployment spell reduced the chances of becoming employed, because search effort fell; or because skills, morale and motivation deteriorated; or because employers used duration as a screening device to discriminate unfairly against the long-term unemployed.</w:t>
      </w:r>
    </w:p>
    <w:p>
      <w:pPr>
        <w:pStyle w:val="BodyText"/>
        <w:spacing w:before="5"/>
        <w:rPr>
          <w:sz w:val="16"/>
        </w:rPr>
      </w:pPr>
    </w:p>
    <w:p>
      <w:pPr>
        <w:pStyle w:val="ListParagraph"/>
        <w:numPr>
          <w:ilvl w:val="0"/>
          <w:numId w:val="38"/>
        </w:numPr>
        <w:tabs>
          <w:tab w:pos="585" w:val="left" w:leader="none"/>
          <w:tab w:pos="586" w:val="left" w:leader="none"/>
        </w:tabs>
        <w:spacing w:line="232" w:lineRule="auto" w:before="0" w:after="0"/>
        <w:ind w:left="105" w:right="308" w:firstLine="0"/>
        <w:jc w:val="left"/>
        <w:rPr>
          <w:sz w:val="18"/>
        </w:rPr>
      </w:pPr>
      <w:r>
        <w:rPr>
          <w:color w:val="231F20"/>
          <w:sz w:val="18"/>
        </w:rPr>
        <w:t>Whatever the reason, the implications for the effect of long-term unemployment on wage pressure were the same: </w:t>
      </w:r>
      <w:r>
        <w:rPr>
          <w:color w:val="231F20"/>
          <w:spacing w:val="-5"/>
          <w:sz w:val="18"/>
        </w:rPr>
        <w:t>when </w:t>
      </w:r>
      <w:r>
        <w:rPr>
          <w:color w:val="231F20"/>
          <w:sz w:val="18"/>
        </w:rPr>
        <w:t>the proportion of long-term jobless was high, for a given level of total unemployment, workers would probably realise that they could not be replaced so easily, and hence that their bargaining strength was higher.</w:t>
      </w:r>
    </w:p>
    <w:p>
      <w:pPr>
        <w:pStyle w:val="BodyText"/>
        <w:rPr>
          <w:sz w:val="17"/>
        </w:rPr>
      </w:pPr>
    </w:p>
    <w:p>
      <w:pPr>
        <w:pStyle w:val="ListParagraph"/>
        <w:numPr>
          <w:ilvl w:val="0"/>
          <w:numId w:val="38"/>
        </w:numPr>
        <w:tabs>
          <w:tab w:pos="585" w:val="left" w:leader="none"/>
          <w:tab w:pos="586" w:val="left" w:leader="none"/>
        </w:tabs>
        <w:spacing w:line="232" w:lineRule="auto" w:before="0" w:after="0"/>
        <w:ind w:left="105" w:right="280" w:firstLine="0"/>
        <w:jc w:val="left"/>
        <w:rPr>
          <w:sz w:val="18"/>
        </w:rPr>
      </w:pPr>
      <w:r>
        <w:rPr>
          <w:color w:val="231F20"/>
          <w:sz w:val="18"/>
        </w:rPr>
        <w:t>The empirical evidence in general supported a more powerful role for short-term unemployment in putting downward pressure on wages. Some studies suggested that only short-term unemployment mattered. But recent Bank research had </w:t>
      </w:r>
      <w:r>
        <w:rPr>
          <w:color w:val="231F20"/>
          <w:spacing w:val="-3"/>
          <w:sz w:val="18"/>
        </w:rPr>
        <w:t>suggested </w:t>
      </w:r>
      <w:r>
        <w:rPr>
          <w:color w:val="231F20"/>
          <w:sz w:val="18"/>
        </w:rPr>
        <w:t>that, although short-term unemployment was more important, the potential downward effect of long-term unemployment on wages should not be disregarded.</w:t>
      </w:r>
    </w:p>
    <w:p>
      <w:pPr>
        <w:spacing w:after="0" w:line="232" w:lineRule="auto"/>
        <w:jc w:val="left"/>
        <w:rPr>
          <w:sz w:val="18"/>
        </w:rPr>
        <w:sectPr>
          <w:type w:val="continuous"/>
          <w:pgSz w:w="11880" w:h="16840"/>
          <w:pgMar w:top="1200" w:bottom="280" w:left="680" w:right="660"/>
          <w:cols w:num="2" w:equalWidth="0">
            <w:col w:w="5055" w:space="335"/>
            <w:col w:w="5150"/>
          </w:cols>
        </w:sectPr>
      </w:pPr>
    </w:p>
    <w:p>
      <w:pPr>
        <w:pStyle w:val="BodyText"/>
        <w:spacing w:before="4"/>
        <w:rPr>
          <w:sz w:val="29"/>
        </w:rPr>
      </w:pPr>
    </w:p>
    <w:p>
      <w:pPr>
        <w:spacing w:after="0"/>
        <w:rPr>
          <w:sz w:val="29"/>
        </w:rPr>
        <w:sectPr>
          <w:pgSz w:w="11880" w:h="16840"/>
          <w:pgMar w:header="566" w:footer="597" w:top="800" w:bottom="780" w:left="680" w:right="660"/>
        </w:sectPr>
      </w:pPr>
    </w:p>
    <w:p>
      <w:pPr>
        <w:pStyle w:val="Heading7"/>
        <w:numPr>
          <w:ilvl w:val="0"/>
          <w:numId w:val="37"/>
        </w:numPr>
        <w:tabs>
          <w:tab w:pos="614" w:val="left" w:leader="none"/>
          <w:tab w:pos="615" w:val="left" w:leader="none"/>
        </w:tabs>
        <w:spacing w:line="240" w:lineRule="auto" w:before="91" w:after="0"/>
        <w:ind w:left="614" w:right="0" w:hanging="481"/>
        <w:jc w:val="left"/>
      </w:pPr>
      <w:r>
        <w:rPr>
          <w:color w:val="009483"/>
        </w:rPr>
        <w:t>Prices</w:t>
      </w:r>
    </w:p>
    <w:p>
      <w:pPr>
        <w:pStyle w:val="ListParagraph"/>
        <w:numPr>
          <w:ilvl w:val="0"/>
          <w:numId w:val="38"/>
        </w:numPr>
        <w:tabs>
          <w:tab w:pos="614" w:val="left" w:leader="none"/>
          <w:tab w:pos="615" w:val="left" w:leader="none"/>
        </w:tabs>
        <w:spacing w:line="232" w:lineRule="auto" w:before="109" w:after="0"/>
        <w:ind w:left="134" w:right="38" w:firstLine="0"/>
        <w:jc w:val="left"/>
        <w:rPr>
          <w:sz w:val="18"/>
        </w:rPr>
      </w:pPr>
      <w:r>
        <w:rPr>
          <w:color w:val="231F20"/>
          <w:sz w:val="18"/>
        </w:rPr>
        <w:t>There were no signs of any upward pressure from commodity prices; provisional estimates suggested that commodity prices rose by 1.1% in October, but this had been entirely because of oil. Oil prices had been stable in November, although there had been some recent signs of softening as the Iraqi crisis had eased.</w:t>
      </w:r>
    </w:p>
    <w:p>
      <w:pPr>
        <w:pStyle w:val="ListParagraph"/>
        <w:numPr>
          <w:ilvl w:val="0"/>
          <w:numId w:val="38"/>
        </w:numPr>
        <w:tabs>
          <w:tab w:pos="614" w:val="left" w:leader="none"/>
          <w:tab w:pos="615" w:val="left" w:leader="none"/>
        </w:tabs>
        <w:spacing w:line="232" w:lineRule="auto" w:before="176" w:after="0"/>
        <w:ind w:left="134" w:right="103" w:firstLine="0"/>
        <w:jc w:val="left"/>
        <w:rPr>
          <w:sz w:val="18"/>
        </w:rPr>
      </w:pPr>
      <w:r>
        <w:rPr>
          <w:color w:val="231F20"/>
          <w:sz w:val="18"/>
        </w:rPr>
        <w:t>Input price deflation continued in October. Output price inflation was barely positive, and there were few signs of it </w:t>
      </w:r>
      <w:r>
        <w:rPr>
          <w:color w:val="231F20"/>
          <w:spacing w:val="-3"/>
          <w:sz w:val="18"/>
        </w:rPr>
        <w:t>turning </w:t>
      </w:r>
      <w:r>
        <w:rPr>
          <w:color w:val="231F20"/>
          <w:sz w:val="18"/>
        </w:rPr>
        <w:t>up. The CBI price expectations balance had turned negative and the Agents were reporting increased pressure from import competition.</w:t>
      </w:r>
    </w:p>
    <w:p>
      <w:pPr>
        <w:pStyle w:val="ListParagraph"/>
        <w:numPr>
          <w:ilvl w:val="0"/>
          <w:numId w:val="38"/>
        </w:numPr>
        <w:tabs>
          <w:tab w:pos="614" w:val="left" w:leader="none"/>
          <w:tab w:pos="615" w:val="left" w:leader="none"/>
        </w:tabs>
        <w:spacing w:line="232" w:lineRule="auto" w:before="176" w:after="0"/>
        <w:ind w:left="134" w:right="93" w:firstLine="0"/>
        <w:jc w:val="left"/>
        <w:rPr>
          <w:sz w:val="18"/>
        </w:rPr>
      </w:pPr>
      <w:r>
        <w:rPr>
          <w:color w:val="231F20"/>
          <w:sz w:val="18"/>
        </w:rPr>
        <w:t>Domestic manufacturers’ margins still appeared to be </w:t>
      </w:r>
      <w:r>
        <w:rPr>
          <w:color w:val="231F20"/>
          <w:spacing w:val="-3"/>
          <w:sz w:val="18"/>
        </w:rPr>
        <w:t>rising, </w:t>
      </w:r>
      <w:r>
        <w:rPr>
          <w:color w:val="231F20"/>
          <w:sz w:val="18"/>
        </w:rPr>
        <w:t>because of subdued costs, although export margins were still under pressure, despite rising export prices in September. Retailers’ margins were continuing to rise.</w:t>
      </w:r>
    </w:p>
    <w:p>
      <w:pPr>
        <w:pStyle w:val="ListParagraph"/>
        <w:numPr>
          <w:ilvl w:val="0"/>
          <w:numId w:val="38"/>
        </w:numPr>
        <w:tabs>
          <w:tab w:pos="614" w:val="left" w:leader="none"/>
          <w:tab w:pos="615" w:val="left" w:leader="none"/>
        </w:tabs>
        <w:spacing w:line="232" w:lineRule="auto" w:before="177" w:after="0"/>
        <w:ind w:left="134" w:right="63" w:firstLine="0"/>
        <w:jc w:val="left"/>
        <w:rPr>
          <w:sz w:val="18"/>
        </w:rPr>
      </w:pPr>
      <w:r>
        <w:rPr>
          <w:color w:val="231F20"/>
          <w:sz w:val="18"/>
        </w:rPr>
        <w:t>RPIX had risen unexpectedly in October to 2.8%, from </w:t>
      </w:r>
      <w:r>
        <w:rPr>
          <w:color w:val="231F20"/>
          <w:spacing w:val="-5"/>
          <w:sz w:val="18"/>
        </w:rPr>
        <w:t>2.7% </w:t>
      </w:r>
      <w:r>
        <w:rPr>
          <w:color w:val="231F20"/>
          <w:sz w:val="18"/>
        </w:rPr>
        <w:t>in September. A 0.9 percentage point wedge had opened up between RPI and RPIX, reflecting the recent mortgage rate rises.</w:t>
      </w:r>
    </w:p>
    <w:p>
      <w:pPr>
        <w:pStyle w:val="ListParagraph"/>
        <w:numPr>
          <w:ilvl w:val="0"/>
          <w:numId w:val="38"/>
        </w:numPr>
        <w:tabs>
          <w:tab w:pos="614" w:val="left" w:leader="none"/>
          <w:tab w:pos="615" w:val="left" w:leader="none"/>
        </w:tabs>
        <w:spacing w:line="232" w:lineRule="auto" w:before="178" w:after="0"/>
        <w:ind w:left="134" w:right="78" w:firstLine="0"/>
        <w:jc w:val="left"/>
        <w:rPr>
          <w:sz w:val="18"/>
        </w:rPr>
      </w:pPr>
      <w:r>
        <w:rPr>
          <w:color w:val="231F20"/>
          <w:sz w:val="18"/>
        </w:rPr>
        <w:t>Looking back over a longer period, RPIX had fluctuated in </w:t>
      </w:r>
      <w:r>
        <w:rPr>
          <w:color w:val="231F20"/>
          <w:spacing w:val="-18"/>
          <w:sz w:val="18"/>
        </w:rPr>
        <w:t>a </w:t>
      </w:r>
      <w:r>
        <w:rPr>
          <w:color w:val="231F20"/>
          <w:sz w:val="18"/>
        </w:rPr>
        <w:t>very narrow channel since 1993 Q2, and its volatility was at a record low. There was a clear positive correlation between the standard deviation of inflation and its level. There was a possible behavioural link: at lower inflation levels, retailers may have had more incentive to keep prices stable, because any change would lead to a more obvious movement in relative prices. But if this simple behavioural link were the answer, other countries with low inflation would have had similarly low volatility; yet they did not, apart from the United States. Also previous episodes of low UK inflation had not been accompanied by similarly low volatility.</w:t>
      </w:r>
    </w:p>
    <w:p>
      <w:pPr>
        <w:pStyle w:val="ListParagraph"/>
        <w:numPr>
          <w:ilvl w:val="0"/>
          <w:numId w:val="38"/>
        </w:numPr>
        <w:tabs>
          <w:tab w:pos="614" w:val="left" w:leader="none"/>
          <w:tab w:pos="615" w:val="left" w:leader="none"/>
        </w:tabs>
        <w:spacing w:line="232" w:lineRule="auto" w:before="171" w:after="0"/>
        <w:ind w:left="134" w:right="73" w:firstLine="0"/>
        <w:jc w:val="left"/>
        <w:rPr>
          <w:sz w:val="18"/>
        </w:rPr>
      </w:pPr>
      <w:r>
        <w:rPr>
          <w:color w:val="231F20"/>
          <w:sz w:val="18"/>
        </w:rPr>
        <w:t>Another possibility was that the determinants of prices, such as demand and costs, were less variable now than in the past. Comparing now with previous periods of low inflation, suggested that this might be part of the story. But volatility had not been consistently lower across the determinants, and the reduction in volatility of factors such as output growth, had been much less </w:t>
      </w:r>
      <w:r>
        <w:rPr>
          <w:color w:val="231F20"/>
          <w:spacing w:val="-5"/>
          <w:sz w:val="18"/>
        </w:rPr>
        <w:t>than </w:t>
      </w:r>
      <w:r>
        <w:rPr>
          <w:color w:val="231F20"/>
          <w:sz w:val="18"/>
        </w:rPr>
        <w:t>for RPIX inflation.</w:t>
      </w:r>
    </w:p>
    <w:p>
      <w:pPr>
        <w:pStyle w:val="ListParagraph"/>
        <w:numPr>
          <w:ilvl w:val="0"/>
          <w:numId w:val="38"/>
        </w:numPr>
        <w:tabs>
          <w:tab w:pos="614" w:val="left" w:leader="none"/>
          <w:tab w:pos="615" w:val="left" w:leader="none"/>
        </w:tabs>
        <w:spacing w:line="232" w:lineRule="auto" w:before="175" w:after="0"/>
        <w:ind w:left="134" w:right="203" w:firstLine="0"/>
        <w:jc w:val="left"/>
        <w:rPr>
          <w:sz w:val="18"/>
        </w:rPr>
      </w:pPr>
      <w:r>
        <w:rPr>
          <w:color w:val="231F20"/>
          <w:sz w:val="18"/>
        </w:rPr>
        <w:t>Another explanation was increased credibility or better anti-inflation policy. Simulations, using a stylised model of the Phillips curve suggested that greater policy credibility would </w:t>
      </w:r>
      <w:r>
        <w:rPr>
          <w:color w:val="231F20"/>
          <w:spacing w:val="-5"/>
          <w:sz w:val="18"/>
        </w:rPr>
        <w:t>lead </w:t>
      </w:r>
      <w:r>
        <w:rPr>
          <w:color w:val="231F20"/>
          <w:sz w:val="18"/>
        </w:rPr>
        <w:t>to lower volatility.</w:t>
      </w:r>
    </w:p>
    <w:p>
      <w:pPr>
        <w:pStyle w:val="BodyText"/>
        <w:spacing w:before="1"/>
        <w:rPr>
          <w:sz w:val="22"/>
        </w:rPr>
      </w:pPr>
    </w:p>
    <w:p>
      <w:pPr>
        <w:pStyle w:val="Heading7"/>
        <w:numPr>
          <w:ilvl w:val="0"/>
          <w:numId w:val="37"/>
        </w:numPr>
        <w:tabs>
          <w:tab w:pos="614" w:val="left" w:leader="none"/>
          <w:tab w:pos="615" w:val="left" w:leader="none"/>
        </w:tabs>
        <w:spacing w:line="240" w:lineRule="auto" w:before="1" w:after="0"/>
        <w:ind w:left="614" w:right="0" w:hanging="481"/>
        <w:jc w:val="left"/>
      </w:pPr>
      <w:r>
        <w:rPr>
          <w:color w:val="009483"/>
        </w:rPr>
        <w:t>Financial</w:t>
      </w:r>
      <w:r>
        <w:rPr>
          <w:color w:val="009483"/>
          <w:spacing w:val="-1"/>
        </w:rPr>
        <w:t> </w:t>
      </w:r>
      <w:r>
        <w:rPr>
          <w:color w:val="009483"/>
        </w:rPr>
        <w:t>markets</w:t>
      </w:r>
    </w:p>
    <w:p>
      <w:pPr>
        <w:pStyle w:val="ListParagraph"/>
        <w:numPr>
          <w:ilvl w:val="0"/>
          <w:numId w:val="38"/>
        </w:numPr>
        <w:tabs>
          <w:tab w:pos="614" w:val="left" w:leader="none"/>
          <w:tab w:pos="615" w:val="left" w:leader="none"/>
        </w:tabs>
        <w:spacing w:line="232" w:lineRule="auto" w:before="109" w:after="0"/>
        <w:ind w:left="134" w:right="98" w:firstLine="0"/>
        <w:jc w:val="left"/>
        <w:rPr>
          <w:sz w:val="18"/>
        </w:rPr>
      </w:pPr>
      <w:r>
        <w:rPr>
          <w:color w:val="231F20"/>
          <w:sz w:val="18"/>
        </w:rPr>
        <w:t>Leaving aside the direct effect from the depreciation of the yen, the impact of the Asian crisis on many of the major currencies (particularly those in Europe) had been muted. But sterling was firmer overall.</w:t>
      </w:r>
    </w:p>
    <w:p>
      <w:pPr>
        <w:pStyle w:val="ListParagraph"/>
        <w:numPr>
          <w:ilvl w:val="0"/>
          <w:numId w:val="38"/>
        </w:numPr>
        <w:tabs>
          <w:tab w:pos="614" w:val="left" w:leader="none"/>
          <w:tab w:pos="615" w:val="left" w:leader="none"/>
        </w:tabs>
        <w:spacing w:line="232" w:lineRule="auto" w:before="177" w:after="0"/>
        <w:ind w:left="134" w:right="108" w:firstLine="0"/>
        <w:jc w:val="left"/>
        <w:rPr>
          <w:sz w:val="18"/>
        </w:rPr>
      </w:pPr>
      <w:r>
        <w:rPr>
          <w:color w:val="231F20"/>
          <w:sz w:val="18"/>
        </w:rPr>
        <w:t>The downward trend in the dollar exchange rate against the Deutsche Mark had been reversed in the latter half of November, probably as a result of a turnaround in expected US-German interest rate differentials. Lower-than-expected M3 and inflation numbers in Germany had caused markets to revise down their expectation about interest rates. In contrast, the continued </w:t>
      </w:r>
      <w:r>
        <w:rPr>
          <w:color w:val="231F20"/>
          <w:spacing w:val="-3"/>
          <w:sz w:val="18"/>
        </w:rPr>
        <w:t>strength </w:t>
      </w:r>
      <w:r>
        <w:rPr>
          <w:color w:val="231F20"/>
          <w:sz w:val="18"/>
        </w:rPr>
        <w:t>in the US economy, and a belief that the F</w:t>
      </w:r>
      <w:r>
        <w:rPr>
          <w:color w:val="231F20"/>
          <w:sz w:val="14"/>
        </w:rPr>
        <w:t>OMC </w:t>
      </w:r>
      <w:r>
        <w:rPr>
          <w:color w:val="231F20"/>
          <w:sz w:val="18"/>
        </w:rPr>
        <w:t>had a bias towards tightening, had firmed interest rate expectations in the United States.</w:t>
      </w:r>
    </w:p>
    <w:p>
      <w:pPr>
        <w:pStyle w:val="ListParagraph"/>
        <w:numPr>
          <w:ilvl w:val="0"/>
          <w:numId w:val="38"/>
        </w:numPr>
        <w:tabs>
          <w:tab w:pos="614" w:val="left" w:leader="none"/>
          <w:tab w:pos="615" w:val="left" w:leader="none"/>
        </w:tabs>
        <w:spacing w:line="232" w:lineRule="auto" w:before="173" w:after="0"/>
        <w:ind w:left="134" w:right="53" w:firstLine="0"/>
        <w:jc w:val="left"/>
        <w:rPr>
          <w:sz w:val="18"/>
        </w:rPr>
      </w:pPr>
      <w:r>
        <w:rPr>
          <w:color w:val="231F20"/>
          <w:sz w:val="18"/>
        </w:rPr>
        <w:t>Concerns in the market about the Japanese banking system had increased during November, as the fourth-biggest dealing house, Yamaichi Securities, and a number of (mostly regional) banks had failed. The extent of this concern was shown by the premium being demanded from high-quality Japanese banks, </w:t>
      </w:r>
      <w:r>
        <w:rPr>
          <w:color w:val="231F20"/>
          <w:spacing w:val="-4"/>
          <w:sz w:val="18"/>
        </w:rPr>
        <w:t>which </w:t>
      </w:r>
      <w:r>
        <w:rPr>
          <w:color w:val="231F20"/>
          <w:sz w:val="18"/>
        </w:rPr>
        <w:t>were seeking to borrow funds in the market. This premium had risen from </w:t>
      </w:r>
      <w:r>
        <w:rPr>
          <w:color w:val="231F20"/>
          <w:position w:val="6"/>
          <w:sz w:val="9"/>
        </w:rPr>
        <w:t>1</w:t>
      </w:r>
      <w:r>
        <w:rPr>
          <w:color w:val="231F20"/>
          <w:sz w:val="18"/>
        </w:rPr>
        <w:t>/</w:t>
      </w:r>
      <w:r>
        <w:rPr>
          <w:color w:val="231F20"/>
          <w:sz w:val="9"/>
        </w:rPr>
        <w:t>4</w:t>
      </w:r>
      <w:r>
        <w:rPr>
          <w:color w:val="231F20"/>
          <w:sz w:val="18"/>
        </w:rPr>
        <w:t>% at the beginning of the month to around 1% at the end.</w:t>
      </w:r>
    </w:p>
    <w:p>
      <w:pPr>
        <w:pStyle w:val="ListParagraph"/>
        <w:numPr>
          <w:ilvl w:val="0"/>
          <w:numId w:val="38"/>
        </w:numPr>
        <w:tabs>
          <w:tab w:pos="614" w:val="left" w:leader="none"/>
          <w:tab w:pos="615" w:val="left" w:leader="none"/>
        </w:tabs>
        <w:spacing w:line="232" w:lineRule="auto" w:before="105" w:after="0"/>
        <w:ind w:left="134" w:right="267" w:firstLine="0"/>
        <w:jc w:val="left"/>
        <w:rPr>
          <w:sz w:val="18"/>
        </w:rPr>
      </w:pPr>
      <w:r>
        <w:rPr>
          <w:color w:val="231F20"/>
          <w:sz w:val="18"/>
        </w:rPr>
        <w:br w:type="column"/>
        <w:t>The problems in Asia had increased the market’s perception of risk in other emerging economies. The yield </w:t>
      </w:r>
      <w:r>
        <w:rPr>
          <w:color w:val="231F20"/>
          <w:spacing w:val="-3"/>
          <w:sz w:val="18"/>
        </w:rPr>
        <w:t>spread </w:t>
      </w:r>
      <w:r>
        <w:rPr>
          <w:color w:val="231F20"/>
          <w:sz w:val="18"/>
        </w:rPr>
        <w:t>over US Treasuries of these countries’ bonds had increased markedly in late October. It rose again in the middle of</w:t>
      </w:r>
    </w:p>
    <w:p>
      <w:pPr>
        <w:pStyle w:val="BodyText"/>
        <w:spacing w:line="232" w:lineRule="auto"/>
        <w:ind w:left="134" w:right="119"/>
      </w:pPr>
      <w:r>
        <w:rPr>
          <w:color w:val="231F20"/>
        </w:rPr>
        <w:t>November, but had since come down to its level at the beginning of that month.</w:t>
      </w:r>
    </w:p>
    <w:p>
      <w:pPr>
        <w:pStyle w:val="BodyText"/>
        <w:rPr>
          <w:sz w:val="17"/>
        </w:rPr>
      </w:pPr>
    </w:p>
    <w:p>
      <w:pPr>
        <w:pStyle w:val="ListParagraph"/>
        <w:numPr>
          <w:ilvl w:val="0"/>
          <w:numId w:val="38"/>
        </w:numPr>
        <w:tabs>
          <w:tab w:pos="614" w:val="left" w:leader="none"/>
          <w:tab w:pos="615" w:val="left" w:leader="none"/>
        </w:tabs>
        <w:spacing w:line="232" w:lineRule="auto" w:before="0" w:after="0"/>
        <w:ind w:left="134" w:right="157" w:firstLine="0"/>
        <w:jc w:val="left"/>
        <w:rPr>
          <w:sz w:val="18"/>
        </w:rPr>
      </w:pPr>
      <w:r>
        <w:rPr>
          <w:color w:val="231F20"/>
          <w:sz w:val="18"/>
        </w:rPr>
        <w:t>The rise in the United Kingdom’s base rate in early November had been mostly unexpected. Moreover, the market </w:t>
      </w:r>
      <w:r>
        <w:rPr>
          <w:color w:val="231F20"/>
          <w:spacing w:val="-6"/>
          <w:sz w:val="18"/>
        </w:rPr>
        <w:t>had </w:t>
      </w:r>
      <w:r>
        <w:rPr>
          <w:color w:val="231F20"/>
          <w:sz w:val="18"/>
        </w:rPr>
        <w:t>not just been surprised by the timing, because three-month rates implied by future contracts went up by 25 basis points along much of the curve into the next millennium. In other words, the market had changed its view of the MPC’s future stance. Interest rate expectations had continued to be revised up, although they had settled back more recently.</w:t>
      </w:r>
    </w:p>
    <w:p>
      <w:pPr>
        <w:pStyle w:val="BodyText"/>
        <w:spacing w:before="10"/>
        <w:rPr>
          <w:sz w:val="16"/>
        </w:rPr>
      </w:pPr>
    </w:p>
    <w:p>
      <w:pPr>
        <w:pStyle w:val="ListParagraph"/>
        <w:numPr>
          <w:ilvl w:val="0"/>
          <w:numId w:val="38"/>
        </w:numPr>
        <w:tabs>
          <w:tab w:pos="614" w:val="left" w:leader="none"/>
          <w:tab w:pos="615" w:val="left" w:leader="none"/>
        </w:tabs>
        <w:spacing w:line="232" w:lineRule="auto" w:before="0" w:after="0"/>
        <w:ind w:left="134" w:right="392" w:firstLine="0"/>
        <w:jc w:val="left"/>
        <w:rPr>
          <w:sz w:val="18"/>
        </w:rPr>
      </w:pPr>
      <w:r>
        <w:rPr>
          <w:color w:val="231F20"/>
          <w:sz w:val="18"/>
        </w:rPr>
        <w:t>What lay behind these market reactions? Whenever </w:t>
      </w:r>
      <w:r>
        <w:rPr>
          <w:color w:val="231F20"/>
          <w:spacing w:val="-4"/>
          <w:sz w:val="18"/>
        </w:rPr>
        <w:t>rates </w:t>
      </w:r>
      <w:r>
        <w:rPr>
          <w:color w:val="231F20"/>
          <w:sz w:val="18"/>
        </w:rPr>
        <w:t>were put up unexpectedly, outsiders were unsure as to whether</w:t>
      </w:r>
    </w:p>
    <w:p>
      <w:pPr>
        <w:pStyle w:val="BodyText"/>
        <w:spacing w:line="232" w:lineRule="auto"/>
        <w:ind w:left="134" w:right="89"/>
      </w:pPr>
      <w:r>
        <w:rPr>
          <w:color w:val="231F20"/>
        </w:rPr>
        <w:t>the MPC members were doughtier inflation-fighters than previously thought, or whether the MPC had information about the future that was not available to the market. Initially, inflation expectations</w:t>
      </w:r>
    </w:p>
    <w:p>
      <w:pPr>
        <w:pStyle w:val="BodyText"/>
        <w:spacing w:line="232" w:lineRule="auto"/>
        <w:ind w:left="134" w:right="233"/>
      </w:pPr>
      <w:r>
        <w:rPr>
          <w:color w:val="231F20"/>
        </w:rPr>
        <w:t>did not react to the rise, but they came down subsequently, around the time that the </w:t>
      </w:r>
      <w:r>
        <w:rPr>
          <w:i/>
          <w:color w:val="231F20"/>
        </w:rPr>
        <w:t>Inflation Report </w:t>
      </w:r>
      <w:r>
        <w:rPr>
          <w:color w:val="231F20"/>
        </w:rPr>
        <w:t>was published, indicating that the market was reassured that the MPC was being tougher on inflation.</w:t>
      </w:r>
    </w:p>
    <w:p>
      <w:pPr>
        <w:pStyle w:val="BodyText"/>
        <w:spacing w:before="6"/>
      </w:pPr>
    </w:p>
    <w:p>
      <w:pPr>
        <w:pStyle w:val="ListParagraph"/>
        <w:numPr>
          <w:ilvl w:val="0"/>
          <w:numId w:val="38"/>
        </w:numPr>
        <w:tabs>
          <w:tab w:pos="614" w:val="left" w:leader="none"/>
          <w:tab w:pos="615" w:val="left" w:leader="none"/>
        </w:tabs>
        <w:spacing w:line="232" w:lineRule="auto" w:before="0" w:after="0"/>
        <w:ind w:left="134" w:right="107" w:firstLine="0"/>
        <w:jc w:val="left"/>
        <w:rPr>
          <w:sz w:val="18"/>
        </w:rPr>
      </w:pPr>
      <w:r>
        <w:rPr>
          <w:color w:val="231F20"/>
          <w:sz w:val="18"/>
        </w:rPr>
        <w:t>There was some evidence that the widening of credit spreads in Japan and developing countries had affected spreads in the United Kingdom, albeit in a minor way. There had been a 10 basis point increase in the spread of corporate bonds over government debt and a 15 basis point rise in Libor over the market gilt repo </w:t>
      </w:r>
      <w:r>
        <w:rPr>
          <w:color w:val="231F20"/>
          <w:spacing w:val="-4"/>
          <w:sz w:val="18"/>
        </w:rPr>
        <w:t>rate. </w:t>
      </w:r>
      <w:r>
        <w:rPr>
          <w:color w:val="231F20"/>
          <w:sz w:val="18"/>
        </w:rPr>
        <w:t>Although these changes were small, they were not insignificant when compared with the 25 basis point changes in official rates.</w:t>
      </w:r>
    </w:p>
    <w:p>
      <w:pPr>
        <w:pStyle w:val="BodyText"/>
        <w:spacing w:before="10"/>
        <w:rPr>
          <w:sz w:val="16"/>
        </w:rPr>
      </w:pPr>
    </w:p>
    <w:p>
      <w:pPr>
        <w:pStyle w:val="ListParagraph"/>
        <w:numPr>
          <w:ilvl w:val="0"/>
          <w:numId w:val="38"/>
        </w:numPr>
        <w:tabs>
          <w:tab w:pos="614" w:val="left" w:leader="none"/>
          <w:tab w:pos="615" w:val="left" w:leader="none"/>
        </w:tabs>
        <w:spacing w:line="232" w:lineRule="auto" w:before="0" w:after="0"/>
        <w:ind w:left="134" w:right="122" w:firstLine="0"/>
        <w:jc w:val="left"/>
        <w:rPr>
          <w:sz w:val="18"/>
        </w:rPr>
      </w:pPr>
      <w:r>
        <w:rPr>
          <w:color w:val="231F20"/>
          <w:sz w:val="18"/>
        </w:rPr>
        <w:t>The market expected no change in official rates over the </w:t>
      </w:r>
      <w:r>
        <w:rPr>
          <w:color w:val="231F20"/>
          <w:spacing w:val="-5"/>
          <w:sz w:val="18"/>
        </w:rPr>
        <w:t>next </w:t>
      </w:r>
      <w:r>
        <w:rPr>
          <w:color w:val="231F20"/>
          <w:sz w:val="18"/>
        </w:rPr>
        <w:t>two weeks, according to forward interest rates derived from the gilt repo market. Indeed there seemed to be little expected change even by February.  Looking slightly further out over the next two years, it was more difficult to say what the market expected about official rates. Information came from three-month Libor rates implied in the futures markets, which incorporated a spread over official rates. But with greater concerns over credit risk arising out of the East Asia crisis, it was difficult to know how large this spread was. On reasonable assumptions it would be possible to conclude either that the market expected one more rise in the late spring or summer of next year, or that there would be no more rises before rates started to come down in the second half of next year.</w:t>
      </w:r>
    </w:p>
    <w:p>
      <w:pPr>
        <w:pStyle w:val="BodyText"/>
        <w:spacing w:before="6"/>
        <w:rPr>
          <w:sz w:val="16"/>
        </w:rPr>
      </w:pPr>
    </w:p>
    <w:p>
      <w:pPr>
        <w:pStyle w:val="ListParagraph"/>
        <w:numPr>
          <w:ilvl w:val="0"/>
          <w:numId w:val="38"/>
        </w:numPr>
        <w:tabs>
          <w:tab w:pos="614" w:val="left" w:leader="none"/>
          <w:tab w:pos="615" w:val="left" w:leader="none"/>
        </w:tabs>
        <w:spacing w:line="232" w:lineRule="auto" w:before="0" w:after="0"/>
        <w:ind w:left="134" w:right="101" w:firstLine="0"/>
        <w:jc w:val="left"/>
        <w:rPr>
          <w:sz w:val="18"/>
        </w:rPr>
      </w:pPr>
      <w:r>
        <w:rPr>
          <w:color w:val="231F20"/>
          <w:sz w:val="18"/>
        </w:rPr>
        <w:t>There had been only modest changes in most G7 stockmarket indices since the previous MPC meeting. Equity market uncertainty in the United States and United Kingdom (as measured from options prices) had trended down since the turbulence of late October, but remained above the levels seen in September and August. Implied volatility in Japan’s equity </w:t>
      </w:r>
      <w:r>
        <w:rPr>
          <w:color w:val="231F20"/>
          <w:spacing w:val="-3"/>
          <w:sz w:val="18"/>
        </w:rPr>
        <w:t>markets </w:t>
      </w:r>
      <w:r>
        <w:rPr>
          <w:color w:val="231F20"/>
          <w:sz w:val="18"/>
        </w:rPr>
        <w:t>had continued to rise sharply in the period since the previous MPC meeting. The negative skew in the implied probability distributions for the F</w:t>
      </w:r>
      <w:r>
        <w:rPr>
          <w:color w:val="231F20"/>
          <w:sz w:val="14"/>
        </w:rPr>
        <w:t>T-SE </w:t>
      </w:r>
      <w:r>
        <w:rPr>
          <w:color w:val="231F20"/>
          <w:sz w:val="18"/>
        </w:rPr>
        <w:t>100 had reduced somewhat since the previous meeting, but remained more pronounced than before the global equity market turbulence of October.</w:t>
      </w:r>
    </w:p>
    <w:p>
      <w:pPr>
        <w:pStyle w:val="BodyText"/>
        <w:spacing w:before="8"/>
        <w:rPr>
          <w:sz w:val="16"/>
        </w:rPr>
      </w:pPr>
    </w:p>
    <w:p>
      <w:pPr>
        <w:pStyle w:val="ListParagraph"/>
        <w:numPr>
          <w:ilvl w:val="0"/>
          <w:numId w:val="38"/>
        </w:numPr>
        <w:tabs>
          <w:tab w:pos="614" w:val="left" w:leader="none"/>
          <w:tab w:pos="615" w:val="left" w:leader="none"/>
        </w:tabs>
        <w:spacing w:line="232" w:lineRule="auto" w:before="0" w:after="0"/>
        <w:ind w:left="134" w:right="147" w:firstLine="0"/>
        <w:jc w:val="left"/>
        <w:rPr>
          <w:sz w:val="18"/>
        </w:rPr>
      </w:pPr>
      <w:r>
        <w:rPr>
          <w:color w:val="231F20"/>
          <w:sz w:val="18"/>
        </w:rPr>
        <w:t>Stock market uncertainty had possible implications for real activity. It could reduce investment through higher risk premia </w:t>
      </w:r>
      <w:r>
        <w:rPr>
          <w:color w:val="231F20"/>
          <w:spacing w:val="-6"/>
          <w:sz w:val="18"/>
        </w:rPr>
        <w:t>and </w:t>
      </w:r>
      <w:r>
        <w:rPr>
          <w:color w:val="231F20"/>
          <w:sz w:val="18"/>
        </w:rPr>
        <w:t>a higher notional option value in postponing potentially profitable investment. It could also reduce consumption by making the level of financial wealth uncertain and, given that stock market uncertainty was prevalent around the world, it could also reduce demand from overseas. But analysis suggested that uncertainty about UK equity prices might now be increasingly concentrated in financial and mineral extraction companies, which could limit its impact on the real economy compared with the situation where it was more broad based.</w:t>
      </w:r>
    </w:p>
    <w:p>
      <w:pPr>
        <w:spacing w:after="0" w:line="232" w:lineRule="auto"/>
        <w:jc w:val="left"/>
        <w:rPr>
          <w:sz w:val="18"/>
        </w:rPr>
        <w:sectPr>
          <w:type w:val="continuous"/>
          <w:pgSz w:w="11880" w:h="16840"/>
          <w:pgMar w:top="1200" w:bottom="280" w:left="680" w:right="660"/>
          <w:cols w:num="2" w:equalWidth="0">
            <w:col w:w="5069" w:space="324"/>
            <w:col w:w="5147"/>
          </w:cols>
        </w:sectPr>
      </w:pPr>
    </w:p>
    <w:p>
      <w:pPr>
        <w:pStyle w:val="BodyText"/>
        <w:spacing w:before="4"/>
        <w:rPr>
          <w:sz w:val="28"/>
        </w:rPr>
      </w:pPr>
    </w:p>
    <w:p>
      <w:pPr>
        <w:spacing w:line="357" w:lineRule="auto" w:before="88"/>
        <w:ind w:left="100" w:right="3179" w:firstLine="0"/>
        <w:jc w:val="left"/>
        <w:rPr>
          <w:b/>
          <w:sz w:val="28"/>
        </w:rPr>
      </w:pPr>
      <w:bookmarkStart w:name="_bookmark39" w:id="92"/>
      <w:bookmarkEnd w:id="92"/>
      <w:r>
        <w:rPr/>
      </w:r>
      <w:r>
        <w:rPr>
          <w:b/>
          <w:color w:val="009483"/>
          <w:sz w:val="28"/>
        </w:rPr>
        <w:t>Text of Bank of England press notice of 4 December 1997 Bank of England leaves interest rates unchanged</w:t>
      </w:r>
    </w:p>
    <w:p>
      <w:pPr>
        <w:pStyle w:val="BodyText"/>
        <w:spacing w:before="2"/>
        <w:rPr>
          <w:b/>
          <w:sz w:val="13"/>
        </w:rPr>
      </w:pPr>
    </w:p>
    <w:p>
      <w:pPr>
        <w:pStyle w:val="BodyText"/>
        <w:spacing w:before="93"/>
        <w:ind w:left="125"/>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ind w:left="125" w:right="117"/>
      </w:pPr>
      <w:r>
        <w:rPr>
          <w:color w:val="231F20"/>
        </w:rPr>
        <w:t>The minutes of today’s Monetary Policy Committee meeting will be published on Wednesday, 14 January 1998. Minutes of the meeting held in November will be published on Wednesday, 10 December.</w:t>
      </w:r>
    </w:p>
    <w:p>
      <w:pPr>
        <w:spacing w:after="0" w:line="232" w:lineRule="auto"/>
        <w:sectPr>
          <w:pgSz w:w="11880" w:h="16840"/>
          <w:pgMar w:header="566" w:footer="597" w:top="800" w:bottom="780" w:left="680" w:right="660"/>
        </w:sectPr>
      </w:pPr>
    </w:p>
    <w:p>
      <w:pPr>
        <w:pStyle w:val="BodyText"/>
        <w:rPr>
          <w:sz w:val="20"/>
        </w:rPr>
      </w:pPr>
    </w:p>
    <w:p>
      <w:pPr>
        <w:pStyle w:val="BodyText"/>
        <w:rPr>
          <w:sz w:val="20"/>
        </w:rPr>
      </w:pPr>
    </w:p>
    <w:p>
      <w:pPr>
        <w:pStyle w:val="BodyText"/>
        <w:spacing w:before="8"/>
        <w:rPr>
          <w:sz w:val="17"/>
        </w:rPr>
      </w:pPr>
    </w:p>
    <w:p>
      <w:pPr>
        <w:pStyle w:val="Heading2"/>
      </w:pPr>
      <w:bookmarkStart w:name="_bookmark40" w:id="93"/>
      <w:bookmarkEnd w:id="93"/>
      <w:r>
        <w:rPr>
          <w:b w:val="0"/>
        </w:rPr>
      </w:r>
      <w:r>
        <w:rPr>
          <w:color w:val="009483"/>
        </w:rPr>
        <w:t>Minutes of the Monetary Policy Committee meeting on 7–8 January 1998</w:t>
      </w:r>
    </w:p>
    <w:p>
      <w:pPr>
        <w:pStyle w:val="BodyText"/>
        <w:spacing w:before="8"/>
        <w:rPr>
          <w:b/>
          <w:sz w:val="26"/>
        </w:rPr>
      </w:pPr>
    </w:p>
    <w:p>
      <w:pPr>
        <w:spacing w:after="0"/>
        <w:rPr>
          <w:sz w:val="26"/>
        </w:rPr>
        <w:sectPr>
          <w:pgSz w:w="11880" w:h="16840"/>
          <w:pgMar w:header="566" w:footer="597" w:top="800" w:bottom="780" w:left="680" w:right="660"/>
        </w:sectPr>
      </w:pPr>
    </w:p>
    <w:p>
      <w:pPr>
        <w:pStyle w:val="ListParagraph"/>
        <w:numPr>
          <w:ilvl w:val="0"/>
          <w:numId w:val="39"/>
        </w:numPr>
        <w:tabs>
          <w:tab w:pos="599" w:val="left" w:leader="none"/>
          <w:tab w:pos="601" w:val="left" w:leader="none"/>
        </w:tabs>
        <w:spacing w:line="232" w:lineRule="auto" w:before="98" w:after="0"/>
        <w:ind w:left="120" w:right="53" w:firstLine="0"/>
        <w:jc w:val="left"/>
        <w:rPr>
          <w:sz w:val="18"/>
        </w:rPr>
      </w:pPr>
      <w:r>
        <w:rPr>
          <w:color w:val="231F20"/>
          <w:sz w:val="18"/>
        </w:rPr>
        <w:t>The meeting was preceded by a presentation by Bank staff </w:t>
      </w:r>
      <w:r>
        <w:rPr>
          <w:color w:val="231F20"/>
          <w:spacing w:val="-9"/>
          <w:sz w:val="18"/>
        </w:rPr>
        <w:t>of </w:t>
      </w:r>
      <w:r>
        <w:rPr>
          <w:color w:val="231F20"/>
          <w:sz w:val="18"/>
        </w:rPr>
        <w:t>the most recent data on monetary and economic conditions. The staff presentation is summarised in the Annex to these minutes; it has been updated to incorporate data that subsequently became available to the Monetary Policy Committee before its meeting.</w:t>
      </w:r>
    </w:p>
    <w:p>
      <w:pPr>
        <w:pStyle w:val="BodyText"/>
        <w:spacing w:before="9"/>
        <w:rPr>
          <w:sz w:val="23"/>
        </w:rPr>
      </w:pPr>
    </w:p>
    <w:p>
      <w:pPr>
        <w:pStyle w:val="Heading7"/>
        <w:spacing w:line="266" w:lineRule="auto"/>
        <w:ind w:right="60"/>
      </w:pPr>
      <w:r>
        <w:rPr>
          <w:color w:val="009483"/>
        </w:rPr>
        <w:t>Is the economy slowing in line with the November central projection?</w:t>
      </w:r>
    </w:p>
    <w:p>
      <w:pPr>
        <w:pStyle w:val="ListParagraph"/>
        <w:numPr>
          <w:ilvl w:val="0"/>
          <w:numId w:val="39"/>
        </w:numPr>
        <w:tabs>
          <w:tab w:pos="599" w:val="left" w:leader="none"/>
          <w:tab w:pos="601" w:val="left" w:leader="none"/>
        </w:tabs>
        <w:spacing w:line="232" w:lineRule="auto" w:before="161" w:after="0"/>
        <w:ind w:left="120" w:right="318" w:firstLine="0"/>
        <w:jc w:val="left"/>
        <w:rPr>
          <w:sz w:val="18"/>
        </w:rPr>
      </w:pPr>
      <w:r>
        <w:rPr>
          <w:color w:val="231F20"/>
          <w:sz w:val="18"/>
        </w:rPr>
        <w:t>The Committee began by discussing recent economic indicators and comparing them with the central projection in </w:t>
      </w:r>
      <w:r>
        <w:rPr>
          <w:color w:val="231F20"/>
          <w:spacing w:val="-6"/>
          <w:sz w:val="18"/>
        </w:rPr>
        <w:t>the </w:t>
      </w:r>
      <w:r>
        <w:rPr>
          <w:color w:val="231F20"/>
          <w:sz w:val="18"/>
        </w:rPr>
        <w:t>November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11"/>
      </w:pPr>
    </w:p>
    <w:p>
      <w:pPr>
        <w:pStyle w:val="ListParagraph"/>
        <w:numPr>
          <w:ilvl w:val="0"/>
          <w:numId w:val="39"/>
        </w:numPr>
        <w:tabs>
          <w:tab w:pos="599" w:val="left" w:leader="none"/>
          <w:tab w:pos="601" w:val="left" w:leader="none"/>
        </w:tabs>
        <w:spacing w:line="232" w:lineRule="auto" w:before="0" w:after="0"/>
        <w:ind w:left="119" w:right="153" w:firstLine="0"/>
        <w:jc w:val="left"/>
        <w:rPr>
          <w:sz w:val="18"/>
        </w:rPr>
      </w:pPr>
      <w:r>
        <w:rPr>
          <w:color w:val="231F20"/>
          <w:sz w:val="18"/>
        </w:rPr>
        <w:t>Members noted tentative signs of deceleration in broad money, and the rather clearer signs of deceleration in credit. The slowdown in credit to ICCs had been particularly clear, even if </w:t>
      </w:r>
      <w:r>
        <w:rPr>
          <w:color w:val="231F20"/>
          <w:spacing w:val="-6"/>
          <w:sz w:val="18"/>
        </w:rPr>
        <w:t>the </w:t>
      </w:r>
      <w:r>
        <w:rPr>
          <w:color w:val="231F20"/>
          <w:sz w:val="18"/>
        </w:rPr>
        <w:t>most recent figures proved to be erratically low. By contrast unsecured personal credit growth had moderated only slightly and remained strong. The Committee thought that there was not </w:t>
      </w:r>
      <w:r>
        <w:rPr>
          <w:color w:val="231F20"/>
          <w:spacing w:val="-3"/>
          <w:sz w:val="18"/>
        </w:rPr>
        <w:t>much </w:t>
      </w:r>
      <w:r>
        <w:rPr>
          <w:color w:val="231F20"/>
          <w:sz w:val="18"/>
        </w:rPr>
        <w:t>news in the latest money and credit data.</w:t>
      </w:r>
    </w:p>
    <w:p>
      <w:pPr>
        <w:pStyle w:val="BodyText"/>
        <w:spacing w:before="10"/>
        <w:rPr>
          <w:sz w:val="16"/>
        </w:rPr>
      </w:pPr>
    </w:p>
    <w:p>
      <w:pPr>
        <w:pStyle w:val="ListParagraph"/>
        <w:numPr>
          <w:ilvl w:val="0"/>
          <w:numId w:val="39"/>
        </w:numPr>
        <w:tabs>
          <w:tab w:pos="599" w:val="left" w:leader="none"/>
          <w:tab w:pos="601" w:val="left" w:leader="none"/>
        </w:tabs>
        <w:spacing w:line="232" w:lineRule="auto" w:before="0" w:after="0"/>
        <w:ind w:left="119" w:right="38" w:firstLine="0"/>
        <w:jc w:val="left"/>
        <w:rPr>
          <w:sz w:val="18"/>
        </w:rPr>
      </w:pPr>
      <w:r>
        <w:rPr>
          <w:color w:val="231F20"/>
          <w:sz w:val="18"/>
        </w:rPr>
        <w:t>The Committee turned next to domestic demand. The ONS had revised the estimated growth rate of consumer spending in 1997 Q3 downwards from 1.2% to 0.7%. Spending in September had been depressed after the death of Diana, Princess of Wales, but retail sales had bounced back in October and that would support consumer spending in Q4. The Agents’ reports suggested that </w:t>
      </w:r>
      <w:r>
        <w:rPr>
          <w:color w:val="231F20"/>
          <w:spacing w:val="-3"/>
          <w:sz w:val="18"/>
        </w:rPr>
        <w:t>retail </w:t>
      </w:r>
      <w:r>
        <w:rPr>
          <w:color w:val="231F20"/>
          <w:sz w:val="18"/>
        </w:rPr>
        <w:t>sales had been below expectations in the first three weeks of December; and that unwanted stocks had been building up, which could depress retail prices and perhaps output in 1998. Reports of sales since immediately before Christmas suggested that demand had strengthened, however. Consumer confidence had fallen since the summer, though it was still high.  In the housing market, activity indicators remained fairly flat. The divergence between the Nationwide and Halifax measures of house price inflation had widened further still in December:  the Bank’s index, based on Land Registry data which were available only up to 1997 Q3, did not indicate a rising rate of house price increase in Q3. The investment figure for Q3 (a fall of 0.5%) seemed surprisingly weak but the Committee noted that revisions to this estimate were often large.</w:t>
      </w:r>
    </w:p>
    <w:p>
      <w:pPr>
        <w:pStyle w:val="BodyText"/>
        <w:spacing w:before="1"/>
        <w:rPr>
          <w:sz w:val="16"/>
        </w:rPr>
      </w:pPr>
    </w:p>
    <w:p>
      <w:pPr>
        <w:pStyle w:val="ListParagraph"/>
        <w:numPr>
          <w:ilvl w:val="0"/>
          <w:numId w:val="39"/>
        </w:numPr>
        <w:tabs>
          <w:tab w:pos="599" w:val="left" w:leader="none"/>
          <w:tab w:pos="601" w:val="left" w:leader="none"/>
        </w:tabs>
        <w:spacing w:line="232" w:lineRule="auto" w:before="0" w:after="0"/>
        <w:ind w:left="119" w:right="188" w:firstLine="0"/>
        <w:jc w:val="left"/>
        <w:rPr>
          <w:sz w:val="18"/>
        </w:rPr>
      </w:pPr>
      <w:r>
        <w:rPr>
          <w:color w:val="231F20"/>
          <w:sz w:val="18"/>
        </w:rPr>
        <w:t>Some other aspects of the third quarter national accounts were difficult to understand—for example the rise of 1.4% in government consumption in Q3 seemed hard to reconcile with </w:t>
      </w:r>
      <w:r>
        <w:rPr>
          <w:color w:val="231F20"/>
          <w:spacing w:val="-6"/>
          <w:sz w:val="18"/>
        </w:rPr>
        <w:t>the </w:t>
      </w:r>
      <w:r>
        <w:rPr>
          <w:color w:val="231F20"/>
          <w:sz w:val="18"/>
        </w:rPr>
        <w:t>increase of only 0.2% in the output of government and other services.</w:t>
      </w:r>
    </w:p>
    <w:p>
      <w:pPr>
        <w:pStyle w:val="BodyText"/>
        <w:rPr>
          <w:sz w:val="17"/>
        </w:rPr>
      </w:pPr>
    </w:p>
    <w:p>
      <w:pPr>
        <w:pStyle w:val="ListParagraph"/>
        <w:numPr>
          <w:ilvl w:val="0"/>
          <w:numId w:val="39"/>
        </w:numPr>
        <w:tabs>
          <w:tab w:pos="599" w:val="left" w:leader="none"/>
          <w:tab w:pos="601" w:val="left" w:leader="none"/>
        </w:tabs>
        <w:spacing w:line="232" w:lineRule="auto" w:before="1" w:after="0"/>
        <w:ind w:left="119" w:right="248" w:firstLine="0"/>
        <w:jc w:val="left"/>
        <w:rPr>
          <w:sz w:val="18"/>
        </w:rPr>
      </w:pPr>
      <w:r>
        <w:rPr>
          <w:color w:val="231F20"/>
          <w:sz w:val="18"/>
        </w:rPr>
        <w:t>The Committee discussed external trade next. Net </w:t>
      </w:r>
      <w:r>
        <w:rPr>
          <w:color w:val="231F20"/>
          <w:spacing w:val="-3"/>
          <w:sz w:val="18"/>
        </w:rPr>
        <w:t>exports </w:t>
      </w:r>
      <w:r>
        <w:rPr>
          <w:color w:val="231F20"/>
          <w:sz w:val="18"/>
        </w:rPr>
        <w:t>had increased slightly in 1997 Q3, though the increase was more than accounted for by oil and erratic items. Net exports had changed very little between 1996 Q3 and 1997 Q3. Monthly figures showed a widening of the deficit on trade in goods since September: it was curious, given relative exchange rate movements, that the widening was concentrated in trade with non-EU countries.</w:t>
      </w:r>
    </w:p>
    <w:p>
      <w:pPr>
        <w:pStyle w:val="BodyText"/>
        <w:spacing w:before="9"/>
        <w:rPr>
          <w:sz w:val="16"/>
        </w:rPr>
      </w:pPr>
    </w:p>
    <w:p>
      <w:pPr>
        <w:pStyle w:val="ListParagraph"/>
        <w:numPr>
          <w:ilvl w:val="0"/>
          <w:numId w:val="39"/>
        </w:numPr>
        <w:tabs>
          <w:tab w:pos="599" w:val="left" w:leader="none"/>
          <w:tab w:pos="601" w:val="left" w:leader="none"/>
        </w:tabs>
        <w:spacing w:line="232" w:lineRule="auto" w:before="0" w:after="0"/>
        <w:ind w:left="119" w:right="100" w:firstLine="0"/>
        <w:jc w:val="left"/>
        <w:rPr>
          <w:sz w:val="18"/>
        </w:rPr>
      </w:pPr>
      <w:r>
        <w:rPr>
          <w:color w:val="231F20"/>
          <w:sz w:val="18"/>
        </w:rPr>
        <w:t>As to output, GDP growth in Q3, which had been revised down to 0.8%, had been a little lower than the November central projection. The central projection was for an increase in the rate </w:t>
      </w:r>
      <w:r>
        <w:rPr>
          <w:color w:val="231F20"/>
          <w:spacing w:val="-9"/>
          <w:sz w:val="18"/>
        </w:rPr>
        <w:t>of </w:t>
      </w:r>
      <w:r>
        <w:rPr>
          <w:color w:val="231F20"/>
          <w:sz w:val="18"/>
        </w:rPr>
        <w:t>growth in Q4, followed by a sharp slowdown to below-trend growth in 1998 Q1. Members discussed the likely pattern of growth in the light of the latest information. One view was that growth in Q4 would be higher than in Q3, influenced by a rebound in consumer spending following the death of Diana, Princess of</w:t>
      </w:r>
    </w:p>
    <w:p>
      <w:pPr>
        <w:pStyle w:val="BodyText"/>
        <w:spacing w:line="232" w:lineRule="auto" w:before="98"/>
        <w:ind w:left="120" w:right="183"/>
      </w:pPr>
      <w:r>
        <w:rPr/>
        <w:br w:type="column"/>
      </w:r>
      <w:r>
        <w:rPr>
          <w:color w:val="231F20"/>
        </w:rPr>
        <w:t>Wales. Another was that growth might have reached a peak in 1997 Q2, and that, with none of the major demand components accelerating, the economy had begun to slow down earlier than expected. Some members doubted whether growth would slow down as sharply at the beginning of 1998 as the central projection indicated, citing business surveys which did not suggest that such </w:t>
      </w:r>
      <w:r>
        <w:rPr>
          <w:color w:val="231F20"/>
          <w:spacing w:val="-18"/>
        </w:rPr>
        <w:t>a </w:t>
      </w:r>
      <w:r>
        <w:rPr>
          <w:color w:val="231F20"/>
        </w:rPr>
        <w:t>sharp slowdown was imminent.</w:t>
      </w:r>
    </w:p>
    <w:p>
      <w:pPr>
        <w:pStyle w:val="BodyText"/>
        <w:spacing w:before="10"/>
        <w:rPr>
          <w:sz w:val="16"/>
        </w:rPr>
      </w:pPr>
    </w:p>
    <w:p>
      <w:pPr>
        <w:pStyle w:val="ListParagraph"/>
        <w:numPr>
          <w:ilvl w:val="0"/>
          <w:numId w:val="39"/>
        </w:numPr>
        <w:tabs>
          <w:tab w:pos="599" w:val="left" w:leader="none"/>
          <w:tab w:pos="601" w:val="left" w:leader="none"/>
        </w:tabs>
        <w:spacing w:line="232" w:lineRule="auto" w:before="1" w:after="0"/>
        <w:ind w:left="120" w:right="129" w:firstLine="0"/>
        <w:jc w:val="left"/>
        <w:rPr>
          <w:sz w:val="18"/>
        </w:rPr>
      </w:pPr>
      <w:r>
        <w:rPr>
          <w:color w:val="231F20"/>
          <w:sz w:val="18"/>
        </w:rPr>
        <w:t>The Committee discussed labour market developments. The quantity indicators showed continued tightening, though there were some signs that the pace of tightening had fallen. Surveys suggested that demand for labour was continuing to grow. The welfare-to-work programme was unlikely to enlarge the supply of labour much in 1998 H1. Some members were concerned about </w:t>
      </w:r>
      <w:r>
        <w:rPr>
          <w:color w:val="231F20"/>
          <w:spacing w:val="-6"/>
          <w:sz w:val="18"/>
        </w:rPr>
        <w:t>the </w:t>
      </w:r>
      <w:r>
        <w:rPr>
          <w:color w:val="231F20"/>
          <w:sz w:val="18"/>
        </w:rPr>
        <w:t>outlook for earnings. They drew attention to the Agents’ survey which pointed to higher settlements this year than last; they also suggested that, as the economy slowed down, productivity growth was likely to fall, and unit labour costs to accelerate.</w:t>
      </w:r>
    </w:p>
    <w:p>
      <w:pPr>
        <w:pStyle w:val="BodyText"/>
        <w:spacing w:before="8"/>
        <w:rPr>
          <w:sz w:val="16"/>
        </w:rPr>
      </w:pPr>
    </w:p>
    <w:p>
      <w:pPr>
        <w:pStyle w:val="ListParagraph"/>
        <w:numPr>
          <w:ilvl w:val="0"/>
          <w:numId w:val="39"/>
        </w:numPr>
        <w:tabs>
          <w:tab w:pos="599" w:val="left" w:leader="none"/>
          <w:tab w:pos="601" w:val="left" w:leader="none"/>
        </w:tabs>
        <w:spacing w:line="232" w:lineRule="auto" w:before="0" w:after="0"/>
        <w:ind w:left="120" w:right="124" w:firstLine="0"/>
        <w:jc w:val="left"/>
        <w:rPr>
          <w:sz w:val="18"/>
        </w:rPr>
      </w:pPr>
      <w:r>
        <w:rPr>
          <w:color w:val="231F20"/>
          <w:sz w:val="18"/>
        </w:rPr>
        <w:t>A number of other views were expressed. One was that the latest information on pay was consistent with the November central projection, which had incorporated some acceleration in earnings during 1998. A second was that it was not clear that </w:t>
      </w:r>
      <w:r>
        <w:rPr>
          <w:color w:val="231F20"/>
          <w:spacing w:val="-2"/>
          <w:sz w:val="18"/>
        </w:rPr>
        <w:t>unemployment </w:t>
      </w:r>
      <w:r>
        <w:rPr>
          <w:color w:val="231F20"/>
          <w:sz w:val="18"/>
        </w:rPr>
        <w:t>had yet fallen to the natural rate. Many quantitative labour market indicators, such as hours worked and the activity rate, were still well below the levels they had reached at the previous cyclical peak though it was admitted that those levels had been too high to be compatible with stable inflation. Some members commented that the participation rate was relatively low, suggesting that employment could increase further without inflationary consequences, but others, who thought that unemployment had fallen to a level close to the natural rate, drew attention to the negative short-run effects that the expansion of higher education had had on the supply of labour. The much lower regional dispersion of unemployment suggested that the economy might have become more efficient at using labour, and labour market reforms were likely to have led to a fall in the natural rate of unemployment.</w:t>
      </w:r>
    </w:p>
    <w:p>
      <w:pPr>
        <w:pStyle w:val="BodyText"/>
        <w:spacing w:before="1"/>
        <w:rPr>
          <w:sz w:val="16"/>
        </w:rPr>
      </w:pPr>
    </w:p>
    <w:p>
      <w:pPr>
        <w:pStyle w:val="ListParagraph"/>
        <w:numPr>
          <w:ilvl w:val="0"/>
          <w:numId w:val="39"/>
        </w:numPr>
        <w:tabs>
          <w:tab w:pos="599" w:val="left" w:leader="none"/>
          <w:tab w:pos="601" w:val="left" w:leader="none"/>
        </w:tabs>
        <w:spacing w:line="232" w:lineRule="auto" w:before="0" w:after="0"/>
        <w:ind w:left="120" w:right="144" w:firstLine="0"/>
        <w:jc w:val="left"/>
        <w:rPr>
          <w:sz w:val="18"/>
        </w:rPr>
      </w:pPr>
      <w:r>
        <w:rPr>
          <w:color w:val="231F20"/>
          <w:sz w:val="18"/>
        </w:rPr>
        <w:t>Members discussed the effect of increases in interest rates </w:t>
      </w:r>
      <w:r>
        <w:rPr>
          <w:color w:val="231F20"/>
          <w:spacing w:val="-9"/>
          <w:sz w:val="18"/>
        </w:rPr>
        <w:t>on </w:t>
      </w:r>
      <w:r>
        <w:rPr>
          <w:color w:val="231F20"/>
          <w:sz w:val="18"/>
        </w:rPr>
        <w:t>headline RPI inflation and hence on pay bargaining. They recognised that in the short term an increase in interest rates could perversely have a positive effect on pay. Members did not think that effect should affect policy decisions, though interest rates might have to rise further to achieve a given reduction in inflation, thus increasing the transitional cost in forgone output.</w:t>
      </w:r>
    </w:p>
    <w:p>
      <w:pPr>
        <w:pStyle w:val="BodyText"/>
        <w:spacing w:before="11"/>
        <w:rPr>
          <w:sz w:val="16"/>
        </w:rPr>
      </w:pPr>
    </w:p>
    <w:p>
      <w:pPr>
        <w:pStyle w:val="ListParagraph"/>
        <w:numPr>
          <w:ilvl w:val="0"/>
          <w:numId w:val="39"/>
        </w:numPr>
        <w:tabs>
          <w:tab w:pos="599" w:val="left" w:leader="none"/>
          <w:tab w:pos="601" w:val="left" w:leader="none"/>
        </w:tabs>
        <w:spacing w:line="232" w:lineRule="auto" w:before="0" w:after="0"/>
        <w:ind w:left="120" w:right="264" w:firstLine="0"/>
        <w:jc w:val="left"/>
        <w:rPr>
          <w:sz w:val="18"/>
        </w:rPr>
      </w:pPr>
      <w:r>
        <w:rPr>
          <w:color w:val="231F20"/>
          <w:sz w:val="18"/>
        </w:rPr>
        <w:t>In sum, there seemed to be some tentative evidence that </w:t>
      </w:r>
      <w:r>
        <w:rPr>
          <w:color w:val="231F20"/>
          <w:spacing w:val="-6"/>
          <w:sz w:val="18"/>
        </w:rPr>
        <w:t>the </w:t>
      </w:r>
      <w:r>
        <w:rPr>
          <w:color w:val="231F20"/>
          <w:sz w:val="18"/>
        </w:rPr>
        <w:t>economy was slowing down and that it might have grown a little less fast than expected at the time of the November </w:t>
      </w:r>
      <w:r>
        <w:rPr>
          <w:i/>
          <w:color w:val="231F20"/>
          <w:sz w:val="18"/>
        </w:rPr>
        <w:t>Inflation </w:t>
      </w:r>
      <w:r>
        <w:rPr>
          <w:i/>
          <w:color w:val="231F20"/>
          <w:sz w:val="18"/>
        </w:rPr>
        <w:t>Report</w:t>
      </w:r>
      <w:r>
        <w:rPr>
          <w:color w:val="231F20"/>
          <w:sz w:val="18"/>
        </w:rPr>
        <w:t>.</w:t>
      </w:r>
    </w:p>
    <w:p>
      <w:pPr>
        <w:pStyle w:val="BodyText"/>
        <w:spacing w:before="4"/>
        <w:rPr>
          <w:sz w:val="20"/>
        </w:rPr>
      </w:pPr>
    </w:p>
    <w:p>
      <w:pPr>
        <w:pStyle w:val="Heading7"/>
      </w:pPr>
      <w:r>
        <w:rPr>
          <w:color w:val="009483"/>
        </w:rPr>
        <w:t>Why is inflation not falling?</w:t>
      </w:r>
    </w:p>
    <w:p>
      <w:pPr>
        <w:pStyle w:val="ListParagraph"/>
        <w:numPr>
          <w:ilvl w:val="0"/>
          <w:numId w:val="39"/>
        </w:numPr>
        <w:tabs>
          <w:tab w:pos="599" w:val="left" w:leader="none"/>
          <w:tab w:pos="601" w:val="left" w:leader="none"/>
        </w:tabs>
        <w:spacing w:line="232" w:lineRule="auto" w:before="150" w:after="0"/>
        <w:ind w:left="120" w:right="198" w:firstLine="0"/>
        <w:jc w:val="left"/>
        <w:rPr>
          <w:sz w:val="18"/>
        </w:rPr>
      </w:pPr>
      <w:r>
        <w:rPr>
          <w:color w:val="231F20"/>
          <w:sz w:val="18"/>
        </w:rPr>
        <w:t>The Committee noted that over the last six months or so, inflation outturns had been consistently higher than the short-term forecasts in successive </w:t>
      </w:r>
      <w:r>
        <w:rPr>
          <w:i/>
          <w:color w:val="231F20"/>
          <w:sz w:val="18"/>
        </w:rPr>
        <w:t>Inflation Reports</w:t>
      </w:r>
      <w:r>
        <w:rPr>
          <w:color w:val="231F20"/>
          <w:sz w:val="18"/>
        </w:rPr>
        <w:t>; there had been no significant moderation in RPIX inflation. As discussed at </w:t>
      </w:r>
      <w:r>
        <w:rPr>
          <w:color w:val="231F20"/>
          <w:spacing w:val="-3"/>
          <w:sz w:val="18"/>
        </w:rPr>
        <w:t>previous </w:t>
      </w:r>
      <w:r>
        <w:rPr>
          <w:color w:val="231F20"/>
          <w:sz w:val="18"/>
        </w:rPr>
        <w:t>meetings, it appeared that the effects of the exchange rate appreciation on domestic prices thus far had been weaker than expected: pass-through had been incomplete in import prices, producer prices and retail prices.</w:t>
      </w:r>
    </w:p>
    <w:p>
      <w:pPr>
        <w:pStyle w:val="ListParagraph"/>
        <w:numPr>
          <w:ilvl w:val="0"/>
          <w:numId w:val="39"/>
        </w:numPr>
        <w:tabs>
          <w:tab w:pos="599" w:val="left" w:leader="none"/>
          <w:tab w:pos="601" w:val="left" w:leader="none"/>
        </w:tabs>
        <w:spacing w:line="232" w:lineRule="auto" w:before="174" w:after="0"/>
        <w:ind w:left="120" w:right="419" w:firstLine="0"/>
        <w:jc w:val="left"/>
        <w:rPr>
          <w:sz w:val="18"/>
        </w:rPr>
      </w:pPr>
      <w:r>
        <w:rPr>
          <w:color w:val="231F20"/>
          <w:sz w:val="18"/>
        </w:rPr>
        <w:t>This meant that margins had widened, including retail margins, and members discussed why that might have occurred. One possible explanation was that it reflected the strength of</w:t>
      </w:r>
    </w:p>
    <w:p>
      <w:pPr>
        <w:spacing w:after="0" w:line="232" w:lineRule="auto"/>
        <w:jc w:val="left"/>
        <w:rPr>
          <w:sz w:val="18"/>
        </w:rPr>
        <w:sectPr>
          <w:type w:val="continuous"/>
          <w:pgSz w:w="11880" w:h="16840"/>
          <w:pgMar w:top="1200" w:bottom="280" w:left="680" w:right="660"/>
          <w:cols w:num="2" w:equalWidth="0">
            <w:col w:w="5064" w:space="326"/>
            <w:col w:w="5150"/>
          </w:cols>
        </w:sectPr>
      </w:pPr>
    </w:p>
    <w:p>
      <w:pPr>
        <w:pStyle w:val="BodyText"/>
        <w:spacing w:before="3"/>
        <w:rPr>
          <w:sz w:val="28"/>
        </w:rPr>
      </w:pPr>
    </w:p>
    <w:p>
      <w:pPr>
        <w:spacing w:after="0"/>
        <w:rPr>
          <w:sz w:val="28"/>
        </w:rPr>
        <w:sectPr>
          <w:pgSz w:w="11880" w:h="16840"/>
          <w:pgMar w:header="566" w:footer="597" w:top="800" w:bottom="780" w:left="680" w:right="660"/>
        </w:sectPr>
      </w:pPr>
    </w:p>
    <w:p>
      <w:pPr>
        <w:pStyle w:val="BodyText"/>
        <w:spacing w:line="232" w:lineRule="auto" w:before="98"/>
        <w:ind w:left="120" w:right="63"/>
      </w:pPr>
      <w:r>
        <w:rPr>
          <w:color w:val="231F20"/>
        </w:rPr>
        <w:t>consumer demand. If that explanation was correct, margins would be likely to narrow as demand growth slackened. Another possible explanation was price stickiness—ie slowness in adjusting prices in the face of changes in costs in either direction.  And another was the extent of competition among retailers, which was perhaps </w:t>
      </w:r>
      <w:r>
        <w:rPr>
          <w:color w:val="231F20"/>
          <w:spacing w:val="-3"/>
        </w:rPr>
        <w:t>lower </w:t>
      </w:r>
      <w:r>
        <w:rPr>
          <w:color w:val="231F20"/>
        </w:rPr>
        <w:t>than in the United States, where consumer price inflation had recently fallen, despite strong consumer demand. Some members, while recognising that higher margins would have only a temporary direct effect on price inflation, were nevertheless concerned that they might influence labour costs through the effect on the RPI.</w:t>
      </w:r>
    </w:p>
    <w:p>
      <w:pPr>
        <w:pStyle w:val="BodyText"/>
        <w:spacing w:before="8"/>
        <w:rPr>
          <w:sz w:val="16"/>
        </w:rPr>
      </w:pPr>
    </w:p>
    <w:p>
      <w:pPr>
        <w:pStyle w:val="ListParagraph"/>
        <w:numPr>
          <w:ilvl w:val="0"/>
          <w:numId w:val="39"/>
        </w:numPr>
        <w:tabs>
          <w:tab w:pos="599" w:val="left" w:leader="none"/>
          <w:tab w:pos="601" w:val="left" w:leader="none"/>
        </w:tabs>
        <w:spacing w:line="232" w:lineRule="auto" w:before="0" w:after="0"/>
        <w:ind w:left="120" w:right="69" w:firstLine="0"/>
        <w:jc w:val="left"/>
        <w:rPr>
          <w:sz w:val="18"/>
        </w:rPr>
      </w:pPr>
      <w:r>
        <w:rPr>
          <w:color w:val="231F20"/>
          <w:sz w:val="18"/>
        </w:rPr>
        <w:t>It was possible that the incompleteness of pass-through was partly explained by a belief that the exchange rate appreciation would not persist. If that belief proved accurate and the exchange rate appreciation were to be partly or fully reversed, prices would not rise as a result. If it proved inaccurate and the current </w:t>
      </w:r>
      <w:r>
        <w:rPr>
          <w:color w:val="231F20"/>
          <w:spacing w:val="-3"/>
          <w:sz w:val="18"/>
        </w:rPr>
        <w:t>exchange </w:t>
      </w:r>
      <w:r>
        <w:rPr>
          <w:color w:val="231F20"/>
          <w:sz w:val="18"/>
        </w:rPr>
        <w:t>rate level was sustained, then the pass-through would eventually be completed.</w:t>
      </w:r>
    </w:p>
    <w:p>
      <w:pPr>
        <w:pStyle w:val="ListParagraph"/>
        <w:numPr>
          <w:ilvl w:val="0"/>
          <w:numId w:val="39"/>
        </w:numPr>
        <w:tabs>
          <w:tab w:pos="599" w:val="left" w:leader="none"/>
          <w:tab w:pos="601" w:val="left" w:leader="none"/>
        </w:tabs>
        <w:spacing w:line="232" w:lineRule="auto" w:before="174" w:after="0"/>
        <w:ind w:left="120" w:right="38" w:firstLine="0"/>
        <w:jc w:val="left"/>
        <w:rPr>
          <w:sz w:val="18"/>
        </w:rPr>
      </w:pPr>
      <w:r>
        <w:rPr>
          <w:color w:val="231F20"/>
          <w:sz w:val="18"/>
        </w:rPr>
        <w:t>A gloomier possible interpretation of recent inflation behaviour was that the underlying rate of inflation was well above the inflation target—say in the range 3%–4%. On this view, the exchange rate appreciation had been passed through, but its effect had been offset by the upward pressure on inflation resulting from the recovery of output back to or above trend. Members noted that, despite the appreciation of sterling, the United Kingdom had the highest inflation rate in the G7, based on national indices. Based </w:t>
      </w:r>
      <w:r>
        <w:rPr>
          <w:color w:val="231F20"/>
          <w:spacing w:val="-9"/>
          <w:sz w:val="18"/>
        </w:rPr>
        <w:t>on </w:t>
      </w:r>
      <w:r>
        <w:rPr>
          <w:color w:val="231F20"/>
          <w:sz w:val="18"/>
        </w:rPr>
        <w:t>the Harmonised Index of Consumer Prices the United Kingdom’s inflation rate (2.0% in November) did not stand out among EU countries, however, even though the United Kingdom was at a different phase of the economic cycle.</w:t>
      </w:r>
    </w:p>
    <w:p>
      <w:pPr>
        <w:pStyle w:val="BodyText"/>
        <w:spacing w:before="10"/>
        <w:rPr>
          <w:sz w:val="19"/>
        </w:rPr>
      </w:pPr>
    </w:p>
    <w:p>
      <w:pPr>
        <w:pStyle w:val="Heading7"/>
      </w:pPr>
      <w:r>
        <w:rPr>
          <w:color w:val="009483"/>
        </w:rPr>
        <w:t>What is the likely impact of the Asian crisis?</w:t>
      </w:r>
    </w:p>
    <w:p>
      <w:pPr>
        <w:pStyle w:val="ListParagraph"/>
        <w:numPr>
          <w:ilvl w:val="0"/>
          <w:numId w:val="39"/>
        </w:numPr>
        <w:tabs>
          <w:tab w:pos="599" w:val="left" w:leader="none"/>
          <w:tab w:pos="601" w:val="left" w:leader="none"/>
        </w:tabs>
        <w:spacing w:line="232" w:lineRule="auto" w:before="150" w:after="0"/>
        <w:ind w:left="119" w:right="52" w:firstLine="0"/>
        <w:jc w:val="left"/>
        <w:rPr>
          <w:sz w:val="18"/>
        </w:rPr>
      </w:pPr>
      <w:r>
        <w:rPr>
          <w:color w:val="231F20"/>
          <w:sz w:val="18"/>
        </w:rPr>
        <w:t>The Committee discussed the Asian crisis and its likely effect on the United Kingdom. Recent forecasts from the IMF and the O</w:t>
      </w:r>
      <w:r>
        <w:rPr>
          <w:color w:val="231F20"/>
          <w:sz w:val="14"/>
        </w:rPr>
        <w:t>ECD </w:t>
      </w:r>
      <w:r>
        <w:rPr>
          <w:color w:val="231F20"/>
          <w:sz w:val="18"/>
        </w:rPr>
        <w:t>suggested that Asian developments might depress GDP </w:t>
      </w:r>
      <w:r>
        <w:rPr>
          <w:color w:val="231F20"/>
          <w:spacing w:val="-8"/>
          <w:sz w:val="18"/>
        </w:rPr>
        <w:t>in </w:t>
      </w:r>
      <w:r>
        <w:rPr>
          <w:color w:val="231F20"/>
          <w:sz w:val="18"/>
        </w:rPr>
        <w:t>Europe by around </w:t>
      </w:r>
      <w:r>
        <w:rPr>
          <w:color w:val="231F20"/>
          <w:position w:val="6"/>
          <w:sz w:val="9"/>
        </w:rPr>
        <w:t>1</w:t>
      </w:r>
      <w:r>
        <w:rPr>
          <w:color w:val="231F20"/>
          <w:sz w:val="18"/>
        </w:rPr>
        <w:t>/</w:t>
      </w:r>
      <w:r>
        <w:rPr>
          <w:color w:val="231F20"/>
          <w:sz w:val="9"/>
        </w:rPr>
        <w:t>4</w:t>
      </w:r>
      <w:r>
        <w:rPr>
          <w:color w:val="231F20"/>
          <w:sz w:val="18"/>
        </w:rPr>
        <w:t>%–</w:t>
      </w:r>
      <w:r>
        <w:rPr>
          <w:color w:val="231F20"/>
          <w:position w:val="6"/>
          <w:sz w:val="9"/>
        </w:rPr>
        <w:t>1</w:t>
      </w:r>
      <w:r>
        <w:rPr>
          <w:color w:val="231F20"/>
          <w:sz w:val="18"/>
        </w:rPr>
        <w:t>/</w:t>
      </w:r>
      <w:r>
        <w:rPr>
          <w:color w:val="231F20"/>
          <w:sz w:val="9"/>
        </w:rPr>
        <w:t>2</w:t>
      </w:r>
      <w:r>
        <w:rPr>
          <w:color w:val="231F20"/>
          <w:sz w:val="18"/>
        </w:rPr>
        <w:t>% in 1998. Developments since the forecasts were finalised in mid December (IMF) and mid November (O</w:t>
      </w:r>
      <w:r>
        <w:rPr>
          <w:color w:val="231F20"/>
          <w:sz w:val="14"/>
        </w:rPr>
        <w:t>ECD</w:t>
      </w:r>
      <w:r>
        <w:rPr>
          <w:color w:val="231F20"/>
          <w:sz w:val="18"/>
        </w:rPr>
        <w:t>), suggested that the contractionary effect might turn out to be larger than that.</w:t>
      </w:r>
    </w:p>
    <w:p>
      <w:pPr>
        <w:pStyle w:val="ListParagraph"/>
        <w:numPr>
          <w:ilvl w:val="0"/>
          <w:numId w:val="39"/>
        </w:numPr>
        <w:tabs>
          <w:tab w:pos="599" w:val="left" w:leader="none"/>
          <w:tab w:pos="601" w:val="left" w:leader="none"/>
        </w:tabs>
        <w:spacing w:line="232" w:lineRule="auto" w:before="174" w:after="0"/>
        <w:ind w:left="120" w:right="48" w:firstLine="0"/>
        <w:jc w:val="left"/>
        <w:rPr>
          <w:sz w:val="18"/>
        </w:rPr>
      </w:pPr>
      <w:r>
        <w:rPr>
          <w:color w:val="231F20"/>
          <w:sz w:val="18"/>
        </w:rPr>
        <w:t>One view expressed in the Committee’s discussion was that the degree of weakening in domestic demand which the forecasts had assumed in the Asian countries immediately affected by the crisis was markedly less than that which Mexico had experienced </w:t>
      </w:r>
      <w:r>
        <w:rPr>
          <w:color w:val="231F20"/>
          <w:spacing w:val="-9"/>
          <w:sz w:val="18"/>
        </w:rPr>
        <w:t>in </w:t>
      </w:r>
      <w:r>
        <w:rPr>
          <w:color w:val="231F20"/>
          <w:sz w:val="18"/>
        </w:rPr>
        <w:t>comparable circumstances in 1995. It would be surprising if demand in the immediately-affected countries grew as fast as the forecasts suggested. Moreover it was easy to imagine that GDP growth in Japan this year might be much weaker than the IMF and O</w:t>
      </w:r>
      <w:r>
        <w:rPr>
          <w:color w:val="231F20"/>
          <w:sz w:val="14"/>
        </w:rPr>
        <w:t>ECD </w:t>
      </w:r>
      <w:r>
        <w:rPr>
          <w:color w:val="231F20"/>
          <w:sz w:val="18"/>
        </w:rPr>
        <w:t>forecasts of 1.1% and 1.7%</w:t>
      </w:r>
      <w:r>
        <w:rPr>
          <w:color w:val="231F20"/>
          <w:spacing w:val="10"/>
          <w:sz w:val="18"/>
        </w:rPr>
        <w:t> </w:t>
      </w:r>
      <w:r>
        <w:rPr>
          <w:color w:val="231F20"/>
          <w:sz w:val="18"/>
        </w:rPr>
        <w:t>respectively.</w:t>
      </w:r>
    </w:p>
    <w:p>
      <w:pPr>
        <w:pStyle w:val="BodyText"/>
        <w:spacing w:before="9"/>
        <w:rPr>
          <w:sz w:val="16"/>
        </w:rPr>
      </w:pPr>
    </w:p>
    <w:p>
      <w:pPr>
        <w:pStyle w:val="ListParagraph"/>
        <w:numPr>
          <w:ilvl w:val="0"/>
          <w:numId w:val="39"/>
        </w:numPr>
        <w:tabs>
          <w:tab w:pos="599" w:val="left" w:leader="none"/>
          <w:tab w:pos="601" w:val="left" w:leader="none"/>
        </w:tabs>
        <w:spacing w:line="232" w:lineRule="auto" w:before="0" w:after="0"/>
        <w:ind w:left="119" w:right="63" w:firstLine="0"/>
        <w:jc w:val="left"/>
        <w:rPr>
          <w:sz w:val="18"/>
        </w:rPr>
      </w:pPr>
      <w:r>
        <w:rPr>
          <w:color w:val="231F20"/>
          <w:sz w:val="18"/>
        </w:rPr>
        <w:t>Members commented that the very large recent </w:t>
      </w:r>
      <w:r>
        <w:rPr>
          <w:color w:val="231F20"/>
          <w:spacing w:val="-2"/>
          <w:sz w:val="18"/>
        </w:rPr>
        <w:t>depreciations </w:t>
      </w:r>
      <w:r>
        <w:rPr>
          <w:color w:val="231F20"/>
          <w:sz w:val="18"/>
        </w:rPr>
        <w:t>of real exchange rates in the Asian countries most affected by the crisis were unlikely to be sustained: either inflation would rise or nominal exchange rates would recover.</w:t>
      </w:r>
    </w:p>
    <w:p>
      <w:pPr>
        <w:pStyle w:val="BodyText"/>
        <w:spacing w:before="2"/>
        <w:rPr>
          <w:sz w:val="17"/>
        </w:rPr>
      </w:pPr>
    </w:p>
    <w:p>
      <w:pPr>
        <w:pStyle w:val="ListParagraph"/>
        <w:numPr>
          <w:ilvl w:val="0"/>
          <w:numId w:val="39"/>
        </w:numPr>
        <w:tabs>
          <w:tab w:pos="599" w:val="left" w:leader="none"/>
          <w:tab w:pos="601" w:val="left" w:leader="none"/>
        </w:tabs>
        <w:spacing w:line="232" w:lineRule="auto" w:before="0" w:after="0"/>
        <w:ind w:left="119" w:right="43" w:firstLine="0"/>
        <w:jc w:val="left"/>
        <w:rPr>
          <w:sz w:val="18"/>
        </w:rPr>
      </w:pPr>
      <w:r>
        <w:rPr>
          <w:color w:val="231F20"/>
          <w:sz w:val="18"/>
        </w:rPr>
        <w:t>The Committee noted that bond yields in industrial countries had fallen over the last month and that UK equity prices had risen sharply. These developments might reflect ‘safe-haven’ effects, which could include lower discount rates. Financial markets seemed to believe that the Asian crisis, by dampening world demand, would reduce the likelihood of increases in interest rates </w:t>
      </w:r>
      <w:r>
        <w:rPr>
          <w:color w:val="231F20"/>
          <w:spacing w:val="-9"/>
          <w:sz w:val="18"/>
        </w:rPr>
        <w:t>in </w:t>
      </w:r>
      <w:r>
        <w:rPr>
          <w:color w:val="231F20"/>
          <w:sz w:val="18"/>
        </w:rPr>
        <w:t>industrial countries, and increase the likelihood of decreases.</w:t>
      </w:r>
    </w:p>
    <w:p>
      <w:pPr>
        <w:pStyle w:val="ListParagraph"/>
        <w:numPr>
          <w:ilvl w:val="0"/>
          <w:numId w:val="39"/>
        </w:numPr>
        <w:tabs>
          <w:tab w:pos="599" w:val="left" w:leader="none"/>
          <w:tab w:pos="601" w:val="left" w:leader="none"/>
        </w:tabs>
        <w:spacing w:line="232" w:lineRule="auto" w:before="174" w:after="0"/>
        <w:ind w:left="119" w:right="39" w:firstLine="0"/>
        <w:jc w:val="left"/>
        <w:rPr>
          <w:sz w:val="18"/>
        </w:rPr>
      </w:pPr>
      <w:r>
        <w:rPr>
          <w:color w:val="231F20"/>
          <w:sz w:val="18"/>
        </w:rPr>
        <w:t>The Committee discussed how developments in Asia might affect the Bank’s central projection. It noted that a broader </w:t>
      </w:r>
      <w:r>
        <w:rPr>
          <w:color w:val="231F20"/>
          <w:spacing w:val="-3"/>
          <w:sz w:val="18"/>
        </w:rPr>
        <w:t>measure </w:t>
      </w:r>
      <w:r>
        <w:rPr>
          <w:color w:val="231F20"/>
          <w:sz w:val="18"/>
        </w:rPr>
        <w:t>of the sterling exchange rate index, incorporating 49 countries accounting for 97% of IMF member countries’ total trade, had appreciated since August 1996 by only 1.5% more than the standard measure, which incorporates 20 countries accounting for 83% of IMF members’ total trade. The Committee considered</w:t>
      </w:r>
    </w:p>
    <w:p>
      <w:pPr>
        <w:pStyle w:val="BodyText"/>
        <w:spacing w:line="232" w:lineRule="auto" w:before="97"/>
        <w:ind w:left="119" w:right="134"/>
      </w:pPr>
      <w:r>
        <w:rPr/>
        <w:br w:type="column"/>
      </w:r>
      <w:r>
        <w:rPr>
          <w:color w:val="231F20"/>
        </w:rPr>
        <w:t>whether developments in Asia made it more likely that UK net exports would fall as indicated in the November central projection, or whether they suggested that the fall would be larger or more prolonged than indicated in November. Asian developments would need to be considered carefully in the preparation of the February </w:t>
      </w:r>
      <w:r>
        <w:rPr>
          <w:i/>
          <w:color w:val="231F20"/>
        </w:rPr>
        <w:t>Inflation Report</w:t>
      </w:r>
      <w:r>
        <w:rPr>
          <w:color w:val="231F20"/>
        </w:rPr>
        <w:t>.</w:t>
      </w:r>
    </w:p>
    <w:p>
      <w:pPr>
        <w:pStyle w:val="BodyText"/>
        <w:rPr>
          <w:sz w:val="17"/>
        </w:rPr>
      </w:pPr>
    </w:p>
    <w:p>
      <w:pPr>
        <w:pStyle w:val="ListParagraph"/>
        <w:numPr>
          <w:ilvl w:val="0"/>
          <w:numId w:val="39"/>
        </w:numPr>
        <w:tabs>
          <w:tab w:pos="599" w:val="left" w:leader="none"/>
          <w:tab w:pos="601" w:val="left" w:leader="none"/>
        </w:tabs>
        <w:spacing w:line="232" w:lineRule="auto" w:before="0" w:after="0"/>
        <w:ind w:left="119" w:right="139" w:firstLine="0"/>
        <w:jc w:val="left"/>
        <w:rPr>
          <w:sz w:val="18"/>
        </w:rPr>
      </w:pPr>
      <w:r>
        <w:rPr>
          <w:color w:val="231F20"/>
          <w:sz w:val="18"/>
        </w:rPr>
        <w:t>Members discussed the various risks created by the Asian crisis. Official assistance to Korea had thus far not restored confidence, and the longer a very weak exchange rate and high interest rates persisted, the greater the risk of a flow of </w:t>
      </w:r>
      <w:r>
        <w:rPr>
          <w:color w:val="231F20"/>
          <w:spacing w:val="-2"/>
          <w:sz w:val="18"/>
        </w:rPr>
        <w:t>bankruptcies </w:t>
      </w:r>
      <w:r>
        <w:rPr>
          <w:color w:val="231F20"/>
          <w:sz w:val="18"/>
        </w:rPr>
        <w:t>and serious economic dislocation. Another risk was that official encouragement for banks to roll over loans to Korea could have the side-effect of inducing banks to reduce lending to other emerging markets:  there were signs that that was happening.  And there was a risk that increasing net exports from emerging markets could strengthen protectionist sentiment in industrial countries. Overall, the downside risks arising from Asian developments had increased over the last month.</w:t>
      </w:r>
    </w:p>
    <w:p>
      <w:pPr>
        <w:pStyle w:val="BodyText"/>
        <w:spacing w:before="10"/>
        <w:rPr>
          <w:sz w:val="19"/>
        </w:rPr>
      </w:pPr>
    </w:p>
    <w:p>
      <w:pPr>
        <w:pStyle w:val="Heading7"/>
      </w:pPr>
      <w:r>
        <w:rPr>
          <w:color w:val="009483"/>
        </w:rPr>
        <w:t>The output gap</w:t>
      </w:r>
    </w:p>
    <w:p>
      <w:pPr>
        <w:pStyle w:val="ListParagraph"/>
        <w:numPr>
          <w:ilvl w:val="0"/>
          <w:numId w:val="39"/>
        </w:numPr>
        <w:tabs>
          <w:tab w:pos="599" w:val="left" w:leader="none"/>
          <w:tab w:pos="601" w:val="left" w:leader="none"/>
        </w:tabs>
        <w:spacing w:line="232" w:lineRule="auto" w:before="190" w:after="0"/>
        <w:ind w:left="120" w:right="170" w:firstLine="0"/>
        <w:jc w:val="left"/>
        <w:rPr>
          <w:sz w:val="18"/>
        </w:rPr>
      </w:pPr>
      <w:r>
        <w:rPr>
          <w:color w:val="231F20"/>
          <w:sz w:val="18"/>
        </w:rPr>
        <w:t>Members discussed the concept of the output gap, and of its labour market analogue, the difference between unemployment </w:t>
      </w:r>
      <w:r>
        <w:rPr>
          <w:color w:val="231F20"/>
          <w:spacing w:val="-6"/>
          <w:sz w:val="18"/>
        </w:rPr>
        <w:t>and </w:t>
      </w:r>
      <w:r>
        <w:rPr>
          <w:color w:val="231F20"/>
          <w:sz w:val="18"/>
        </w:rPr>
        <w:t>its natural rate. Its usefulness rested on the belief that if the output gap was positive (ie output greater than potential output) then inflation would rise, other things being equal, but that there were lags in the inflation response. Thus the evolution of the output gap could convey information about future inflation.</w:t>
      </w:r>
    </w:p>
    <w:p>
      <w:pPr>
        <w:pStyle w:val="BodyText"/>
        <w:spacing w:before="10"/>
        <w:rPr>
          <w:sz w:val="16"/>
        </w:rPr>
      </w:pPr>
    </w:p>
    <w:p>
      <w:pPr>
        <w:pStyle w:val="ListParagraph"/>
        <w:numPr>
          <w:ilvl w:val="0"/>
          <w:numId w:val="39"/>
        </w:numPr>
        <w:tabs>
          <w:tab w:pos="599" w:val="left" w:leader="none"/>
          <w:tab w:pos="601" w:val="left" w:leader="none"/>
        </w:tabs>
        <w:spacing w:line="232" w:lineRule="auto" w:before="0" w:after="0"/>
        <w:ind w:left="120" w:right="149" w:firstLine="0"/>
        <w:jc w:val="left"/>
        <w:rPr>
          <w:sz w:val="18"/>
        </w:rPr>
      </w:pPr>
      <w:r>
        <w:rPr>
          <w:color w:val="231F20"/>
          <w:sz w:val="18"/>
        </w:rPr>
        <w:t>However estimates of the output gap based on estimates of potential output were very sensitive to the assumptions that had to be made in estimating potential output. For example, plausible reductions in the natural rate of unemployment could be associated with significant increases in the level of potential output which are not necessarily captured by conventional estimation techniques. In the light of these factors, direct indicators of the output gap, such </w:t>
      </w:r>
      <w:r>
        <w:rPr>
          <w:color w:val="231F20"/>
          <w:spacing w:val="-9"/>
          <w:sz w:val="18"/>
        </w:rPr>
        <w:t>as </w:t>
      </w:r>
      <w:r>
        <w:rPr>
          <w:color w:val="231F20"/>
          <w:sz w:val="18"/>
        </w:rPr>
        <w:t>surveys of capacity utilisation and skill shortages, were clearly of great value, since they did not depend on fragile estimates of potential output.</w:t>
      </w:r>
    </w:p>
    <w:p>
      <w:pPr>
        <w:pStyle w:val="BodyText"/>
        <w:spacing w:before="8"/>
        <w:rPr>
          <w:sz w:val="16"/>
        </w:rPr>
      </w:pPr>
    </w:p>
    <w:p>
      <w:pPr>
        <w:pStyle w:val="ListParagraph"/>
        <w:numPr>
          <w:ilvl w:val="0"/>
          <w:numId w:val="39"/>
        </w:numPr>
        <w:tabs>
          <w:tab w:pos="601" w:val="left" w:leader="none"/>
        </w:tabs>
        <w:spacing w:line="232" w:lineRule="auto" w:before="1" w:after="0"/>
        <w:ind w:left="120" w:right="399" w:firstLine="0"/>
        <w:jc w:val="both"/>
        <w:rPr>
          <w:sz w:val="18"/>
        </w:rPr>
      </w:pPr>
      <w:r>
        <w:rPr>
          <w:color w:val="231F20"/>
          <w:sz w:val="18"/>
        </w:rPr>
        <w:t>Because of the uncertainty of output gap estimates, it </w:t>
      </w:r>
      <w:r>
        <w:rPr>
          <w:color w:val="231F20"/>
          <w:spacing w:val="-6"/>
          <w:sz w:val="18"/>
        </w:rPr>
        <w:t>was </w:t>
      </w:r>
      <w:r>
        <w:rPr>
          <w:color w:val="231F20"/>
          <w:sz w:val="18"/>
        </w:rPr>
        <w:t>also important to monitor cost and price indicators closely, even though they are lagging indicators of the output gap.</w:t>
      </w:r>
    </w:p>
    <w:p>
      <w:pPr>
        <w:pStyle w:val="BodyText"/>
        <w:spacing w:before="2"/>
        <w:rPr>
          <w:sz w:val="17"/>
        </w:rPr>
      </w:pPr>
    </w:p>
    <w:p>
      <w:pPr>
        <w:pStyle w:val="ListParagraph"/>
        <w:numPr>
          <w:ilvl w:val="0"/>
          <w:numId w:val="39"/>
        </w:numPr>
        <w:tabs>
          <w:tab w:pos="599" w:val="left" w:leader="none"/>
          <w:tab w:pos="601" w:val="left" w:leader="none"/>
        </w:tabs>
        <w:spacing w:line="232" w:lineRule="auto" w:before="0" w:after="0"/>
        <w:ind w:left="120" w:right="154" w:firstLine="0"/>
        <w:jc w:val="left"/>
        <w:rPr>
          <w:sz w:val="18"/>
        </w:rPr>
      </w:pPr>
      <w:r>
        <w:rPr>
          <w:color w:val="231F20"/>
          <w:sz w:val="18"/>
        </w:rPr>
        <w:t>Members noted that the rate of inflation might change in the absence of any change in the output gap, and that it was likely to </w:t>
      </w:r>
      <w:r>
        <w:rPr>
          <w:color w:val="231F20"/>
          <w:spacing w:val="-9"/>
          <w:sz w:val="18"/>
        </w:rPr>
        <w:t>be </w:t>
      </w:r>
      <w:r>
        <w:rPr>
          <w:color w:val="231F20"/>
          <w:sz w:val="18"/>
        </w:rPr>
        <w:t>particularly sensitive to longer-run inflationary expectations. The current rate of inflation was lower than most measures of inflationary expectations, and this could imply that the output gap was negative.</w:t>
      </w:r>
    </w:p>
    <w:p>
      <w:pPr>
        <w:pStyle w:val="BodyText"/>
        <w:spacing w:before="11"/>
        <w:rPr>
          <w:sz w:val="16"/>
        </w:rPr>
      </w:pPr>
    </w:p>
    <w:p>
      <w:pPr>
        <w:pStyle w:val="ListParagraph"/>
        <w:numPr>
          <w:ilvl w:val="0"/>
          <w:numId w:val="39"/>
        </w:numPr>
        <w:tabs>
          <w:tab w:pos="435" w:val="left" w:leader="none"/>
        </w:tabs>
        <w:spacing w:line="232" w:lineRule="auto" w:before="0" w:after="0"/>
        <w:ind w:left="120" w:right="183" w:firstLine="0"/>
        <w:jc w:val="left"/>
        <w:rPr>
          <w:sz w:val="18"/>
        </w:rPr>
      </w:pPr>
      <w:r>
        <w:rPr>
          <w:color w:val="231F20"/>
          <w:sz w:val="18"/>
        </w:rPr>
        <w:t>Members discussed recent experience in the United States, where in the past year continued above-trend growth had been accompanied by declining inflation, posing a challenge to the output gap approach. Possible explanations suggested by </w:t>
      </w:r>
      <w:r>
        <w:rPr>
          <w:color w:val="231F20"/>
          <w:spacing w:val="-3"/>
          <w:sz w:val="18"/>
        </w:rPr>
        <w:t>members </w:t>
      </w:r>
      <w:r>
        <w:rPr>
          <w:color w:val="231F20"/>
          <w:sz w:val="18"/>
        </w:rPr>
        <w:t>included the success of the Federal Reserve in maintaining its credibility and thus restraining inflationary expectations and the weakness of world prices.</w:t>
      </w:r>
    </w:p>
    <w:p>
      <w:pPr>
        <w:pStyle w:val="BodyText"/>
        <w:spacing w:before="2"/>
        <w:rPr>
          <w:sz w:val="20"/>
        </w:rPr>
      </w:pPr>
    </w:p>
    <w:p>
      <w:pPr>
        <w:pStyle w:val="Heading7"/>
      </w:pPr>
      <w:r>
        <w:rPr>
          <w:color w:val="009483"/>
        </w:rPr>
        <w:t>Policy conclusions</w:t>
      </w:r>
    </w:p>
    <w:p>
      <w:pPr>
        <w:pStyle w:val="ListParagraph"/>
        <w:numPr>
          <w:ilvl w:val="0"/>
          <w:numId w:val="39"/>
        </w:numPr>
        <w:tabs>
          <w:tab w:pos="599" w:val="left" w:leader="none"/>
          <w:tab w:pos="601" w:val="left" w:leader="none"/>
        </w:tabs>
        <w:spacing w:line="232" w:lineRule="auto" w:before="190" w:after="0"/>
        <w:ind w:left="120" w:right="134" w:firstLine="0"/>
        <w:jc w:val="left"/>
        <w:rPr>
          <w:sz w:val="18"/>
        </w:rPr>
      </w:pPr>
      <w:r>
        <w:rPr>
          <w:color w:val="231F20"/>
          <w:sz w:val="18"/>
        </w:rPr>
        <w:t>Members agreed that developments in Asia presented </w:t>
      </w:r>
      <w:r>
        <w:rPr>
          <w:color w:val="231F20"/>
          <w:spacing w:val="-3"/>
          <w:sz w:val="18"/>
        </w:rPr>
        <w:t>serious </w:t>
      </w:r>
      <w:r>
        <w:rPr>
          <w:color w:val="231F20"/>
          <w:sz w:val="18"/>
        </w:rPr>
        <w:t>risks. One view was that it would be possible to respond quickly to financial market contagion if and when the risks crystallised, but another was that even a quick response would not offset an adverse shock to real activity immediately.</w:t>
      </w:r>
    </w:p>
    <w:p>
      <w:pPr>
        <w:pStyle w:val="BodyText"/>
        <w:rPr>
          <w:sz w:val="17"/>
        </w:rPr>
      </w:pPr>
    </w:p>
    <w:p>
      <w:pPr>
        <w:pStyle w:val="ListParagraph"/>
        <w:numPr>
          <w:ilvl w:val="0"/>
          <w:numId w:val="39"/>
        </w:numPr>
        <w:tabs>
          <w:tab w:pos="599" w:val="left" w:leader="none"/>
          <w:tab w:pos="601" w:val="left" w:leader="none"/>
        </w:tabs>
        <w:spacing w:line="232" w:lineRule="auto" w:before="0" w:after="0"/>
        <w:ind w:left="120" w:right="154" w:firstLine="0"/>
        <w:jc w:val="left"/>
        <w:rPr>
          <w:sz w:val="18"/>
        </w:rPr>
      </w:pPr>
      <w:r>
        <w:rPr>
          <w:color w:val="231F20"/>
          <w:sz w:val="18"/>
        </w:rPr>
        <w:t>The Committee discussed whether there was any merit in </w:t>
      </w:r>
      <w:r>
        <w:rPr>
          <w:color w:val="231F20"/>
          <w:spacing w:val="-6"/>
          <w:sz w:val="18"/>
        </w:rPr>
        <w:t>the </w:t>
      </w:r>
      <w:r>
        <w:rPr>
          <w:color w:val="231F20"/>
          <w:sz w:val="18"/>
        </w:rPr>
        <w:t>idea of reducing UK short-term interest rates (which were the highest in the G7) as a clear signal of concern about the Asian</w:t>
      </w:r>
    </w:p>
    <w:p>
      <w:pPr>
        <w:spacing w:after="0" w:line="232" w:lineRule="auto"/>
        <w:jc w:val="left"/>
        <w:rPr>
          <w:sz w:val="18"/>
        </w:rPr>
        <w:sectPr>
          <w:type w:val="continuous"/>
          <w:pgSz w:w="11880" w:h="16840"/>
          <w:pgMar w:top="1200" w:bottom="280" w:left="680" w:right="660"/>
          <w:cols w:num="2" w:equalWidth="0">
            <w:col w:w="5069" w:space="321"/>
            <w:col w:w="5150"/>
          </w:cols>
        </w:sectPr>
      </w:pPr>
    </w:p>
    <w:p>
      <w:pPr>
        <w:pStyle w:val="BodyText"/>
        <w:spacing w:before="3"/>
        <w:rPr>
          <w:sz w:val="28"/>
        </w:rPr>
      </w:pPr>
    </w:p>
    <w:p>
      <w:pPr>
        <w:spacing w:after="0"/>
        <w:rPr>
          <w:sz w:val="28"/>
        </w:rPr>
        <w:sectPr>
          <w:pgSz w:w="11880" w:h="16840"/>
          <w:pgMar w:header="566" w:footer="597" w:top="800" w:bottom="780" w:left="680" w:right="660"/>
        </w:sectPr>
      </w:pPr>
    </w:p>
    <w:p>
      <w:pPr>
        <w:pStyle w:val="BodyText"/>
        <w:spacing w:line="232" w:lineRule="auto" w:before="98"/>
        <w:ind w:left="140" w:right="110"/>
      </w:pPr>
      <w:r>
        <w:rPr>
          <w:color w:val="231F20"/>
        </w:rPr>
        <w:t>crisis, or, conversely, whether, if there were to be a rise in UK interest rates, it would aggravate the Asian crisis. It was agreed that the United Kingdom on its own was too small for the MPC’s actions to have a significant global impact, and that in any case the MPC’s objectives are domestic in nature.</w:t>
      </w:r>
    </w:p>
    <w:p>
      <w:pPr>
        <w:pStyle w:val="BodyText"/>
        <w:rPr>
          <w:sz w:val="17"/>
        </w:rPr>
      </w:pPr>
    </w:p>
    <w:p>
      <w:pPr>
        <w:pStyle w:val="ListParagraph"/>
        <w:numPr>
          <w:ilvl w:val="0"/>
          <w:numId w:val="39"/>
        </w:numPr>
        <w:tabs>
          <w:tab w:pos="619" w:val="left" w:leader="none"/>
          <w:tab w:pos="621" w:val="left" w:leader="none"/>
        </w:tabs>
        <w:spacing w:line="232" w:lineRule="auto" w:before="0" w:after="0"/>
        <w:ind w:left="140" w:right="38" w:firstLine="0"/>
        <w:jc w:val="left"/>
        <w:rPr>
          <w:sz w:val="18"/>
        </w:rPr>
      </w:pPr>
      <w:r>
        <w:rPr>
          <w:color w:val="231F20"/>
          <w:sz w:val="18"/>
        </w:rPr>
        <w:t>Views about the appropriate level of interest rates ranged across a spectrum.  At one end was the view that it was desirable for interest rates to be raised now. Four reasons were advanced for this view. First, doubts had arisen about the forecast for inflation published in the November </w:t>
      </w:r>
      <w:r>
        <w:rPr>
          <w:i/>
          <w:color w:val="231F20"/>
          <w:sz w:val="18"/>
        </w:rPr>
        <w:t>Inflation Report</w:t>
      </w:r>
      <w:r>
        <w:rPr>
          <w:color w:val="231F20"/>
          <w:sz w:val="18"/>
        </w:rPr>
        <w:t>. Inflation outturns in recent months had been above the Bank’s central projections, and the central projection contained in the November </w:t>
      </w:r>
      <w:r>
        <w:rPr>
          <w:i/>
          <w:color w:val="231F20"/>
          <w:sz w:val="18"/>
        </w:rPr>
        <w:t>Report </w:t>
      </w:r>
      <w:r>
        <w:rPr>
          <w:color w:val="231F20"/>
          <w:sz w:val="18"/>
        </w:rPr>
        <w:t>had been significantly below the average of independent forecasts. It </w:t>
      </w:r>
      <w:r>
        <w:rPr>
          <w:color w:val="231F20"/>
          <w:spacing w:val="-3"/>
          <w:sz w:val="18"/>
        </w:rPr>
        <w:t>seemed </w:t>
      </w:r>
      <w:r>
        <w:rPr>
          <w:color w:val="231F20"/>
          <w:sz w:val="18"/>
        </w:rPr>
        <w:t>likely that the relationship between output growth and inflation over the next two years would be less favourable than had been assumed in the November forecast. The economy was likely to slow down, but not quickly enough to hit the inflation target two years or so ahead. Second, it seemed implausible that any substantial output gap remained to be closed and it was possible that output was already significantly above trend. Third, recent pay settlements and reports of skill shortages were a matter of concern, and suggested that earnings growth might rise to a level incompatible with the inflation target before capacity pressures had eased. An immediate move in interest rates would send a clear and early signal to the labour market of the MPC’s determination to achieve the inflation target. Fourth, concerns were expressed about the buoyancy of asset prices.</w:t>
      </w:r>
    </w:p>
    <w:p>
      <w:pPr>
        <w:pStyle w:val="BodyText"/>
        <w:spacing w:before="10"/>
        <w:rPr>
          <w:sz w:val="15"/>
        </w:rPr>
      </w:pPr>
    </w:p>
    <w:p>
      <w:pPr>
        <w:pStyle w:val="ListParagraph"/>
        <w:numPr>
          <w:ilvl w:val="0"/>
          <w:numId w:val="39"/>
        </w:numPr>
        <w:tabs>
          <w:tab w:pos="619" w:val="left" w:leader="none"/>
          <w:tab w:pos="621" w:val="left" w:leader="none"/>
        </w:tabs>
        <w:spacing w:line="232" w:lineRule="auto" w:before="1" w:after="0"/>
        <w:ind w:left="140" w:right="92" w:firstLine="0"/>
        <w:jc w:val="left"/>
        <w:rPr>
          <w:sz w:val="18"/>
        </w:rPr>
      </w:pPr>
      <w:r>
        <w:rPr>
          <w:color w:val="231F20"/>
          <w:sz w:val="18"/>
        </w:rPr>
        <w:t>Another view was that, although those arguments had much force, there was still considerable uncertainty about their implications for future inflation and therefore a strong case for waiting another month until a full analysis could be made of the extent of any required rise in interest rates. That analysis would </w:t>
      </w:r>
      <w:r>
        <w:rPr>
          <w:color w:val="231F20"/>
          <w:spacing w:val="-9"/>
          <w:sz w:val="18"/>
        </w:rPr>
        <w:t>be </w:t>
      </w:r>
      <w:r>
        <w:rPr>
          <w:color w:val="231F20"/>
          <w:sz w:val="18"/>
        </w:rPr>
        <w:t>better carried out in the context of the forecast round for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ListParagraph"/>
        <w:numPr>
          <w:ilvl w:val="0"/>
          <w:numId w:val="39"/>
        </w:numPr>
        <w:tabs>
          <w:tab w:pos="619" w:val="left" w:leader="none"/>
          <w:tab w:pos="621" w:val="left" w:leader="none"/>
        </w:tabs>
        <w:spacing w:line="232" w:lineRule="auto" w:before="97" w:after="0"/>
        <w:ind w:left="140" w:right="188" w:firstLine="0"/>
        <w:jc w:val="left"/>
        <w:rPr>
          <w:sz w:val="18"/>
        </w:rPr>
      </w:pPr>
      <w:r>
        <w:rPr>
          <w:color w:val="231F20"/>
          <w:sz w:val="18"/>
        </w:rPr>
        <w:br w:type="column"/>
        <w:t>A third view was that there was little or no presumption that interest rates should rise. Recent developments in Asia, as well as signs of slowing demand growth at home, suggested the possibility of an earlier turning-point in GDP growth than that implied by the central projection in the November </w:t>
      </w:r>
      <w:r>
        <w:rPr>
          <w:i/>
          <w:color w:val="231F20"/>
          <w:sz w:val="18"/>
        </w:rPr>
        <w:t>Inflation Report</w:t>
      </w:r>
      <w:r>
        <w:rPr>
          <w:color w:val="231F20"/>
          <w:sz w:val="18"/>
        </w:rPr>
        <w:t>. It was difficult to measure the size of the output gap and, in any case, its calculated sign did not represent a clear policy signal for an open and slowing economy when its level was low. Moreover, there were clearly risks in both directions. The developments in Asia, </w:t>
      </w:r>
      <w:r>
        <w:rPr>
          <w:color w:val="231F20"/>
          <w:spacing w:val="-6"/>
          <w:sz w:val="18"/>
        </w:rPr>
        <w:t>in </w:t>
      </w:r>
      <w:r>
        <w:rPr>
          <w:color w:val="231F20"/>
          <w:sz w:val="18"/>
        </w:rPr>
        <w:t>particular, might have significantly more serious downside effects than those projected by either the IMF or the</w:t>
      </w:r>
      <w:r>
        <w:rPr>
          <w:color w:val="231F20"/>
          <w:spacing w:val="-1"/>
          <w:sz w:val="18"/>
        </w:rPr>
        <w:t> </w:t>
      </w:r>
      <w:r>
        <w:rPr>
          <w:color w:val="231F20"/>
          <w:sz w:val="18"/>
        </w:rPr>
        <w:t>O</w:t>
      </w:r>
      <w:r>
        <w:rPr>
          <w:color w:val="231F20"/>
          <w:sz w:val="14"/>
        </w:rPr>
        <w:t>ECD</w:t>
      </w:r>
      <w:r>
        <w:rPr>
          <w:color w:val="231F20"/>
          <w:sz w:val="18"/>
        </w:rPr>
        <w:t>.</w:t>
      </w:r>
    </w:p>
    <w:p>
      <w:pPr>
        <w:pStyle w:val="BodyText"/>
        <w:spacing w:before="2"/>
        <w:rPr>
          <w:sz w:val="20"/>
        </w:rPr>
      </w:pPr>
    </w:p>
    <w:p>
      <w:pPr>
        <w:pStyle w:val="ListParagraph"/>
        <w:numPr>
          <w:ilvl w:val="0"/>
          <w:numId w:val="39"/>
        </w:numPr>
        <w:tabs>
          <w:tab w:pos="619" w:val="left" w:leader="none"/>
          <w:tab w:pos="621" w:val="left" w:leader="none"/>
        </w:tabs>
        <w:spacing w:line="232" w:lineRule="auto" w:before="0" w:after="0"/>
        <w:ind w:left="140" w:right="203" w:firstLine="0"/>
        <w:jc w:val="left"/>
        <w:rPr>
          <w:sz w:val="18"/>
        </w:rPr>
      </w:pPr>
      <w:r>
        <w:rPr>
          <w:color w:val="231F20"/>
          <w:sz w:val="18"/>
        </w:rPr>
        <w:t>The Governor invited members of the Committee to vote </w:t>
      </w:r>
      <w:r>
        <w:rPr>
          <w:color w:val="231F20"/>
          <w:spacing w:val="-8"/>
          <w:sz w:val="18"/>
        </w:rPr>
        <w:t>on </w:t>
      </w:r>
      <w:r>
        <w:rPr>
          <w:color w:val="231F20"/>
          <w:sz w:val="18"/>
        </w:rPr>
        <w:t>the proposition that the Bank’s repo rate be left unchanged this month. On the balance of the arguments set out in paragraphs 29–31, a majority of the Committee (comprising the Governor, David Clementi, DeAnne Julius, Mervyn King and Ian Plenderleith) voted for the proposition, and a minority (comprising Alan Budd, Willem Buiter and Charles Goodhart) voted against, preferring an immediate increase in interest rates. The repo rate was thus left unchanged.</w:t>
      </w:r>
    </w:p>
    <w:p>
      <w:pPr>
        <w:pStyle w:val="ListParagraph"/>
        <w:numPr>
          <w:ilvl w:val="0"/>
          <w:numId w:val="39"/>
        </w:numPr>
        <w:tabs>
          <w:tab w:pos="619" w:val="left" w:leader="none"/>
          <w:tab w:pos="621" w:val="left" w:leader="none"/>
        </w:tabs>
        <w:spacing w:line="440" w:lineRule="exact" w:before="44" w:after="0"/>
        <w:ind w:left="140" w:right="49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47" w:lineRule="exact"/>
        <w:ind w:left="140"/>
      </w:pPr>
      <w:r>
        <w:rPr>
          <w:color w:val="231F20"/>
        </w:rPr>
        <w:t>David Clementi (Deputy Governor)</w:t>
      </w:r>
    </w:p>
    <w:p>
      <w:pPr>
        <w:pStyle w:val="BodyText"/>
        <w:spacing w:line="232" w:lineRule="auto" w:before="2"/>
        <w:ind w:left="140" w:right="3725"/>
      </w:pPr>
      <w:r>
        <w:rPr>
          <w:color w:val="231F20"/>
        </w:rPr>
        <w:t>Alan Budd Willem Buiter Charles Goodhart DeAnne Julius Mervyn King</w:t>
      </w:r>
    </w:p>
    <w:p>
      <w:pPr>
        <w:pStyle w:val="BodyText"/>
        <w:spacing w:line="198" w:lineRule="exact"/>
        <w:ind w:left="140"/>
      </w:pPr>
      <w:r>
        <w:rPr>
          <w:color w:val="231F20"/>
        </w:rPr>
        <w:t>Ian Plenderleith</w:t>
      </w:r>
    </w:p>
    <w:p>
      <w:pPr>
        <w:pStyle w:val="BodyText"/>
        <w:spacing w:before="2"/>
        <w:rPr>
          <w:sz w:val="24"/>
        </w:rPr>
      </w:pPr>
    </w:p>
    <w:p>
      <w:pPr>
        <w:pStyle w:val="ListParagraph"/>
        <w:numPr>
          <w:ilvl w:val="0"/>
          <w:numId w:val="39"/>
        </w:numPr>
        <w:tabs>
          <w:tab w:pos="619" w:val="left" w:leader="none"/>
          <w:tab w:pos="621" w:val="left" w:leader="none"/>
        </w:tabs>
        <w:spacing w:line="232" w:lineRule="auto" w:before="0" w:after="0"/>
        <w:ind w:left="140" w:right="859" w:firstLine="0"/>
        <w:jc w:val="left"/>
        <w:rPr>
          <w:sz w:val="18"/>
        </w:rPr>
      </w:pPr>
      <w:r>
        <w:rPr>
          <w:color w:val="231F20"/>
          <w:sz w:val="18"/>
        </w:rPr>
        <w:t>Sir Terence Burns was also present as the </w:t>
      </w:r>
      <w:r>
        <w:rPr>
          <w:color w:val="231F20"/>
          <w:spacing w:val="-3"/>
          <w:sz w:val="18"/>
        </w:rPr>
        <w:t>Treasury </w:t>
      </w:r>
      <w:r>
        <w:rPr>
          <w:color w:val="231F20"/>
          <w:sz w:val="18"/>
        </w:rPr>
        <w:t>representative.</w:t>
      </w:r>
    </w:p>
    <w:p>
      <w:pPr>
        <w:spacing w:after="0" w:line="232" w:lineRule="auto"/>
        <w:jc w:val="left"/>
        <w:rPr>
          <w:sz w:val="18"/>
        </w:rPr>
        <w:sectPr>
          <w:type w:val="continuous"/>
          <w:pgSz w:w="11880" w:h="16840"/>
          <w:pgMar w:top="1200" w:bottom="280" w:left="680" w:right="660"/>
          <w:cols w:num="2" w:equalWidth="0">
            <w:col w:w="5069" w:space="311"/>
            <w:col w:w="5160"/>
          </w:cols>
        </w:sectPr>
      </w:pPr>
    </w:p>
    <w:p>
      <w:pPr>
        <w:pStyle w:val="BodyText"/>
        <w:rPr>
          <w:sz w:val="20"/>
        </w:rPr>
      </w:pPr>
    </w:p>
    <w:p>
      <w:pPr>
        <w:pStyle w:val="BodyText"/>
        <w:rPr>
          <w:sz w:val="20"/>
        </w:rPr>
      </w:pPr>
    </w:p>
    <w:p>
      <w:pPr>
        <w:pStyle w:val="Heading2"/>
        <w:spacing w:before="238"/>
      </w:pPr>
      <w:r>
        <w:rPr>
          <w:color w:val="009483"/>
        </w:rPr>
        <w:t>Annex: Summary of data presented by Bank staff</w:t>
      </w:r>
    </w:p>
    <w:p>
      <w:pPr>
        <w:pStyle w:val="BodyText"/>
        <w:rPr>
          <w:b/>
          <w:sz w:val="20"/>
        </w:rPr>
      </w:pPr>
    </w:p>
    <w:p>
      <w:pPr>
        <w:spacing w:after="0"/>
        <w:rPr>
          <w:sz w:val="20"/>
        </w:rPr>
        <w:sectPr>
          <w:pgSz w:w="11880" w:h="16840"/>
          <w:pgMar w:header="566" w:footer="597" w:top="800" w:bottom="780" w:left="680" w:right="660"/>
        </w:sectPr>
      </w:pPr>
    </w:p>
    <w:p>
      <w:pPr>
        <w:pStyle w:val="BodyText"/>
        <w:spacing w:before="6"/>
        <w:rPr>
          <w:b/>
          <w:sz w:val="20"/>
        </w:rPr>
      </w:pPr>
    </w:p>
    <w:p>
      <w:pPr>
        <w:pStyle w:val="ListParagraph"/>
        <w:numPr>
          <w:ilvl w:val="0"/>
          <w:numId w:val="40"/>
        </w:numPr>
        <w:tabs>
          <w:tab w:pos="609" w:val="left" w:leader="none"/>
          <w:tab w:pos="611" w:val="left" w:leader="none"/>
        </w:tabs>
        <w:spacing w:line="232" w:lineRule="auto" w:before="1" w:after="0"/>
        <w:ind w:left="130" w:right="62" w:firstLine="0"/>
        <w:jc w:val="left"/>
        <w:rPr>
          <w:sz w:val="18"/>
        </w:rPr>
      </w:pPr>
      <w:r>
        <w:rPr>
          <w:color w:val="231F20"/>
          <w:sz w:val="18"/>
        </w:rPr>
        <w:t>This note summarises the analysis presented by Bank staff </w:t>
      </w:r>
      <w:r>
        <w:rPr>
          <w:color w:val="231F20"/>
          <w:spacing w:val="-9"/>
          <w:sz w:val="18"/>
        </w:rPr>
        <w:t>to </w:t>
      </w:r>
      <w:r>
        <w:rPr>
          <w:color w:val="231F20"/>
          <w:sz w:val="18"/>
        </w:rPr>
        <w:t>the Monetary Policy Committee on 5 January 1998, in advance of its meeting. At the start of the Committee meeting itself, members were made aware of information that had subsequently become available, and that information is included in this Annex.</w:t>
      </w:r>
    </w:p>
    <w:p>
      <w:pPr>
        <w:pStyle w:val="BodyText"/>
        <w:spacing w:before="3"/>
        <w:rPr>
          <w:sz w:val="20"/>
        </w:rPr>
      </w:pPr>
    </w:p>
    <w:p>
      <w:pPr>
        <w:pStyle w:val="Heading7"/>
        <w:numPr>
          <w:ilvl w:val="0"/>
          <w:numId w:val="41"/>
        </w:numPr>
        <w:tabs>
          <w:tab w:pos="609" w:val="left" w:leader="none"/>
          <w:tab w:pos="611" w:val="left" w:leader="none"/>
        </w:tabs>
        <w:spacing w:line="240" w:lineRule="auto" w:before="0" w:after="0"/>
        <w:ind w:left="610" w:right="0" w:hanging="481"/>
        <w:jc w:val="left"/>
      </w:pPr>
      <w:r>
        <w:rPr>
          <w:color w:val="009483"/>
        </w:rPr>
        <w:t>Monetary conditions</w:t>
      </w:r>
    </w:p>
    <w:p>
      <w:pPr>
        <w:pStyle w:val="ListParagraph"/>
        <w:numPr>
          <w:ilvl w:val="0"/>
          <w:numId w:val="40"/>
        </w:numPr>
        <w:tabs>
          <w:tab w:pos="609" w:val="left" w:leader="none"/>
          <w:tab w:pos="611" w:val="left" w:leader="none"/>
        </w:tabs>
        <w:spacing w:line="232" w:lineRule="auto" w:before="190" w:after="0"/>
        <w:ind w:left="130" w:right="38" w:firstLine="0"/>
        <w:jc w:val="left"/>
        <w:rPr>
          <w:sz w:val="18"/>
        </w:rPr>
      </w:pPr>
      <w:r>
        <w:rPr>
          <w:color w:val="231F20"/>
          <w:sz w:val="18"/>
        </w:rPr>
        <w:t>Notes and coin rose sharply by 1% on the month in December and by almost 7% on a year earlier. But the numbers were very difficult to interpret as the seasonal adjustment would </w:t>
      </w:r>
      <w:r>
        <w:rPr>
          <w:color w:val="231F20"/>
          <w:spacing w:val="-6"/>
          <w:sz w:val="18"/>
        </w:rPr>
        <w:t>not </w:t>
      </w:r>
      <w:r>
        <w:rPr>
          <w:color w:val="231F20"/>
          <w:sz w:val="18"/>
        </w:rPr>
        <w:t>be updated until the effects of Christmas had unwound.</w:t>
      </w:r>
    </w:p>
    <w:p>
      <w:pPr>
        <w:pStyle w:val="BodyText"/>
        <w:spacing w:before="1"/>
        <w:rPr>
          <w:sz w:val="17"/>
        </w:rPr>
      </w:pPr>
    </w:p>
    <w:p>
      <w:pPr>
        <w:pStyle w:val="ListParagraph"/>
        <w:numPr>
          <w:ilvl w:val="0"/>
          <w:numId w:val="40"/>
        </w:numPr>
        <w:tabs>
          <w:tab w:pos="609" w:val="left" w:leader="none"/>
          <w:tab w:pos="611" w:val="left" w:leader="none"/>
        </w:tabs>
        <w:spacing w:line="232" w:lineRule="auto" w:before="0" w:after="0"/>
        <w:ind w:left="130" w:right="113" w:firstLine="0"/>
        <w:jc w:val="left"/>
        <w:rPr>
          <w:sz w:val="18"/>
        </w:rPr>
      </w:pPr>
      <w:r>
        <w:rPr>
          <w:color w:val="231F20"/>
          <w:sz w:val="18"/>
        </w:rPr>
        <w:t>Monthly M4 growth rose in November to 0.9% compared with 0.5% in October. This stronger outturn was partly accounted for by increased repo-market activity. Three-month and six-month growth rates continued to suggest some modest deceleration compared with the first half of the year. Nevertheless, the growth rate of real broad money remained high, at just under 8%, and continued to point to robust real domestic demand growth.</w:t>
      </w:r>
    </w:p>
    <w:p>
      <w:pPr>
        <w:pStyle w:val="BodyText"/>
        <w:spacing w:before="11"/>
        <w:rPr>
          <w:sz w:val="16"/>
        </w:rPr>
      </w:pPr>
    </w:p>
    <w:p>
      <w:pPr>
        <w:pStyle w:val="ListParagraph"/>
        <w:numPr>
          <w:ilvl w:val="0"/>
          <w:numId w:val="40"/>
        </w:numPr>
        <w:tabs>
          <w:tab w:pos="609" w:val="left" w:leader="none"/>
          <w:tab w:pos="611" w:val="left" w:leader="none"/>
        </w:tabs>
        <w:spacing w:line="232" w:lineRule="auto" w:before="0" w:after="0"/>
        <w:ind w:left="130" w:right="42" w:firstLine="0"/>
        <w:jc w:val="left"/>
        <w:rPr>
          <w:sz w:val="18"/>
        </w:rPr>
      </w:pPr>
      <w:r>
        <w:rPr>
          <w:color w:val="231F20"/>
          <w:sz w:val="18"/>
        </w:rPr>
        <w:t>Personal sector M4 continued to grow at an annual rate of around 8%. This had changed little in the past five months, though it had weakened slightly in November after being boosted by windfall deposits in October. More robust estimates of the </w:t>
      </w:r>
      <w:r>
        <w:rPr>
          <w:color w:val="231F20"/>
          <w:spacing w:val="-3"/>
          <w:sz w:val="18"/>
        </w:rPr>
        <w:t>personal </w:t>
      </w:r>
      <w:r>
        <w:rPr>
          <w:color w:val="231F20"/>
          <w:sz w:val="18"/>
        </w:rPr>
        <w:t>sector’s holdings of broad money would be available upon the release of figures for Q4 on 30 January. A breakdown of personal sector M4 between unincorporated businesses and individuals would be available a month after that; individuals’ deposits had grown more slowly than total personal sector deposits earlier in the year.</w:t>
      </w:r>
    </w:p>
    <w:p>
      <w:pPr>
        <w:pStyle w:val="BodyText"/>
        <w:spacing w:before="8"/>
        <w:rPr>
          <w:sz w:val="16"/>
        </w:rPr>
      </w:pPr>
    </w:p>
    <w:p>
      <w:pPr>
        <w:pStyle w:val="ListParagraph"/>
        <w:numPr>
          <w:ilvl w:val="0"/>
          <w:numId w:val="40"/>
        </w:numPr>
        <w:tabs>
          <w:tab w:pos="609" w:val="left" w:leader="none"/>
          <w:tab w:pos="611" w:val="left" w:leader="none"/>
        </w:tabs>
        <w:spacing w:line="232" w:lineRule="auto" w:before="0" w:after="0"/>
        <w:ind w:left="130" w:right="77" w:firstLine="0"/>
        <w:jc w:val="left"/>
        <w:rPr>
          <w:sz w:val="18"/>
        </w:rPr>
      </w:pPr>
      <w:r>
        <w:rPr>
          <w:color w:val="231F20"/>
          <w:sz w:val="18"/>
        </w:rPr>
        <w:t>Looking at the split of retail M4 deposits in November, inflows into building society deposits had continued to be strong. As in the recent past, it was understood that the inflows were widely spread across building societies and that the flows were </w:t>
      </w:r>
      <w:r>
        <w:rPr>
          <w:color w:val="231F20"/>
          <w:spacing w:val="-5"/>
          <w:sz w:val="18"/>
        </w:rPr>
        <w:t>into </w:t>
      </w:r>
      <w:r>
        <w:rPr>
          <w:color w:val="231F20"/>
          <w:sz w:val="18"/>
        </w:rPr>
        <w:t>share, rather than deposit accounts—only the former qualify for windfall payments upon demutualisation. This lent support to the view that the strong rise in building society deposits was partly due to speculation on the possibility of further demutualisations.</w:t>
      </w:r>
    </w:p>
    <w:p>
      <w:pPr>
        <w:pStyle w:val="BodyText"/>
        <w:spacing w:before="10"/>
        <w:rPr>
          <w:sz w:val="16"/>
        </w:rPr>
      </w:pPr>
    </w:p>
    <w:p>
      <w:pPr>
        <w:pStyle w:val="ListParagraph"/>
        <w:numPr>
          <w:ilvl w:val="0"/>
          <w:numId w:val="40"/>
        </w:numPr>
        <w:tabs>
          <w:tab w:pos="609" w:val="left" w:leader="none"/>
          <w:tab w:pos="611" w:val="left" w:leader="none"/>
        </w:tabs>
        <w:spacing w:line="232" w:lineRule="auto" w:before="0" w:after="0"/>
        <w:ind w:left="129" w:right="82" w:firstLine="0"/>
        <w:jc w:val="left"/>
        <w:rPr>
          <w:sz w:val="18"/>
        </w:rPr>
      </w:pPr>
      <w:r>
        <w:rPr>
          <w:color w:val="231F20"/>
          <w:sz w:val="18"/>
        </w:rPr>
        <w:t>Deposits held by ICCs fell for the second consecutive </w:t>
      </w:r>
      <w:r>
        <w:rPr>
          <w:color w:val="231F20"/>
          <w:spacing w:val="-4"/>
          <w:sz w:val="18"/>
        </w:rPr>
        <w:t>month </w:t>
      </w:r>
      <w:r>
        <w:rPr>
          <w:color w:val="231F20"/>
          <w:sz w:val="18"/>
        </w:rPr>
        <w:t>in November. The growth of ICCs’ deposits had slowed to an annual rate of around 6% in 1997 Q3 from 11% in 1996 Q3. By contrast, OFIs’ holdings of broad money increased in November after a weak October, largely on account of repo activity. Taking October and November together, the average monthly growth of OFIs’ deposits was 1.4%, somewhat lower than the average of 2.4% for the rest of 1997. Figures for the third quarter suggested that L</w:t>
      </w:r>
      <w:r>
        <w:rPr>
          <w:color w:val="231F20"/>
          <w:sz w:val="14"/>
        </w:rPr>
        <w:t>APF</w:t>
      </w:r>
      <w:r>
        <w:rPr>
          <w:color w:val="231F20"/>
          <w:sz w:val="18"/>
        </w:rPr>
        <w:t>s continued to increase their deposits, albeit at a slower rate than in 1996.</w:t>
      </w:r>
    </w:p>
    <w:p>
      <w:pPr>
        <w:pStyle w:val="BodyText"/>
        <w:spacing w:before="8"/>
        <w:rPr>
          <w:sz w:val="16"/>
        </w:rPr>
      </w:pPr>
    </w:p>
    <w:p>
      <w:pPr>
        <w:pStyle w:val="ListParagraph"/>
        <w:numPr>
          <w:ilvl w:val="0"/>
          <w:numId w:val="40"/>
        </w:numPr>
        <w:tabs>
          <w:tab w:pos="609" w:val="left" w:leader="none"/>
          <w:tab w:pos="611" w:val="left" w:leader="none"/>
        </w:tabs>
        <w:spacing w:line="232" w:lineRule="auto" w:before="0" w:after="0"/>
        <w:ind w:left="129" w:right="152" w:firstLine="0"/>
        <w:jc w:val="left"/>
        <w:rPr>
          <w:sz w:val="18"/>
        </w:rPr>
      </w:pPr>
      <w:r>
        <w:rPr>
          <w:color w:val="231F20"/>
          <w:sz w:val="18"/>
        </w:rPr>
        <w:t>M4 lending rose more strongly in November pushing the twelve-month rate up slightly to 7.8%. This followed a period in which the annual rate fell from 9.4% in June to 7.6% in October. The strength reflected a rebound on the month in lending via reverse gilt repo. But taking October and November together, the average monthly growth rate was broadly in line with the average of the previous three months at around 0.6%, compared with </w:t>
      </w:r>
      <w:r>
        <w:rPr>
          <w:color w:val="231F20"/>
          <w:spacing w:val="-5"/>
          <w:sz w:val="18"/>
        </w:rPr>
        <w:t>0.9% </w:t>
      </w:r>
      <w:r>
        <w:rPr>
          <w:color w:val="231F20"/>
          <w:sz w:val="18"/>
        </w:rPr>
        <w:t>in the first half of 1997. Overall, it appeared that M4 lending growth had been slower in recent months than in the first half of 1997 and 1996.</w:t>
      </w:r>
    </w:p>
    <w:p>
      <w:pPr>
        <w:pStyle w:val="BodyText"/>
        <w:spacing w:before="8"/>
        <w:rPr>
          <w:sz w:val="16"/>
        </w:rPr>
      </w:pPr>
    </w:p>
    <w:p>
      <w:pPr>
        <w:pStyle w:val="ListParagraph"/>
        <w:numPr>
          <w:ilvl w:val="0"/>
          <w:numId w:val="40"/>
        </w:numPr>
        <w:tabs>
          <w:tab w:pos="609" w:val="left" w:leader="none"/>
          <w:tab w:pos="611" w:val="left" w:leader="none"/>
        </w:tabs>
        <w:spacing w:line="232" w:lineRule="auto" w:before="0" w:after="0"/>
        <w:ind w:left="129" w:right="38" w:firstLine="0"/>
        <w:jc w:val="left"/>
        <w:rPr>
          <w:sz w:val="18"/>
        </w:rPr>
      </w:pPr>
      <w:r>
        <w:rPr>
          <w:color w:val="231F20"/>
          <w:sz w:val="18"/>
        </w:rPr>
        <w:t>The sectoral breakdown showed that the twelve-month growth rate of M4 lending to persons was proceeding at a similar rate to the previous four years. Unsecured lending remained</w:t>
      </w:r>
      <w:r>
        <w:rPr>
          <w:color w:val="231F20"/>
          <w:spacing w:val="4"/>
          <w:sz w:val="18"/>
        </w:rPr>
        <w:t> </w:t>
      </w:r>
      <w:r>
        <w:rPr>
          <w:color w:val="231F20"/>
          <w:spacing w:val="-3"/>
          <w:sz w:val="18"/>
        </w:rPr>
        <w:t>robust,</w:t>
      </w:r>
    </w:p>
    <w:p>
      <w:pPr>
        <w:pStyle w:val="BodyText"/>
        <w:spacing w:before="6"/>
        <w:rPr>
          <w:sz w:val="20"/>
        </w:rPr>
      </w:pPr>
      <w:r>
        <w:rPr/>
        <w:br w:type="column"/>
      </w:r>
      <w:r>
        <w:rPr>
          <w:sz w:val="20"/>
        </w:rPr>
      </w:r>
    </w:p>
    <w:p>
      <w:pPr>
        <w:pStyle w:val="BodyText"/>
        <w:spacing w:line="232" w:lineRule="auto" w:before="1"/>
        <w:ind w:left="129" w:right="277"/>
      </w:pPr>
      <w:r>
        <w:rPr>
          <w:color w:val="231F20"/>
        </w:rPr>
        <w:t>partly reflecting a supply effect induced by increased competition in the consumer credit market. Secured lending by banks and building societies continued to grow steadily at an annual rate of 6.2%.</w:t>
      </w:r>
    </w:p>
    <w:p>
      <w:pPr>
        <w:pStyle w:val="BodyText"/>
        <w:spacing w:before="6"/>
        <w:rPr>
          <w:sz w:val="20"/>
        </w:rPr>
      </w:pPr>
    </w:p>
    <w:p>
      <w:pPr>
        <w:pStyle w:val="ListParagraph"/>
        <w:numPr>
          <w:ilvl w:val="0"/>
          <w:numId w:val="40"/>
        </w:numPr>
        <w:tabs>
          <w:tab w:pos="609" w:val="left" w:leader="none"/>
          <w:tab w:pos="611" w:val="left" w:leader="none"/>
        </w:tabs>
        <w:spacing w:line="232" w:lineRule="auto" w:before="0" w:after="0"/>
        <w:ind w:left="129" w:right="150" w:firstLine="0"/>
        <w:jc w:val="left"/>
        <w:rPr>
          <w:sz w:val="18"/>
        </w:rPr>
      </w:pPr>
      <w:r>
        <w:rPr>
          <w:color w:val="231F20"/>
          <w:sz w:val="18"/>
        </w:rPr>
        <w:t>The major contribution to the slowdown in aggregate M4 lending had come from ICCs. In the year to November, ICCs’ sterling borrowing from UK banks and building societies rose by 2.9%, the same as in October. Growth in October and November together was 5.8% at an annualised rate. These recent rates of growth compared with an average annual growth of around 14% in 1996. Net sterling capital issues had also weakened in 1997. Foreign currency capital issues had increased significantly in the first three quarters of the year before weakening in October and November. The earlier strength in foreign currency capital issues represented a small proportion of total ICCs’ external finance and appeared to be related to a few large take-overs. Evidence from </w:t>
      </w:r>
      <w:r>
        <w:rPr>
          <w:color w:val="231F20"/>
          <w:spacing w:val="-6"/>
          <w:sz w:val="18"/>
        </w:rPr>
        <w:t>the </w:t>
      </w:r>
      <w:r>
        <w:rPr>
          <w:color w:val="231F20"/>
          <w:sz w:val="18"/>
        </w:rPr>
        <w:t>Bank’s Agents and from surveys was consistent with a picture of weakening credit demand. The overall implications for activity were difficult to assess; internal funds remained stable and had in fact risen during the third quarter, although the effects of dividend payments being brought forward to the second quarter on account of the ACT changes were unclear. Investment intentions also remained firm.</w:t>
      </w:r>
    </w:p>
    <w:p>
      <w:pPr>
        <w:pStyle w:val="BodyText"/>
        <w:spacing w:before="7"/>
        <w:rPr>
          <w:sz w:val="19"/>
        </w:rPr>
      </w:pPr>
    </w:p>
    <w:p>
      <w:pPr>
        <w:pStyle w:val="ListParagraph"/>
        <w:numPr>
          <w:ilvl w:val="0"/>
          <w:numId w:val="40"/>
        </w:numPr>
        <w:tabs>
          <w:tab w:pos="609" w:val="left" w:leader="none"/>
          <w:tab w:pos="611" w:val="left" w:leader="none"/>
        </w:tabs>
        <w:spacing w:line="232" w:lineRule="auto" w:before="0" w:after="0"/>
        <w:ind w:left="129" w:right="209" w:firstLine="0"/>
        <w:jc w:val="left"/>
        <w:rPr>
          <w:sz w:val="18"/>
        </w:rPr>
      </w:pPr>
      <w:r>
        <w:rPr>
          <w:color w:val="231F20"/>
          <w:sz w:val="18"/>
        </w:rPr>
        <w:t>M4 lending to OFIs rose strongly in November (2.1%) after a sharp fall in October (-1.2%). The November rise reflected a rebound in reverse repo activity. The twelve-month growth rate </w:t>
      </w:r>
      <w:r>
        <w:rPr>
          <w:color w:val="231F20"/>
          <w:spacing w:val="-9"/>
          <w:sz w:val="18"/>
        </w:rPr>
        <w:t>of </w:t>
      </w:r>
      <w:r>
        <w:rPr>
          <w:color w:val="231F20"/>
          <w:sz w:val="18"/>
        </w:rPr>
        <w:t>M4 lending to OFIs was 17.0% in November, compared with an average of 19.9% in the first nine months of 1997.</w:t>
      </w:r>
    </w:p>
    <w:p>
      <w:pPr>
        <w:pStyle w:val="BodyText"/>
        <w:spacing w:before="6"/>
        <w:rPr>
          <w:sz w:val="20"/>
        </w:rPr>
      </w:pPr>
    </w:p>
    <w:p>
      <w:pPr>
        <w:pStyle w:val="ListParagraph"/>
        <w:numPr>
          <w:ilvl w:val="0"/>
          <w:numId w:val="40"/>
        </w:numPr>
        <w:tabs>
          <w:tab w:pos="609" w:val="left" w:leader="none"/>
          <w:tab w:pos="611" w:val="left" w:leader="none"/>
        </w:tabs>
        <w:spacing w:line="232" w:lineRule="auto" w:before="0" w:after="0"/>
        <w:ind w:left="129" w:right="144" w:firstLine="0"/>
        <w:jc w:val="left"/>
        <w:rPr>
          <w:sz w:val="18"/>
        </w:rPr>
      </w:pPr>
      <w:r>
        <w:rPr>
          <w:color w:val="231F20"/>
          <w:sz w:val="18"/>
        </w:rPr>
        <w:t>Inflation expectations derived from the gilt market had </w:t>
      </w:r>
      <w:r>
        <w:rPr>
          <w:color w:val="231F20"/>
          <w:spacing w:val="-3"/>
          <w:sz w:val="18"/>
        </w:rPr>
        <w:t>fallen </w:t>
      </w:r>
      <w:r>
        <w:rPr>
          <w:color w:val="231F20"/>
          <w:sz w:val="18"/>
        </w:rPr>
        <w:t>for the second consecutive month. This appeared to be due to weaker UK data as well as global developments. Estimated</w:t>
      </w:r>
    </w:p>
    <w:p>
      <w:pPr>
        <w:pStyle w:val="BodyText"/>
        <w:spacing w:line="232" w:lineRule="auto"/>
        <w:ind w:left="129" w:right="133"/>
      </w:pPr>
      <w:r>
        <w:rPr>
          <w:color w:val="231F20"/>
        </w:rPr>
        <w:t>short-term real rates had fallen in the early part of the month and the spread between two-year and ten-year real forward interest </w:t>
      </w:r>
      <w:r>
        <w:rPr>
          <w:color w:val="231F20"/>
          <w:spacing w:val="-4"/>
        </w:rPr>
        <w:t>rates </w:t>
      </w:r>
      <w:r>
        <w:rPr>
          <w:color w:val="231F20"/>
        </w:rPr>
        <w:t>had narrowed.  The fall in short-term real rates might, perhaps, have been in response to the fall in inflation expectations.</w:t>
      </w:r>
    </w:p>
    <w:p>
      <w:pPr>
        <w:pStyle w:val="BodyText"/>
        <w:spacing w:before="5"/>
        <w:rPr>
          <w:sz w:val="20"/>
        </w:rPr>
      </w:pPr>
    </w:p>
    <w:p>
      <w:pPr>
        <w:pStyle w:val="ListParagraph"/>
        <w:numPr>
          <w:ilvl w:val="0"/>
          <w:numId w:val="40"/>
        </w:numPr>
        <w:tabs>
          <w:tab w:pos="609" w:val="left" w:leader="none"/>
          <w:tab w:pos="611" w:val="left" w:leader="none"/>
        </w:tabs>
        <w:spacing w:line="232" w:lineRule="auto" w:before="0" w:after="0"/>
        <w:ind w:left="129" w:right="324" w:firstLine="0"/>
        <w:jc w:val="left"/>
        <w:rPr>
          <w:sz w:val="18"/>
        </w:rPr>
      </w:pPr>
      <w:r>
        <w:rPr>
          <w:color w:val="231F20"/>
          <w:sz w:val="18"/>
        </w:rPr>
        <w:t>The most recent rise in official interest rates had now </w:t>
      </w:r>
      <w:r>
        <w:rPr>
          <w:color w:val="231F20"/>
          <w:spacing w:val="-5"/>
          <w:sz w:val="18"/>
        </w:rPr>
        <w:t>been </w:t>
      </w:r>
      <w:r>
        <w:rPr>
          <w:color w:val="231F20"/>
          <w:sz w:val="18"/>
        </w:rPr>
        <w:t>passed through by most banks into deposit accounts and standard variable-rate mortgages, but typically not by building societies. There had been little pass-through of the official rate rises since May to unsecured lending. This, and the entry of new firms, </w:t>
      </w:r>
      <w:r>
        <w:rPr>
          <w:color w:val="231F20"/>
          <w:spacing w:val="-4"/>
          <w:sz w:val="18"/>
        </w:rPr>
        <w:t>was </w:t>
      </w:r>
      <w:r>
        <w:rPr>
          <w:color w:val="231F20"/>
          <w:sz w:val="18"/>
        </w:rPr>
        <w:t>consistent with increased competition in the consumer credit market.</w:t>
      </w:r>
    </w:p>
    <w:p>
      <w:pPr>
        <w:pStyle w:val="BodyText"/>
        <w:spacing w:before="4"/>
        <w:rPr>
          <w:sz w:val="20"/>
        </w:rPr>
      </w:pPr>
    </w:p>
    <w:p>
      <w:pPr>
        <w:pStyle w:val="ListParagraph"/>
        <w:numPr>
          <w:ilvl w:val="0"/>
          <w:numId w:val="40"/>
        </w:numPr>
        <w:tabs>
          <w:tab w:pos="609" w:val="left" w:leader="none"/>
          <w:tab w:pos="611" w:val="left" w:leader="none"/>
        </w:tabs>
        <w:spacing w:line="232" w:lineRule="auto" w:before="1" w:after="0"/>
        <w:ind w:left="129" w:right="203" w:firstLine="0"/>
        <w:jc w:val="left"/>
        <w:rPr>
          <w:sz w:val="18"/>
        </w:rPr>
      </w:pPr>
      <w:r>
        <w:rPr>
          <w:color w:val="231F20"/>
          <w:sz w:val="18"/>
        </w:rPr>
        <w:t>The nominal effective exchange rate index had depreciated by 0.8% since the previous MPC, but was 2% higher than the </w:t>
      </w:r>
      <w:r>
        <w:rPr>
          <w:color w:val="231F20"/>
          <w:spacing w:val="-4"/>
          <w:sz w:val="18"/>
        </w:rPr>
        <w:t>level </w:t>
      </w:r>
      <w:r>
        <w:rPr>
          <w:color w:val="231F20"/>
          <w:sz w:val="18"/>
        </w:rPr>
        <w:t>assumed for the purposes of the projection in the November </w:t>
      </w:r>
      <w:r>
        <w:rPr>
          <w:i/>
          <w:color w:val="231F20"/>
          <w:sz w:val="18"/>
        </w:rPr>
        <w:t>Inflation Report</w:t>
      </w:r>
      <w:r>
        <w:rPr>
          <w:color w:val="231F20"/>
          <w:sz w:val="18"/>
        </w:rPr>
        <w:t>. Yields had fallen in most industrial countries during the month, perhaps partly in response to developments in Asia. But UK yields had fallen by slightly more, which was consistent with the depreciation of sterling. However the UIP decomposition suggested that only a small part of the recent depreciation was explained by news about monetary policy in the UK relative to that overseas.</w:t>
      </w:r>
    </w:p>
    <w:p>
      <w:pPr>
        <w:pStyle w:val="BodyText"/>
        <w:spacing w:before="11"/>
        <w:rPr>
          <w:sz w:val="19"/>
        </w:rPr>
      </w:pPr>
    </w:p>
    <w:p>
      <w:pPr>
        <w:pStyle w:val="Heading7"/>
        <w:numPr>
          <w:ilvl w:val="0"/>
          <w:numId w:val="41"/>
        </w:numPr>
        <w:tabs>
          <w:tab w:pos="610" w:val="left" w:leader="none"/>
          <w:tab w:pos="611" w:val="left" w:leader="none"/>
        </w:tabs>
        <w:spacing w:line="240" w:lineRule="auto" w:before="0" w:after="0"/>
        <w:ind w:left="610" w:right="0" w:hanging="482"/>
        <w:jc w:val="left"/>
      </w:pPr>
      <w:r>
        <w:rPr>
          <w:color w:val="009483"/>
        </w:rPr>
        <w:t>Demand and output</w:t>
      </w:r>
    </w:p>
    <w:p>
      <w:pPr>
        <w:pStyle w:val="ListParagraph"/>
        <w:numPr>
          <w:ilvl w:val="0"/>
          <w:numId w:val="40"/>
        </w:numPr>
        <w:tabs>
          <w:tab w:pos="609" w:val="left" w:leader="none"/>
          <w:tab w:pos="611" w:val="left" w:leader="none"/>
        </w:tabs>
        <w:spacing w:line="232" w:lineRule="auto" w:before="190" w:after="0"/>
        <w:ind w:left="129" w:right="118" w:firstLine="0"/>
        <w:jc w:val="left"/>
        <w:rPr>
          <w:sz w:val="18"/>
        </w:rPr>
      </w:pPr>
      <w:r>
        <w:rPr>
          <w:color w:val="231F20"/>
          <w:sz w:val="18"/>
        </w:rPr>
        <w:t>The ONS had published full National Accounts data for </w:t>
      </w:r>
      <w:r>
        <w:rPr>
          <w:color w:val="231F20"/>
          <w:spacing w:val="-5"/>
          <w:sz w:val="18"/>
        </w:rPr>
        <w:t>1997 </w:t>
      </w:r>
      <w:r>
        <w:rPr>
          <w:color w:val="231F20"/>
          <w:sz w:val="18"/>
        </w:rPr>
        <w:t>Q3 in December. GDP growth in 1997 Q3 had been revised down to 0.8% (from 0.9%). There had been small but extensive revisions to the data back to the beginning of 1996. And the output and expenditure measures of GDP had begun to diverge.</w:t>
      </w:r>
    </w:p>
    <w:p>
      <w:pPr>
        <w:spacing w:after="0" w:line="232" w:lineRule="auto"/>
        <w:jc w:val="left"/>
        <w:rPr>
          <w:sz w:val="18"/>
        </w:rPr>
        <w:sectPr>
          <w:type w:val="continuous"/>
          <w:pgSz w:w="11880" w:h="16840"/>
          <w:pgMar w:top="1200" w:bottom="280" w:left="680" w:right="660"/>
          <w:cols w:num="2" w:equalWidth="0">
            <w:col w:w="5069" w:space="316"/>
            <w:col w:w="5155"/>
          </w:cols>
        </w:sectPr>
      </w:pPr>
    </w:p>
    <w:p>
      <w:pPr>
        <w:pStyle w:val="BodyText"/>
        <w:spacing w:before="3"/>
        <w:rPr>
          <w:sz w:val="28"/>
        </w:rPr>
      </w:pPr>
    </w:p>
    <w:p>
      <w:pPr>
        <w:spacing w:after="0"/>
        <w:rPr>
          <w:sz w:val="28"/>
        </w:rPr>
        <w:sectPr>
          <w:pgSz w:w="11880" w:h="16840"/>
          <w:pgMar w:header="566" w:footer="597" w:top="800" w:bottom="780" w:left="680" w:right="660"/>
        </w:sectPr>
      </w:pPr>
    </w:p>
    <w:p>
      <w:pPr>
        <w:pStyle w:val="ListParagraph"/>
        <w:numPr>
          <w:ilvl w:val="0"/>
          <w:numId w:val="40"/>
        </w:numPr>
        <w:tabs>
          <w:tab w:pos="599" w:val="left" w:leader="none"/>
          <w:tab w:pos="601" w:val="left" w:leader="none"/>
        </w:tabs>
        <w:spacing w:line="232" w:lineRule="auto" w:before="98" w:after="0"/>
        <w:ind w:left="120" w:right="42" w:firstLine="0"/>
        <w:jc w:val="left"/>
        <w:rPr>
          <w:sz w:val="18"/>
        </w:rPr>
      </w:pPr>
      <w:bookmarkStart w:name="_bookmark41" w:id="94"/>
      <w:bookmarkEnd w:id="94"/>
      <w:r>
        <w:rPr/>
      </w:r>
      <w:bookmarkStart w:name="_bookmark41" w:id="95"/>
      <w:bookmarkEnd w:id="95"/>
      <w:r>
        <w:rPr>
          <w:color w:val="231F20"/>
          <w:sz w:val="18"/>
        </w:rPr>
        <w:t>Domestic</w:t>
      </w:r>
      <w:r>
        <w:rPr>
          <w:color w:val="231F20"/>
          <w:sz w:val="18"/>
        </w:rPr>
        <w:t> demand growth had been revised up to 0.9%, reflecting upward revisions to government consumption, investment and stockbuilding. Strong government consumption growth was difficult to reconcile with the low PSBR numbers and a small rise of 0.2% in government and ‘other services’ output in the third quarter. Investment data had again been influenced by erratic transport factors;  excluding these, investment would have grown by 0.7% in 1997 Q3, rather than falling by 0.5%. Surveys of investment intentions continued to show a reasonably robust </w:t>
      </w:r>
      <w:r>
        <w:rPr>
          <w:color w:val="231F20"/>
          <w:spacing w:val="-3"/>
          <w:sz w:val="18"/>
        </w:rPr>
        <w:t>picture </w:t>
      </w:r>
      <w:r>
        <w:rPr>
          <w:color w:val="231F20"/>
          <w:sz w:val="18"/>
        </w:rPr>
        <w:t>for both manufacturing and services.</w:t>
      </w:r>
    </w:p>
    <w:p>
      <w:pPr>
        <w:pStyle w:val="BodyText"/>
        <w:spacing w:before="5"/>
      </w:pPr>
    </w:p>
    <w:p>
      <w:pPr>
        <w:pStyle w:val="ListParagraph"/>
        <w:numPr>
          <w:ilvl w:val="0"/>
          <w:numId w:val="40"/>
        </w:numPr>
        <w:tabs>
          <w:tab w:pos="599" w:val="left" w:leader="none"/>
          <w:tab w:pos="601" w:val="left" w:leader="none"/>
        </w:tabs>
        <w:spacing w:line="232" w:lineRule="auto" w:before="0" w:after="0"/>
        <w:ind w:left="120" w:right="117" w:firstLine="0"/>
        <w:jc w:val="left"/>
        <w:rPr>
          <w:sz w:val="18"/>
        </w:rPr>
      </w:pPr>
      <w:r>
        <w:rPr>
          <w:color w:val="231F20"/>
          <w:sz w:val="18"/>
        </w:rPr>
        <w:t>Private consumption had been revised down to 0.7% (from 1.2%). This was in part the result of a weak energy consumption estimate which was difficult to reconcile with strong energy </w:t>
      </w:r>
      <w:r>
        <w:rPr>
          <w:color w:val="231F20"/>
          <w:spacing w:val="-3"/>
          <w:sz w:val="18"/>
        </w:rPr>
        <w:t>output </w:t>
      </w:r>
      <w:r>
        <w:rPr>
          <w:color w:val="231F20"/>
          <w:sz w:val="18"/>
        </w:rPr>
        <w:t>growth. And it may also have reflected a temporary fall in consumption following the death of Diana, Princess of Wales, which could have depressed consumption by as much as half a percentage point. Retail sales fell by 0.4% in November. Abstracting from September’s data, the pace of retail sales growth had moderated, but remained strong.</w:t>
      </w:r>
    </w:p>
    <w:p>
      <w:pPr>
        <w:pStyle w:val="BodyText"/>
        <w:spacing w:before="6"/>
      </w:pPr>
    </w:p>
    <w:p>
      <w:pPr>
        <w:pStyle w:val="ListParagraph"/>
        <w:numPr>
          <w:ilvl w:val="0"/>
          <w:numId w:val="40"/>
        </w:numPr>
        <w:tabs>
          <w:tab w:pos="599" w:val="left" w:leader="none"/>
          <w:tab w:pos="601" w:val="left" w:leader="none"/>
        </w:tabs>
        <w:spacing w:line="232" w:lineRule="auto" w:before="0" w:after="0"/>
        <w:ind w:left="120" w:right="83" w:firstLine="0"/>
        <w:jc w:val="left"/>
        <w:rPr>
          <w:sz w:val="18"/>
        </w:rPr>
      </w:pPr>
      <w:r>
        <w:rPr>
          <w:color w:val="231F20"/>
          <w:sz w:val="18"/>
        </w:rPr>
        <w:t>The Halifax house price index had fallen by 0.2% in December, and the annual rate of house price inflation had fallen </w:t>
      </w:r>
      <w:r>
        <w:rPr>
          <w:color w:val="231F20"/>
          <w:spacing w:val="-9"/>
          <w:sz w:val="18"/>
        </w:rPr>
        <w:t>to </w:t>
      </w:r>
      <w:r>
        <w:rPr>
          <w:color w:val="231F20"/>
          <w:sz w:val="18"/>
        </w:rPr>
        <w:t>4.3%. The divergence between the Halifax and Nationwide annual rates of house price inflation had increased to its widest yet: the Nationwide rate had risen 1 percentage point to 12.6% in the year to December. Housing activity had been fairly stable in 1997 across a range of measures such as lending secured on dwellings and the Royal Institute of Chartered Surveyors survey.</w:t>
      </w:r>
    </w:p>
    <w:p>
      <w:pPr>
        <w:pStyle w:val="BodyText"/>
        <w:spacing w:before="6"/>
      </w:pPr>
    </w:p>
    <w:p>
      <w:pPr>
        <w:pStyle w:val="ListParagraph"/>
        <w:numPr>
          <w:ilvl w:val="0"/>
          <w:numId w:val="40"/>
        </w:numPr>
        <w:tabs>
          <w:tab w:pos="599" w:val="left" w:leader="none"/>
          <w:tab w:pos="601" w:val="left" w:leader="none"/>
        </w:tabs>
        <w:spacing w:line="232" w:lineRule="auto" w:before="1" w:after="0"/>
        <w:ind w:left="120" w:right="47" w:firstLine="0"/>
        <w:jc w:val="left"/>
        <w:rPr>
          <w:sz w:val="18"/>
        </w:rPr>
      </w:pPr>
      <w:r>
        <w:rPr>
          <w:color w:val="231F20"/>
          <w:sz w:val="18"/>
        </w:rPr>
        <w:t>The estimated positive contribution of net exports to GDP in the third quarter had been revised down slightly. The underlying picture was of a negative impact from trade in goods and services, but this had been more than offset by a positive effect on GDP </w:t>
      </w:r>
      <w:r>
        <w:rPr>
          <w:color w:val="231F20"/>
          <w:spacing w:val="-5"/>
          <w:sz w:val="18"/>
        </w:rPr>
        <w:t>from </w:t>
      </w:r>
      <w:r>
        <w:rPr>
          <w:color w:val="231F20"/>
          <w:sz w:val="18"/>
        </w:rPr>
        <w:t>oil and erratic items. On monthly goods data, the non-EU trade balance had been deteriorating.  Trade with the European Union had remained relatively robust. The O</w:t>
      </w:r>
      <w:r>
        <w:rPr>
          <w:color w:val="231F20"/>
          <w:sz w:val="14"/>
        </w:rPr>
        <w:t>ECD </w:t>
      </w:r>
      <w:r>
        <w:rPr>
          <w:color w:val="231F20"/>
          <w:sz w:val="18"/>
        </w:rPr>
        <w:t>and IMF had both forecast a cyclical recovery in domestic demand in the three major European economies during 1998, though the negative effect of sterling’s appreciation on the UK trade balance with the European Union was yet to come through.</w:t>
      </w:r>
    </w:p>
    <w:p>
      <w:pPr>
        <w:pStyle w:val="BodyText"/>
        <w:spacing w:before="4"/>
      </w:pPr>
    </w:p>
    <w:p>
      <w:pPr>
        <w:pStyle w:val="ListParagraph"/>
        <w:numPr>
          <w:ilvl w:val="0"/>
          <w:numId w:val="40"/>
        </w:numPr>
        <w:tabs>
          <w:tab w:pos="599" w:val="left" w:leader="none"/>
          <w:tab w:pos="601" w:val="left" w:leader="none"/>
        </w:tabs>
        <w:spacing w:line="232" w:lineRule="auto" w:before="0" w:after="0"/>
        <w:ind w:left="119" w:right="38" w:firstLine="0"/>
        <w:jc w:val="left"/>
        <w:rPr>
          <w:sz w:val="18"/>
        </w:rPr>
      </w:pPr>
      <w:r>
        <w:rPr>
          <w:color w:val="231F20"/>
          <w:sz w:val="18"/>
        </w:rPr>
        <w:t>The O</w:t>
      </w:r>
      <w:r>
        <w:rPr>
          <w:color w:val="231F20"/>
          <w:sz w:val="14"/>
        </w:rPr>
        <w:t>ECD </w:t>
      </w:r>
      <w:r>
        <w:rPr>
          <w:color w:val="231F20"/>
          <w:sz w:val="18"/>
        </w:rPr>
        <w:t>and IMF had both estimated that the UK output gap was around zero in 1997. Both organisations had also forecast lower growth for the United Kingdom in 1998 than the central projection in the November </w:t>
      </w:r>
      <w:r>
        <w:rPr>
          <w:i/>
          <w:color w:val="231F20"/>
          <w:sz w:val="18"/>
        </w:rPr>
        <w:t>Inflation Report</w:t>
      </w:r>
      <w:r>
        <w:rPr>
          <w:color w:val="231F20"/>
          <w:sz w:val="18"/>
        </w:rPr>
        <w:t>. Industrial production and manufacturing output growth had slowed recently, though their annual rates of growth had remained close to their historical averages. The latest monthly surveys from the Chartered Institute of Purchasing and Supply (C</w:t>
      </w:r>
      <w:r>
        <w:rPr>
          <w:color w:val="231F20"/>
          <w:sz w:val="14"/>
        </w:rPr>
        <w:t>IPS</w:t>
      </w:r>
      <w:r>
        <w:rPr>
          <w:color w:val="231F20"/>
          <w:sz w:val="18"/>
        </w:rPr>
        <w:t>) had indicated that manufacturing and services output growth continued to rise. Growth in new manufacturing orders had slowed down in December but in </w:t>
      </w:r>
      <w:r>
        <w:rPr>
          <w:color w:val="231F20"/>
          <w:spacing w:val="-3"/>
          <w:sz w:val="18"/>
        </w:rPr>
        <w:t>services </w:t>
      </w:r>
      <w:r>
        <w:rPr>
          <w:color w:val="231F20"/>
          <w:sz w:val="18"/>
        </w:rPr>
        <w:t>the rate of incoming new business had increased. The Confederation of British Industry (CBI) Monthly Trends Survey had suggested that manufacturers’ optimism about future output and prices remained weak.</w:t>
      </w:r>
    </w:p>
    <w:p>
      <w:pPr>
        <w:pStyle w:val="BodyText"/>
        <w:spacing w:before="2"/>
      </w:pPr>
    </w:p>
    <w:p>
      <w:pPr>
        <w:pStyle w:val="ListParagraph"/>
        <w:numPr>
          <w:ilvl w:val="0"/>
          <w:numId w:val="40"/>
        </w:numPr>
        <w:tabs>
          <w:tab w:pos="599" w:val="left" w:leader="none"/>
          <w:tab w:pos="601" w:val="left" w:leader="none"/>
        </w:tabs>
        <w:spacing w:line="232" w:lineRule="auto" w:before="0" w:after="0"/>
        <w:ind w:left="119" w:right="151" w:firstLine="0"/>
        <w:jc w:val="left"/>
        <w:rPr>
          <w:sz w:val="18"/>
        </w:rPr>
      </w:pPr>
      <w:r>
        <w:rPr>
          <w:color w:val="231F20"/>
          <w:sz w:val="18"/>
        </w:rPr>
        <w:t>The O</w:t>
      </w:r>
      <w:r>
        <w:rPr>
          <w:color w:val="231F20"/>
          <w:sz w:val="14"/>
        </w:rPr>
        <w:t>ECD </w:t>
      </w:r>
      <w:r>
        <w:rPr>
          <w:color w:val="231F20"/>
          <w:sz w:val="18"/>
        </w:rPr>
        <w:t>and IMF had both estimated, as a ‘central case’, that events in Asia would lead to a reduction in EU and North American countries’ growth rates of around </w:t>
      </w:r>
      <w:r>
        <w:rPr>
          <w:color w:val="231F20"/>
          <w:position w:val="6"/>
          <w:sz w:val="9"/>
        </w:rPr>
        <w:t>1</w:t>
      </w:r>
      <w:r>
        <w:rPr>
          <w:color w:val="231F20"/>
          <w:sz w:val="18"/>
        </w:rPr>
        <w:t>/</w:t>
      </w:r>
      <w:r>
        <w:rPr>
          <w:color w:val="231F20"/>
          <w:sz w:val="9"/>
        </w:rPr>
        <w:t>4</w:t>
      </w:r>
      <w:r>
        <w:rPr>
          <w:color w:val="231F20"/>
          <w:sz w:val="18"/>
        </w:rPr>
        <w:t>–</w:t>
      </w:r>
      <w:r>
        <w:rPr>
          <w:color w:val="231F20"/>
          <w:position w:val="6"/>
          <w:sz w:val="9"/>
        </w:rPr>
        <w:t>1</w:t>
      </w:r>
      <w:r>
        <w:rPr>
          <w:color w:val="231F20"/>
          <w:sz w:val="18"/>
        </w:rPr>
        <w:t>/</w:t>
      </w:r>
      <w:r>
        <w:rPr>
          <w:color w:val="231F20"/>
          <w:sz w:val="9"/>
        </w:rPr>
        <w:t>2  </w:t>
      </w:r>
      <w:r>
        <w:rPr>
          <w:color w:val="231F20"/>
          <w:sz w:val="18"/>
        </w:rPr>
        <w:t>percentage point in 1998, with a rebound in growth in 1999. But the IMF </w:t>
      </w:r>
      <w:r>
        <w:rPr>
          <w:color w:val="231F20"/>
          <w:spacing w:val="-6"/>
          <w:sz w:val="18"/>
        </w:rPr>
        <w:t>had </w:t>
      </w:r>
      <w:r>
        <w:rPr>
          <w:color w:val="231F20"/>
          <w:sz w:val="18"/>
        </w:rPr>
        <w:t>noted that there were downside risks to their estimate, and the</w:t>
      </w:r>
    </w:p>
    <w:p>
      <w:pPr>
        <w:pStyle w:val="BodyText"/>
        <w:spacing w:line="232" w:lineRule="auto"/>
        <w:ind w:left="120" w:right="60"/>
      </w:pPr>
      <w:r>
        <w:rPr>
          <w:color w:val="231F20"/>
        </w:rPr>
        <w:t>situation in Asia had deteriorated further since these estimates were published.</w:t>
      </w:r>
    </w:p>
    <w:p>
      <w:pPr>
        <w:pStyle w:val="BodyText"/>
        <w:spacing w:before="11"/>
        <w:rPr>
          <w:sz w:val="21"/>
        </w:rPr>
      </w:pPr>
    </w:p>
    <w:p>
      <w:pPr>
        <w:pStyle w:val="Heading7"/>
        <w:numPr>
          <w:ilvl w:val="0"/>
          <w:numId w:val="41"/>
        </w:numPr>
        <w:tabs>
          <w:tab w:pos="600" w:val="left" w:leader="none"/>
          <w:tab w:pos="601" w:val="left" w:leader="none"/>
        </w:tabs>
        <w:spacing w:line="240" w:lineRule="auto" w:before="0" w:after="0"/>
        <w:ind w:left="600" w:right="0" w:hanging="481"/>
        <w:jc w:val="left"/>
      </w:pPr>
      <w:r>
        <w:rPr>
          <w:color w:val="009483"/>
        </w:rPr>
        <w:t>Labour</w:t>
      </w:r>
      <w:r>
        <w:rPr>
          <w:color w:val="009483"/>
          <w:spacing w:val="-1"/>
        </w:rPr>
        <w:t> </w:t>
      </w:r>
      <w:r>
        <w:rPr>
          <w:color w:val="009483"/>
        </w:rPr>
        <w:t>market</w:t>
      </w:r>
    </w:p>
    <w:p>
      <w:pPr>
        <w:pStyle w:val="BodyText"/>
        <w:spacing w:line="232" w:lineRule="auto" w:before="190"/>
        <w:ind w:left="120" w:right="220"/>
      </w:pPr>
      <w:r>
        <w:rPr>
          <w:color w:val="231F20"/>
        </w:rPr>
        <w:t>There had been a significant increase of 73,000 (0.3%) in the workforce in employment numbers during 1997 Q3, according to ONS data published in December. The increase was more than accounted for by employees in employment; the numbers of</w:t>
      </w:r>
    </w:p>
    <w:p>
      <w:pPr>
        <w:pStyle w:val="BodyText"/>
        <w:spacing w:line="232" w:lineRule="auto" w:before="98"/>
        <w:ind w:left="119" w:right="152"/>
      </w:pPr>
      <w:r>
        <w:rPr/>
        <w:br w:type="column"/>
      </w:r>
      <w:r>
        <w:rPr>
          <w:color w:val="231F20"/>
        </w:rPr>
        <w:t>self-employed fell by 15,000. The largest rise was in the service sector where the number of employees increased by 69,000. The number of manufacturing employees fell by 20,000 in Q3, although monthly data indicated that the number may have risen by 5,000 in October. There had been a further significant rise in the number of employees in ‘other’ industries of 34,000 after a 47,000 rise in the second quarter. This had largely been in construction, where there had been a switch out of self-employment into employee status, without any net increase in employment. This reflected revised Inland Revenue guidance on the treatment of sub-contractors, which had reduced the attractiveness of self-employment.</w:t>
      </w:r>
    </w:p>
    <w:p>
      <w:pPr>
        <w:pStyle w:val="BodyText"/>
        <w:spacing w:before="7"/>
        <w:rPr>
          <w:sz w:val="16"/>
        </w:rPr>
      </w:pPr>
    </w:p>
    <w:p>
      <w:pPr>
        <w:pStyle w:val="ListParagraph"/>
        <w:numPr>
          <w:ilvl w:val="0"/>
          <w:numId w:val="42"/>
        </w:numPr>
        <w:tabs>
          <w:tab w:pos="599" w:val="left" w:leader="none"/>
          <w:tab w:pos="601" w:val="left" w:leader="none"/>
        </w:tabs>
        <w:spacing w:line="232" w:lineRule="auto" w:before="0" w:after="0"/>
        <w:ind w:left="119" w:right="118" w:firstLine="0"/>
        <w:jc w:val="left"/>
        <w:rPr>
          <w:sz w:val="18"/>
        </w:rPr>
      </w:pPr>
      <w:r>
        <w:rPr>
          <w:color w:val="231F20"/>
          <w:sz w:val="18"/>
        </w:rPr>
        <w:t>The Manpower survey of recruitment intentions into 1998 had been published towards the end of December. It was highly seasonal and so had to be adjusted before interpretation. Subject to that, it suggested that recruitment intentions, although down </w:t>
      </w:r>
      <w:r>
        <w:rPr>
          <w:color w:val="231F20"/>
          <w:spacing w:val="-3"/>
          <w:sz w:val="18"/>
        </w:rPr>
        <w:t>slightly </w:t>
      </w:r>
      <w:r>
        <w:rPr>
          <w:color w:val="231F20"/>
          <w:sz w:val="18"/>
        </w:rPr>
        <w:t>on the quarter, remained strong; with manufacturing stronger than services. On this last point it contrasted with reports from the Bank’s Agents and other surveys, which suggested a stronger employment outlook in services than manufacturing.</w:t>
      </w:r>
    </w:p>
    <w:p>
      <w:pPr>
        <w:pStyle w:val="BodyText"/>
        <w:spacing w:before="10"/>
        <w:rPr>
          <w:sz w:val="16"/>
        </w:rPr>
      </w:pPr>
    </w:p>
    <w:p>
      <w:pPr>
        <w:pStyle w:val="ListParagraph"/>
        <w:numPr>
          <w:ilvl w:val="0"/>
          <w:numId w:val="42"/>
        </w:numPr>
        <w:tabs>
          <w:tab w:pos="599" w:val="left" w:leader="none"/>
          <w:tab w:pos="601" w:val="left" w:leader="none"/>
        </w:tabs>
        <w:spacing w:line="232" w:lineRule="auto" w:before="0" w:after="0"/>
        <w:ind w:left="119" w:right="119" w:firstLine="0"/>
        <w:jc w:val="left"/>
        <w:rPr>
          <w:sz w:val="18"/>
        </w:rPr>
      </w:pPr>
      <w:r>
        <w:rPr>
          <w:color w:val="231F20"/>
          <w:sz w:val="18"/>
        </w:rPr>
        <w:t>The unemployment claimant count fell by 21,000 in November. Although the pace of reduction in recent months was slower than in the summer, the underlying fall remained in line </w:t>
      </w:r>
      <w:r>
        <w:rPr>
          <w:color w:val="231F20"/>
          <w:spacing w:val="-5"/>
          <w:sz w:val="18"/>
        </w:rPr>
        <w:t>with </w:t>
      </w:r>
      <w:r>
        <w:rPr>
          <w:color w:val="231F20"/>
          <w:sz w:val="18"/>
        </w:rPr>
        <w:t>the Bank staff’s benchmark of a decline of some 25,000–30,000 a month.</w:t>
      </w:r>
    </w:p>
    <w:p>
      <w:pPr>
        <w:pStyle w:val="BodyText"/>
        <w:rPr>
          <w:sz w:val="17"/>
        </w:rPr>
      </w:pPr>
    </w:p>
    <w:p>
      <w:pPr>
        <w:pStyle w:val="ListParagraph"/>
        <w:numPr>
          <w:ilvl w:val="0"/>
          <w:numId w:val="42"/>
        </w:numPr>
        <w:tabs>
          <w:tab w:pos="599" w:val="left" w:leader="none"/>
          <w:tab w:pos="601" w:val="left" w:leader="none"/>
        </w:tabs>
        <w:spacing w:line="232" w:lineRule="auto" w:before="0" w:after="0"/>
        <w:ind w:left="119" w:right="129" w:firstLine="0"/>
        <w:jc w:val="left"/>
        <w:rPr>
          <w:sz w:val="18"/>
        </w:rPr>
      </w:pPr>
      <w:r>
        <w:rPr>
          <w:color w:val="231F20"/>
          <w:sz w:val="18"/>
        </w:rPr>
        <w:t>The number of reported vacancies fell by 21,000 in November, after several months of significant increases. But 20,000 of the fall was due to the removal by the Employment Service of an overstatement in the stock. The Employment Service estimated that there remained a residual overstatement in the stock of some 20,000. The gross number of new vacancies notified to </w:t>
      </w:r>
      <w:r>
        <w:rPr>
          <w:color w:val="231F20"/>
          <w:spacing w:val="-6"/>
          <w:sz w:val="18"/>
        </w:rPr>
        <w:t>job </w:t>
      </w:r>
      <w:r>
        <w:rPr>
          <w:color w:val="231F20"/>
          <w:sz w:val="18"/>
        </w:rPr>
        <w:t>centres, another measure of labour market demand, was little changed over the past six months.</w:t>
      </w:r>
    </w:p>
    <w:p>
      <w:pPr>
        <w:pStyle w:val="BodyText"/>
        <w:spacing w:before="10"/>
        <w:rPr>
          <w:sz w:val="16"/>
        </w:rPr>
      </w:pPr>
    </w:p>
    <w:p>
      <w:pPr>
        <w:pStyle w:val="ListParagraph"/>
        <w:numPr>
          <w:ilvl w:val="0"/>
          <w:numId w:val="42"/>
        </w:numPr>
        <w:tabs>
          <w:tab w:pos="599" w:val="left" w:leader="none"/>
          <w:tab w:pos="601" w:val="left" w:leader="none"/>
        </w:tabs>
        <w:spacing w:line="232" w:lineRule="auto" w:before="0" w:after="0"/>
        <w:ind w:left="119" w:right="169" w:firstLine="0"/>
        <w:jc w:val="left"/>
        <w:rPr>
          <w:sz w:val="18"/>
        </w:rPr>
      </w:pPr>
      <w:r>
        <w:rPr>
          <w:color w:val="231F20"/>
          <w:sz w:val="18"/>
        </w:rPr>
        <w:t>The dispersion of regional unemployment rates had fallen in the 1990s. Although the unemployment rate, on the claimant </w:t>
      </w:r>
      <w:r>
        <w:rPr>
          <w:color w:val="231F20"/>
          <w:spacing w:val="-4"/>
          <w:sz w:val="18"/>
        </w:rPr>
        <w:t>count </w:t>
      </w:r>
      <w:r>
        <w:rPr>
          <w:color w:val="231F20"/>
          <w:sz w:val="18"/>
        </w:rPr>
        <w:t>basis, was now below the previous trough in 1990, the rates in the regions with the tightest labour markets remained above their previous lows. Had this lower dispersion affected aggregate wage inflation? There were two cases where it might. One was where national pay rates were determined in a leading region and where that region’s unemployment rate had changed relative to the national average. The second was where the regional relationships between unemployment and wage pressure were non-linear, so that wage pressure in each region increased more than proportionately as regional unemployment fell. In this latter case the fall in dispersion would lead to lower wage pressure for a given level of national unemployment.</w:t>
      </w:r>
    </w:p>
    <w:p>
      <w:pPr>
        <w:pStyle w:val="BodyText"/>
        <w:spacing w:before="5"/>
        <w:rPr>
          <w:sz w:val="16"/>
        </w:rPr>
      </w:pPr>
    </w:p>
    <w:p>
      <w:pPr>
        <w:pStyle w:val="ListParagraph"/>
        <w:numPr>
          <w:ilvl w:val="0"/>
          <w:numId w:val="42"/>
        </w:numPr>
        <w:tabs>
          <w:tab w:pos="599" w:val="left" w:leader="none"/>
          <w:tab w:pos="601" w:val="left" w:leader="none"/>
        </w:tabs>
        <w:spacing w:line="232" w:lineRule="auto" w:before="0" w:after="0"/>
        <w:ind w:left="119" w:right="250" w:firstLine="0"/>
        <w:jc w:val="left"/>
        <w:rPr>
          <w:sz w:val="18"/>
        </w:rPr>
      </w:pPr>
      <w:r>
        <w:rPr>
          <w:color w:val="231F20"/>
          <w:sz w:val="18"/>
        </w:rPr>
        <w:t>There appeared to be little empirical support for a ‘leading region’ hypothesis in the United Kingdom. There was some evidence supporting non-linear regional relationships between wages and unemployment, implying that regional dispersion mattered for aggregate wage inflation. But academic research </w:t>
      </w:r>
      <w:r>
        <w:rPr>
          <w:color w:val="231F20"/>
          <w:spacing w:val="-6"/>
          <w:sz w:val="18"/>
        </w:rPr>
        <w:t>had </w:t>
      </w:r>
      <w:r>
        <w:rPr>
          <w:color w:val="231F20"/>
          <w:sz w:val="18"/>
        </w:rPr>
        <w:t>not found a significant role for regional dispersion in aggregate wage equations.</w:t>
      </w:r>
    </w:p>
    <w:p>
      <w:pPr>
        <w:pStyle w:val="BodyText"/>
        <w:spacing w:before="11"/>
        <w:rPr>
          <w:sz w:val="16"/>
        </w:rPr>
      </w:pPr>
    </w:p>
    <w:p>
      <w:pPr>
        <w:pStyle w:val="ListParagraph"/>
        <w:numPr>
          <w:ilvl w:val="0"/>
          <w:numId w:val="42"/>
        </w:numPr>
        <w:tabs>
          <w:tab w:pos="599" w:val="left" w:leader="none"/>
          <w:tab w:pos="601" w:val="left" w:leader="none"/>
        </w:tabs>
        <w:spacing w:line="232" w:lineRule="auto" w:before="0" w:after="0"/>
        <w:ind w:left="119" w:right="134" w:firstLine="0"/>
        <w:jc w:val="left"/>
        <w:rPr>
          <w:sz w:val="18"/>
        </w:rPr>
      </w:pPr>
      <w:r>
        <w:rPr>
          <w:color w:val="231F20"/>
          <w:sz w:val="18"/>
        </w:rPr>
        <w:t>Whole-economy underlying earnings growth, according to the ONS, remained at 43% in October: 42% in services and 43% </w:t>
      </w:r>
      <w:r>
        <w:rPr>
          <w:color w:val="231F20"/>
          <w:spacing w:val="-6"/>
          <w:sz w:val="18"/>
        </w:rPr>
        <w:t>in </w:t>
      </w:r>
      <w:r>
        <w:rPr>
          <w:color w:val="231F20"/>
          <w:sz w:val="18"/>
        </w:rPr>
        <w:t>manufacturing. But the bonus season was about to begin in </w:t>
      </w:r>
      <w:r>
        <w:rPr>
          <w:color w:val="231F20"/>
          <w:spacing w:val="-3"/>
          <w:sz w:val="18"/>
        </w:rPr>
        <w:t>earnest, </w:t>
      </w:r>
      <w:r>
        <w:rPr>
          <w:color w:val="231F20"/>
          <w:sz w:val="18"/>
        </w:rPr>
        <w:t>and this could change the picture.  Press coverage of a recent survey by a City recruitment firm had suggested that City bonuses could be 20%–30% higher this year than in the previous one. Calculations by Bank staff suggested that a 30% increase in City bonuses could add a quarter percentage point to whole-economy earnings growth on average between November 1997 and April 1998.</w:t>
      </w:r>
    </w:p>
    <w:p>
      <w:pPr>
        <w:pStyle w:val="BodyText"/>
        <w:spacing w:before="8"/>
        <w:rPr>
          <w:sz w:val="16"/>
        </w:rPr>
      </w:pPr>
    </w:p>
    <w:p>
      <w:pPr>
        <w:pStyle w:val="ListParagraph"/>
        <w:numPr>
          <w:ilvl w:val="0"/>
          <w:numId w:val="42"/>
        </w:numPr>
        <w:tabs>
          <w:tab w:pos="599" w:val="left" w:leader="none"/>
          <w:tab w:pos="601" w:val="left" w:leader="none"/>
        </w:tabs>
        <w:spacing w:line="232" w:lineRule="auto" w:before="0" w:after="0"/>
        <w:ind w:left="119" w:right="284" w:firstLine="0"/>
        <w:jc w:val="left"/>
        <w:rPr>
          <w:sz w:val="18"/>
        </w:rPr>
      </w:pPr>
      <w:r>
        <w:rPr>
          <w:color w:val="231F20"/>
          <w:sz w:val="18"/>
        </w:rPr>
        <w:t>There had been some high profile wage settlements in Q4: Fire Service, 4.8%; Rover, 4.5%; and Ford 4.5%. Moreover, </w:t>
      </w:r>
      <w:r>
        <w:rPr>
          <w:color w:val="231F20"/>
          <w:spacing w:val="-6"/>
          <w:sz w:val="18"/>
        </w:rPr>
        <w:t>the</w:t>
      </w:r>
    </w:p>
    <w:p>
      <w:pPr>
        <w:spacing w:after="0" w:line="232" w:lineRule="auto"/>
        <w:jc w:val="left"/>
        <w:rPr>
          <w:sz w:val="18"/>
        </w:rPr>
        <w:sectPr>
          <w:type w:val="continuous"/>
          <w:pgSz w:w="11880" w:h="16840"/>
          <w:pgMar w:top="1200" w:bottom="280" w:left="680" w:right="660"/>
          <w:cols w:num="2" w:equalWidth="0">
            <w:col w:w="5064" w:space="326"/>
            <w:col w:w="5150"/>
          </w:cols>
        </w:sectPr>
      </w:pPr>
    </w:p>
    <w:p>
      <w:pPr>
        <w:pStyle w:val="BodyText"/>
        <w:spacing w:before="7"/>
        <w:rPr>
          <w:sz w:val="27"/>
        </w:rPr>
      </w:pPr>
    </w:p>
    <w:p>
      <w:pPr>
        <w:spacing w:after="0"/>
        <w:rPr>
          <w:sz w:val="27"/>
        </w:rPr>
        <w:sectPr>
          <w:pgSz w:w="11880" w:h="16840"/>
          <w:pgMar w:header="566" w:footer="597" w:top="800" w:bottom="780" w:left="680" w:right="660"/>
        </w:sectPr>
      </w:pPr>
    </w:p>
    <w:p>
      <w:pPr>
        <w:pStyle w:val="BodyText"/>
        <w:spacing w:line="232" w:lineRule="auto" w:before="105"/>
        <w:ind w:left="100" w:right="70"/>
      </w:pPr>
      <w:r>
        <w:rPr>
          <w:color w:val="231F20"/>
        </w:rPr>
        <w:t>level of settlements had risen in Q4. But there were relatively few settlements at that time of year, and settlements had risen in Q4 in the previous two years. More information would be available </w:t>
      </w:r>
      <w:r>
        <w:rPr>
          <w:color w:val="231F20"/>
          <w:spacing w:val="-5"/>
        </w:rPr>
        <w:t>when </w:t>
      </w:r>
      <w:r>
        <w:rPr>
          <w:color w:val="231F20"/>
        </w:rPr>
        <w:t>January settlements, which accounted for a quarter of settlements on the Bank database and around 10% of the workforce, were agreed.</w:t>
      </w:r>
    </w:p>
    <w:p>
      <w:pPr>
        <w:pStyle w:val="BodyText"/>
        <w:rPr>
          <w:sz w:val="17"/>
        </w:rPr>
      </w:pPr>
    </w:p>
    <w:p>
      <w:pPr>
        <w:pStyle w:val="ListParagraph"/>
        <w:numPr>
          <w:ilvl w:val="0"/>
          <w:numId w:val="42"/>
        </w:numPr>
        <w:tabs>
          <w:tab w:pos="579" w:val="left" w:leader="none"/>
          <w:tab w:pos="581" w:val="left" w:leader="none"/>
        </w:tabs>
        <w:spacing w:line="232" w:lineRule="auto" w:before="0" w:after="0"/>
        <w:ind w:left="100" w:right="57" w:firstLine="0"/>
        <w:jc w:val="left"/>
        <w:rPr>
          <w:sz w:val="18"/>
        </w:rPr>
      </w:pPr>
      <w:r>
        <w:rPr>
          <w:color w:val="231F20"/>
          <w:sz w:val="18"/>
        </w:rPr>
        <w:t>The Bank’s Agents reported the results of an informal </w:t>
      </w:r>
      <w:r>
        <w:rPr>
          <w:color w:val="231F20"/>
          <w:spacing w:val="-3"/>
          <w:sz w:val="18"/>
        </w:rPr>
        <w:t>survey </w:t>
      </w:r>
      <w:r>
        <w:rPr>
          <w:color w:val="231F20"/>
          <w:sz w:val="18"/>
        </w:rPr>
        <w:t>of their contacts, which had asked about pay prospects in 1998. 49% of the sample, which was weighted towards manufacturing, expected to grant a higher basic pay increase in 1998 compared with 1997; only 9% expected a lower settlement. The estimated mean expected settlement was 3.8%. The main reason cited for increasing settlements had been fear of losing staff.  Certain types of staff were singled out as requiring higher increases than others: information technology specialists, engineers, construction workers and hotel and catering staff. There was little evidence that other forms of remuneration were increasing by more than basic pay.</w:t>
      </w:r>
    </w:p>
    <w:p>
      <w:pPr>
        <w:pStyle w:val="BodyText"/>
        <w:spacing w:line="232" w:lineRule="auto"/>
        <w:ind w:left="100"/>
      </w:pPr>
      <w:r>
        <w:rPr>
          <w:color w:val="231F20"/>
        </w:rPr>
        <w:t>The modal expected increase in the pay bill per worker was in the 3%–4% range. It had been too early to see any effect of the phasing out of profit related pay tax allowances, as the reduction in relief applied to profit periods beginning on 1 January 1998.</w:t>
      </w:r>
    </w:p>
    <w:p>
      <w:pPr>
        <w:pStyle w:val="BodyText"/>
        <w:spacing w:before="1"/>
        <w:rPr>
          <w:sz w:val="23"/>
        </w:rPr>
      </w:pPr>
    </w:p>
    <w:p>
      <w:pPr>
        <w:pStyle w:val="Heading7"/>
        <w:numPr>
          <w:ilvl w:val="0"/>
          <w:numId w:val="41"/>
        </w:numPr>
        <w:tabs>
          <w:tab w:pos="580" w:val="left" w:leader="none"/>
          <w:tab w:pos="581" w:val="left" w:leader="none"/>
        </w:tabs>
        <w:spacing w:line="240" w:lineRule="auto" w:before="0" w:after="0"/>
        <w:ind w:left="580" w:right="0" w:hanging="481"/>
        <w:jc w:val="left"/>
      </w:pPr>
      <w:r>
        <w:rPr>
          <w:color w:val="009483"/>
        </w:rPr>
        <w:t>Prices</w:t>
      </w:r>
    </w:p>
    <w:p>
      <w:pPr>
        <w:pStyle w:val="ListParagraph"/>
        <w:numPr>
          <w:ilvl w:val="0"/>
          <w:numId w:val="42"/>
        </w:numPr>
        <w:tabs>
          <w:tab w:pos="579" w:val="left" w:leader="none"/>
          <w:tab w:pos="581" w:val="left" w:leader="none"/>
        </w:tabs>
        <w:spacing w:line="232" w:lineRule="auto" w:before="190" w:after="0"/>
        <w:ind w:left="100" w:right="43" w:firstLine="0"/>
        <w:jc w:val="left"/>
        <w:rPr>
          <w:sz w:val="18"/>
        </w:rPr>
      </w:pPr>
      <w:r>
        <w:rPr>
          <w:color w:val="231F20"/>
          <w:sz w:val="18"/>
        </w:rPr>
        <w:t>There had been no signs of any upward price pressures from commodities. Provisional estimates suggested that non-oil commodity prices fell for the fifth consecutive month in November. Oil prices had fallen in December; the price level had been </w:t>
      </w:r>
      <w:r>
        <w:rPr>
          <w:color w:val="231F20"/>
          <w:spacing w:val="-3"/>
          <w:sz w:val="18"/>
        </w:rPr>
        <w:t>affected </w:t>
      </w:r>
      <w:r>
        <w:rPr>
          <w:color w:val="231F20"/>
          <w:sz w:val="18"/>
        </w:rPr>
        <w:t>recently by news of the possible resumption of Iraqi oil exports.</w:t>
      </w:r>
    </w:p>
    <w:p>
      <w:pPr>
        <w:pStyle w:val="BodyText"/>
        <w:rPr>
          <w:sz w:val="17"/>
        </w:rPr>
      </w:pPr>
    </w:p>
    <w:p>
      <w:pPr>
        <w:pStyle w:val="ListParagraph"/>
        <w:numPr>
          <w:ilvl w:val="0"/>
          <w:numId w:val="42"/>
        </w:numPr>
        <w:tabs>
          <w:tab w:pos="579" w:val="left" w:leader="none"/>
          <w:tab w:pos="581" w:val="left" w:leader="none"/>
        </w:tabs>
        <w:spacing w:line="232" w:lineRule="auto" w:before="0" w:after="0"/>
        <w:ind w:left="100" w:right="38" w:firstLine="0"/>
        <w:jc w:val="left"/>
        <w:rPr>
          <w:sz w:val="18"/>
        </w:rPr>
      </w:pPr>
      <w:r>
        <w:rPr>
          <w:color w:val="231F20"/>
          <w:sz w:val="18"/>
        </w:rPr>
        <w:t>Manufacturers’ input prices had fallen sharply in November to a level 8.3% lower than a year earlier. Imported input prices had fallen by much less than the change in the value of sterling since </w:t>
      </w:r>
      <w:r>
        <w:rPr>
          <w:color w:val="231F20"/>
          <w:spacing w:val="-6"/>
          <w:sz w:val="18"/>
        </w:rPr>
        <w:t>the </w:t>
      </w:r>
      <w:r>
        <w:rPr>
          <w:color w:val="231F20"/>
          <w:sz w:val="18"/>
        </w:rPr>
        <w:t>start of 1996 would have implied. That could have reflected the predominance of dollar-priced commodities, since sterling has appreciated less against the dollar than other currencies over the past two years. Output price inflation had remained very low in November. Survey evidence suggested a continued subdued outlook for output prices in the short term: the balance of manufacturing firms expecting to increase prices over the next four months in the December CBI survey had been -1. This was unusually low for the time for the time of the year.</w:t>
      </w:r>
    </w:p>
    <w:p>
      <w:pPr>
        <w:pStyle w:val="BodyText"/>
        <w:spacing w:before="7"/>
        <w:rPr>
          <w:sz w:val="16"/>
        </w:rPr>
      </w:pPr>
    </w:p>
    <w:p>
      <w:pPr>
        <w:pStyle w:val="ListParagraph"/>
        <w:numPr>
          <w:ilvl w:val="0"/>
          <w:numId w:val="42"/>
        </w:numPr>
        <w:tabs>
          <w:tab w:pos="579" w:val="left" w:leader="none"/>
          <w:tab w:pos="581" w:val="left" w:leader="none"/>
        </w:tabs>
        <w:spacing w:line="232" w:lineRule="auto" w:before="0" w:after="0"/>
        <w:ind w:left="100" w:right="147" w:firstLine="0"/>
        <w:jc w:val="left"/>
        <w:rPr>
          <w:sz w:val="18"/>
        </w:rPr>
      </w:pPr>
      <w:r>
        <w:rPr>
          <w:color w:val="231F20"/>
          <w:sz w:val="18"/>
        </w:rPr>
        <w:t>Latest calculations showed that manufacturers’ weighted costs continued to fall in November. So despite low output price inflation margins on domestic sales appeared to be still rising. In contrast, margins on export sales were estimated to be falling sharply: export prices fell by 5% in the twelve months to</w:t>
      </w:r>
      <w:r>
        <w:rPr>
          <w:color w:val="231F20"/>
          <w:spacing w:val="6"/>
          <w:sz w:val="18"/>
        </w:rPr>
        <w:t> </w:t>
      </w:r>
      <w:r>
        <w:rPr>
          <w:color w:val="231F20"/>
          <w:spacing w:val="-3"/>
          <w:sz w:val="18"/>
        </w:rPr>
        <w:t>October.</w:t>
      </w:r>
    </w:p>
    <w:p>
      <w:pPr>
        <w:pStyle w:val="BodyText"/>
        <w:spacing w:before="1"/>
        <w:rPr>
          <w:sz w:val="17"/>
        </w:rPr>
      </w:pPr>
    </w:p>
    <w:p>
      <w:pPr>
        <w:pStyle w:val="ListParagraph"/>
        <w:numPr>
          <w:ilvl w:val="0"/>
          <w:numId w:val="42"/>
        </w:numPr>
        <w:tabs>
          <w:tab w:pos="579" w:val="left" w:leader="none"/>
          <w:tab w:pos="581" w:val="left" w:leader="none"/>
        </w:tabs>
        <w:spacing w:line="232" w:lineRule="auto" w:before="0" w:after="0"/>
        <w:ind w:left="100" w:right="157" w:firstLine="0"/>
        <w:jc w:val="left"/>
        <w:rPr>
          <w:sz w:val="18"/>
        </w:rPr>
      </w:pPr>
      <w:r>
        <w:rPr>
          <w:color w:val="231F20"/>
          <w:sz w:val="18"/>
        </w:rPr>
        <w:t>Although UK producer price inflation was lower than in </w:t>
      </w:r>
      <w:r>
        <w:rPr>
          <w:color w:val="231F20"/>
          <w:spacing w:val="-6"/>
          <w:sz w:val="18"/>
        </w:rPr>
        <w:t>the </w:t>
      </w:r>
      <w:r>
        <w:rPr>
          <w:color w:val="231F20"/>
          <w:sz w:val="18"/>
        </w:rPr>
        <w:t>rest of the G7 economies except the United States, UK consumer price inflation was nevertheless the highest in the G7.</w:t>
      </w:r>
    </w:p>
    <w:p>
      <w:pPr>
        <w:pStyle w:val="BodyText"/>
        <w:spacing w:before="10"/>
      </w:pPr>
    </w:p>
    <w:p>
      <w:pPr>
        <w:pStyle w:val="ListParagraph"/>
        <w:numPr>
          <w:ilvl w:val="0"/>
          <w:numId w:val="42"/>
        </w:numPr>
        <w:tabs>
          <w:tab w:pos="579" w:val="left" w:leader="none"/>
          <w:tab w:pos="581" w:val="left" w:leader="none"/>
        </w:tabs>
        <w:spacing w:line="232" w:lineRule="auto" w:before="1" w:after="0"/>
        <w:ind w:left="100" w:right="48" w:firstLine="0"/>
        <w:jc w:val="left"/>
        <w:rPr>
          <w:sz w:val="18"/>
        </w:rPr>
      </w:pPr>
      <w:r>
        <w:rPr>
          <w:color w:val="231F20"/>
          <w:sz w:val="18"/>
        </w:rPr>
        <w:t>RPIX inflation had been 2.8% in November. Outturns since the start of 1997 had generally been higher than the near-term central projections published in successive </w:t>
      </w:r>
      <w:r>
        <w:rPr>
          <w:i/>
          <w:color w:val="231F20"/>
          <w:sz w:val="18"/>
        </w:rPr>
        <w:t>Inflation Reports</w:t>
      </w:r>
      <w:r>
        <w:rPr>
          <w:color w:val="231F20"/>
          <w:sz w:val="18"/>
        </w:rPr>
        <w:t>. That partly reflected the changed timing of Budget measures. But the higher outturns also reflected unexpectedly weak pass-through </w:t>
      </w:r>
      <w:r>
        <w:rPr>
          <w:color w:val="231F20"/>
          <w:spacing w:val="-5"/>
          <w:sz w:val="18"/>
        </w:rPr>
        <w:t>from </w:t>
      </w:r>
      <w:r>
        <w:rPr>
          <w:color w:val="231F20"/>
          <w:sz w:val="18"/>
        </w:rPr>
        <w:t>the appreciation of sterling since August 1996 to retail prices; for example, in the clothing and footwear sector, which was relatively import-intensive.</w:t>
      </w:r>
    </w:p>
    <w:p>
      <w:pPr>
        <w:pStyle w:val="BodyText"/>
        <w:spacing w:before="6"/>
      </w:pPr>
    </w:p>
    <w:p>
      <w:pPr>
        <w:pStyle w:val="ListParagraph"/>
        <w:numPr>
          <w:ilvl w:val="0"/>
          <w:numId w:val="42"/>
        </w:numPr>
        <w:tabs>
          <w:tab w:pos="579" w:val="left" w:leader="none"/>
          <w:tab w:pos="581" w:val="left" w:leader="none"/>
        </w:tabs>
        <w:spacing w:line="232" w:lineRule="auto" w:before="0" w:after="0"/>
        <w:ind w:left="100" w:right="83" w:firstLine="0"/>
        <w:jc w:val="left"/>
        <w:rPr>
          <w:sz w:val="18"/>
        </w:rPr>
      </w:pPr>
      <w:r>
        <w:rPr>
          <w:color w:val="231F20"/>
          <w:sz w:val="18"/>
        </w:rPr>
        <w:t>Monthly changes in retail prices, particularly retail goods prices, were highly seasonal. And for some components the seasonal pattern had been changing; for example, monthly </w:t>
      </w:r>
      <w:r>
        <w:rPr>
          <w:color w:val="231F20"/>
          <w:spacing w:val="-3"/>
          <w:sz w:val="18"/>
        </w:rPr>
        <w:t>changes </w:t>
      </w:r>
      <w:r>
        <w:rPr>
          <w:color w:val="231F20"/>
          <w:sz w:val="18"/>
        </w:rPr>
        <w:t>in consumer durables’ prices had become more volatile during the past ten years. So seasonal adjustment was difficult. It would therefore be difficult to disentangle the seasonal changes in the monthly retail price data at the start of 1998 from any possible delayed pass-through of sterling’s appreciation.</w:t>
      </w:r>
    </w:p>
    <w:p>
      <w:pPr>
        <w:pStyle w:val="Heading7"/>
        <w:numPr>
          <w:ilvl w:val="0"/>
          <w:numId w:val="41"/>
        </w:numPr>
        <w:tabs>
          <w:tab w:pos="579" w:val="left" w:leader="none"/>
          <w:tab w:pos="581" w:val="left" w:leader="none"/>
        </w:tabs>
        <w:spacing w:line="240" w:lineRule="auto" w:before="91" w:after="0"/>
        <w:ind w:left="580" w:right="0" w:hanging="481"/>
        <w:jc w:val="left"/>
      </w:pPr>
      <w:r>
        <w:rPr>
          <w:color w:val="009483"/>
        </w:rPr>
        <w:br w:type="column"/>
        <w:t>Financial</w:t>
      </w:r>
      <w:r>
        <w:rPr>
          <w:color w:val="009483"/>
          <w:spacing w:val="-1"/>
        </w:rPr>
        <w:t> </w:t>
      </w:r>
      <w:r>
        <w:rPr>
          <w:color w:val="009483"/>
        </w:rPr>
        <w:t>markets</w:t>
      </w:r>
    </w:p>
    <w:p>
      <w:pPr>
        <w:pStyle w:val="ListParagraph"/>
        <w:numPr>
          <w:ilvl w:val="0"/>
          <w:numId w:val="42"/>
        </w:numPr>
        <w:tabs>
          <w:tab w:pos="579" w:val="left" w:leader="none"/>
          <w:tab w:pos="581" w:val="left" w:leader="none"/>
        </w:tabs>
        <w:spacing w:line="232" w:lineRule="auto" w:before="149" w:after="0"/>
        <w:ind w:left="100" w:right="140" w:firstLine="0"/>
        <w:jc w:val="left"/>
        <w:rPr>
          <w:sz w:val="18"/>
        </w:rPr>
      </w:pPr>
      <w:r>
        <w:rPr>
          <w:color w:val="231F20"/>
          <w:sz w:val="18"/>
        </w:rPr>
        <w:t>Trading during December, as usual, had been thin. So care had to be taken in interpreting movements in financial market data during this month. Most major exchange rate movements had not been very large since the previous MPC meeting. The sterling effective exchange rate was 0.8% lower at the time of the January MPC meeting than at the time of the December meeting, having been 2</w:t>
      </w:r>
      <w:r>
        <w:rPr>
          <w:color w:val="231F20"/>
          <w:position w:val="6"/>
          <w:sz w:val="9"/>
        </w:rPr>
        <w:t>1</w:t>
      </w:r>
      <w:r>
        <w:rPr>
          <w:color w:val="231F20"/>
          <w:sz w:val="18"/>
        </w:rPr>
        <w:t>/</w:t>
      </w:r>
      <w:r>
        <w:rPr>
          <w:color w:val="231F20"/>
          <w:sz w:val="9"/>
        </w:rPr>
        <w:t>2</w:t>
      </w:r>
      <w:r>
        <w:rPr>
          <w:color w:val="231F20"/>
          <w:sz w:val="18"/>
        </w:rPr>
        <w:t>% lower by mid December. The dollar effective exchange rate had risen slightly during the month despite the F</w:t>
      </w:r>
      <w:r>
        <w:rPr>
          <w:color w:val="231F20"/>
          <w:sz w:val="14"/>
        </w:rPr>
        <w:t>OMC</w:t>
      </w:r>
      <w:r>
        <w:rPr>
          <w:color w:val="231F20"/>
          <w:sz w:val="18"/>
        </w:rPr>
        <w:t>’s </w:t>
      </w:r>
      <w:r>
        <w:rPr>
          <w:color w:val="231F20"/>
          <w:spacing w:val="-3"/>
          <w:sz w:val="18"/>
        </w:rPr>
        <w:t>decision </w:t>
      </w:r>
      <w:r>
        <w:rPr>
          <w:color w:val="231F20"/>
          <w:sz w:val="18"/>
        </w:rPr>
        <w:t>to leave interest rates unchanged at its mid December meeting.</w:t>
      </w:r>
    </w:p>
    <w:p>
      <w:pPr>
        <w:pStyle w:val="ListParagraph"/>
        <w:numPr>
          <w:ilvl w:val="0"/>
          <w:numId w:val="42"/>
        </w:numPr>
        <w:tabs>
          <w:tab w:pos="579" w:val="left" w:leader="none"/>
          <w:tab w:pos="581" w:val="left" w:leader="none"/>
        </w:tabs>
        <w:spacing w:line="232" w:lineRule="auto" w:before="173" w:after="0"/>
        <w:ind w:left="100" w:right="138" w:firstLine="0"/>
        <w:jc w:val="left"/>
        <w:rPr>
          <w:sz w:val="18"/>
        </w:rPr>
      </w:pPr>
      <w:r>
        <w:rPr>
          <w:color w:val="231F20"/>
          <w:sz w:val="18"/>
        </w:rPr>
        <w:t>Asian turmoil and concerns about financial fragility had affected exchange rates during December. The Japanese yen had been volatile and during the month had reached its lowest level against the dollar for over five years. The Korean won, too, had been volatile in December. Overall it had depreciated, falling from just under 1,200 won to the US dollar to around 1,745 on 7</w:t>
      </w:r>
      <w:r>
        <w:rPr>
          <w:color w:val="231F20"/>
          <w:spacing w:val="6"/>
          <w:sz w:val="18"/>
        </w:rPr>
        <w:t> </w:t>
      </w:r>
      <w:r>
        <w:rPr>
          <w:color w:val="231F20"/>
          <w:spacing w:val="-3"/>
          <w:sz w:val="18"/>
        </w:rPr>
        <w:t>January.</w:t>
      </w:r>
    </w:p>
    <w:p>
      <w:pPr>
        <w:pStyle w:val="BodyText"/>
        <w:rPr>
          <w:sz w:val="17"/>
        </w:rPr>
      </w:pPr>
    </w:p>
    <w:p>
      <w:pPr>
        <w:pStyle w:val="ListParagraph"/>
        <w:numPr>
          <w:ilvl w:val="0"/>
          <w:numId w:val="42"/>
        </w:numPr>
        <w:tabs>
          <w:tab w:pos="579" w:val="left" w:leader="none"/>
          <w:tab w:pos="581" w:val="left" w:leader="none"/>
        </w:tabs>
        <w:spacing w:line="232" w:lineRule="auto" w:before="0" w:after="0"/>
        <w:ind w:left="100" w:right="224" w:firstLine="0"/>
        <w:jc w:val="left"/>
        <w:rPr>
          <w:sz w:val="18"/>
        </w:rPr>
      </w:pPr>
      <w:r>
        <w:rPr>
          <w:color w:val="231F20"/>
          <w:sz w:val="18"/>
        </w:rPr>
        <w:t>Expectations of a further official interest rate rise in the UK during the next three months seemed to have diminished. </w:t>
      </w:r>
      <w:r>
        <w:rPr>
          <w:color w:val="231F20"/>
          <w:spacing w:val="-3"/>
          <w:sz w:val="18"/>
        </w:rPr>
        <w:t>Forward </w:t>
      </w:r>
      <w:r>
        <w:rPr>
          <w:color w:val="231F20"/>
          <w:sz w:val="18"/>
        </w:rPr>
        <w:t>interest rates derived from the gilt repo market were now flat at around 7</w:t>
      </w:r>
      <w:r>
        <w:rPr>
          <w:color w:val="231F20"/>
          <w:position w:val="6"/>
          <w:sz w:val="9"/>
        </w:rPr>
        <w:t>1</w:t>
      </w:r>
      <w:r>
        <w:rPr>
          <w:color w:val="231F20"/>
          <w:sz w:val="18"/>
        </w:rPr>
        <w:t>/</w:t>
      </w:r>
      <w:r>
        <w:rPr>
          <w:color w:val="231F20"/>
          <w:sz w:val="9"/>
        </w:rPr>
        <w:t>4</w:t>
      </w:r>
      <w:r>
        <w:rPr>
          <w:color w:val="231F20"/>
          <w:sz w:val="18"/>
        </w:rPr>
        <w:t>%, the current level of the Bank’s repo rate.</w:t>
      </w:r>
      <w:r>
        <w:rPr>
          <w:color w:val="231F20"/>
          <w:spacing w:val="44"/>
          <w:sz w:val="18"/>
        </w:rPr>
        <w:t> </w:t>
      </w:r>
      <w:r>
        <w:rPr>
          <w:color w:val="231F20"/>
          <w:sz w:val="18"/>
        </w:rPr>
        <w:t>Between</w:t>
      </w:r>
    </w:p>
    <w:p>
      <w:pPr>
        <w:pStyle w:val="BodyText"/>
        <w:spacing w:line="232" w:lineRule="auto"/>
        <w:ind w:left="100" w:right="101"/>
      </w:pPr>
      <w:r>
        <w:rPr>
          <w:color w:val="231F20"/>
        </w:rPr>
        <w:t>3 December and 7 January, the interest rate implied by the March 1998 sterling future had fallen by more than the current three-month Libor, and the former had been below the latter for most of December. Short-term interest rates implied by futures contracts further out had also fallen, both in the United Kingdom and in Germany.</w:t>
      </w:r>
    </w:p>
    <w:p>
      <w:pPr>
        <w:pStyle w:val="BodyText"/>
        <w:spacing w:before="8"/>
        <w:rPr>
          <w:sz w:val="16"/>
        </w:rPr>
      </w:pPr>
    </w:p>
    <w:p>
      <w:pPr>
        <w:pStyle w:val="ListParagraph"/>
        <w:numPr>
          <w:ilvl w:val="0"/>
          <w:numId w:val="42"/>
        </w:numPr>
        <w:tabs>
          <w:tab w:pos="579" w:val="left" w:leader="none"/>
          <w:tab w:pos="581" w:val="left" w:leader="none"/>
        </w:tabs>
        <w:spacing w:line="232" w:lineRule="auto" w:before="0" w:after="0"/>
        <w:ind w:left="100" w:right="283" w:firstLine="0"/>
        <w:jc w:val="left"/>
        <w:rPr>
          <w:sz w:val="18"/>
        </w:rPr>
      </w:pPr>
      <w:r>
        <w:rPr>
          <w:color w:val="231F20"/>
          <w:sz w:val="18"/>
        </w:rPr>
        <w:t>The spread between non-collateralised three-month rates (such as interbank rates or certificates of deposit) and general collateral repo rates had risen from around 20 basis points before the financial market turmoil in October to about 35 basis points </w:t>
      </w:r>
      <w:r>
        <w:rPr>
          <w:color w:val="231F20"/>
          <w:spacing w:val="-9"/>
          <w:sz w:val="18"/>
        </w:rPr>
        <w:t>in </w:t>
      </w:r>
      <w:r>
        <w:rPr>
          <w:color w:val="231F20"/>
          <w:sz w:val="18"/>
        </w:rPr>
        <w:t>December, but had fallen back to 15–20 basis points early in January.</w:t>
      </w:r>
    </w:p>
    <w:p>
      <w:pPr>
        <w:pStyle w:val="BodyText"/>
        <w:spacing w:before="6"/>
        <w:rPr>
          <w:sz w:val="16"/>
        </w:rPr>
      </w:pPr>
    </w:p>
    <w:p>
      <w:pPr>
        <w:pStyle w:val="ListParagraph"/>
        <w:numPr>
          <w:ilvl w:val="0"/>
          <w:numId w:val="42"/>
        </w:numPr>
        <w:tabs>
          <w:tab w:pos="579" w:val="left" w:leader="none"/>
          <w:tab w:pos="581" w:val="left" w:leader="none"/>
        </w:tabs>
        <w:spacing w:line="203" w:lineRule="exact" w:before="1" w:after="0"/>
        <w:ind w:left="580" w:right="0" w:hanging="481"/>
        <w:jc w:val="left"/>
        <w:rPr>
          <w:sz w:val="18"/>
        </w:rPr>
      </w:pPr>
      <w:r>
        <w:rPr>
          <w:color w:val="231F20"/>
          <w:sz w:val="18"/>
        </w:rPr>
        <w:t>Spot interest rates had fallen between 3 December and</w:t>
      </w:r>
    </w:p>
    <w:p>
      <w:pPr>
        <w:pStyle w:val="BodyText"/>
        <w:spacing w:line="232" w:lineRule="auto" w:before="1"/>
        <w:ind w:left="100" w:right="290"/>
      </w:pPr>
      <w:r>
        <w:rPr>
          <w:color w:val="231F20"/>
        </w:rPr>
        <w:t>7 January—by about 45 basis points at 3 years and about 30 basis points at 20 years. During the month as a whole, the fall in</w:t>
      </w:r>
    </w:p>
    <w:p>
      <w:pPr>
        <w:pStyle w:val="BodyText"/>
        <w:spacing w:line="232" w:lineRule="auto"/>
        <w:ind w:left="100" w:right="441"/>
      </w:pPr>
      <w:r>
        <w:rPr>
          <w:color w:val="231F20"/>
        </w:rPr>
        <w:t>short-term rates had reflected both lower expected inflation and lower real interest rates.</w:t>
      </w:r>
    </w:p>
    <w:p>
      <w:pPr>
        <w:pStyle w:val="BodyText"/>
        <w:spacing w:before="1"/>
        <w:rPr>
          <w:sz w:val="17"/>
        </w:rPr>
      </w:pPr>
    </w:p>
    <w:p>
      <w:pPr>
        <w:pStyle w:val="ListParagraph"/>
        <w:numPr>
          <w:ilvl w:val="0"/>
          <w:numId w:val="43"/>
        </w:numPr>
        <w:tabs>
          <w:tab w:pos="579" w:val="left" w:leader="none"/>
          <w:tab w:pos="581" w:val="left" w:leader="none"/>
        </w:tabs>
        <w:spacing w:line="232" w:lineRule="auto" w:before="1" w:after="0"/>
        <w:ind w:left="100" w:right="193" w:firstLine="0"/>
        <w:jc w:val="left"/>
        <w:rPr>
          <w:sz w:val="18"/>
        </w:rPr>
      </w:pPr>
      <w:r>
        <w:rPr>
          <w:color w:val="231F20"/>
          <w:sz w:val="18"/>
        </w:rPr>
        <w:t>What information could be gained from financial markets about the likely future impact of the Far East crisis on the United Kingdom? UK equity prices were now higher than at the time of the previous MPC meeting, reflecting a continued recovery from the fall at the end of October. Movements in other major economies varied, though the 10% fall in Japanese equities stood out. There had been a large increase in implied stock market volatility at the end of October which had been reversed almost completely for the United Kingdom and the United States, but </w:t>
      </w:r>
      <w:r>
        <w:rPr>
          <w:color w:val="231F20"/>
          <w:spacing w:val="-5"/>
          <w:sz w:val="18"/>
        </w:rPr>
        <w:t>only </w:t>
      </w:r>
      <w:r>
        <w:rPr>
          <w:color w:val="231F20"/>
          <w:sz w:val="18"/>
        </w:rPr>
        <w:t>partially in Japan. Implied probability distributions for the</w:t>
      </w:r>
    </w:p>
    <w:p>
      <w:pPr>
        <w:pStyle w:val="BodyText"/>
        <w:spacing w:line="232" w:lineRule="auto"/>
        <w:ind w:left="100" w:right="276"/>
      </w:pPr>
      <w:r>
        <w:rPr>
          <w:color w:val="231F20"/>
        </w:rPr>
        <w:t>F</w:t>
      </w:r>
      <w:r>
        <w:rPr>
          <w:color w:val="231F20"/>
          <w:sz w:val="14"/>
        </w:rPr>
        <w:t>T-SE </w:t>
      </w:r>
      <w:r>
        <w:rPr>
          <w:color w:val="231F20"/>
        </w:rPr>
        <w:t>100 showed that the downward skewness had reduced since the turmoil in October, but remained above its five-year average. So the perceived effect of the Asian crisis on the UK economy, as judged by equities, may have dissipated.</w:t>
      </w:r>
    </w:p>
    <w:p>
      <w:pPr>
        <w:pStyle w:val="ListParagraph"/>
        <w:numPr>
          <w:ilvl w:val="0"/>
          <w:numId w:val="43"/>
        </w:numPr>
        <w:tabs>
          <w:tab w:pos="579" w:val="left" w:leader="none"/>
          <w:tab w:pos="581" w:val="left" w:leader="none"/>
        </w:tabs>
        <w:spacing w:line="232" w:lineRule="auto" w:before="169" w:after="0"/>
        <w:ind w:left="100" w:right="159" w:firstLine="0"/>
        <w:jc w:val="left"/>
        <w:rPr>
          <w:sz w:val="18"/>
        </w:rPr>
      </w:pPr>
      <w:r>
        <w:rPr>
          <w:color w:val="231F20"/>
          <w:sz w:val="18"/>
        </w:rPr>
        <w:t>An alternative perspective on the impact of the Asian crisis could be gained from an examination of credit spreads. The spread between government ten-year bonds and private sector bonds of similar maturity had increased in October in the United Kingdom, and had persisted. That had also happened, to a lesser extent, in </w:t>
      </w:r>
      <w:r>
        <w:rPr>
          <w:color w:val="231F20"/>
          <w:spacing w:val="-6"/>
          <w:sz w:val="18"/>
        </w:rPr>
        <w:t>the </w:t>
      </w:r>
      <w:r>
        <w:rPr>
          <w:color w:val="231F20"/>
          <w:sz w:val="18"/>
        </w:rPr>
        <w:t>United States. There were two possible scenarios that could underlie this. First, increased uncertainty over future firm values could increase the yield on debt with an offsetting effect on the yield on equity. In this case there need not be any net effect on the cost of capital, except possibly for firms with restricted access to equity. But the fact that equity market volatility itself had fallen back since October argued against this explanation. Second, the increase in credit spreads could reflect an increase in risk aversion on the part of investors. In this case, the increase in credit spreads</w:t>
      </w:r>
    </w:p>
    <w:p>
      <w:pPr>
        <w:spacing w:after="0" w:line="232" w:lineRule="auto"/>
        <w:jc w:val="left"/>
        <w:rPr>
          <w:sz w:val="18"/>
        </w:rPr>
        <w:sectPr>
          <w:type w:val="continuous"/>
          <w:pgSz w:w="11880" w:h="16840"/>
          <w:pgMar w:top="1200" w:bottom="280" w:left="680" w:right="660"/>
          <w:cols w:num="2" w:equalWidth="0">
            <w:col w:w="5054" w:space="346"/>
            <w:col w:w="5140"/>
          </w:cols>
        </w:sectPr>
      </w:pPr>
    </w:p>
    <w:p>
      <w:pPr>
        <w:pStyle w:val="BodyText"/>
        <w:spacing w:before="3"/>
        <w:rPr>
          <w:sz w:val="28"/>
        </w:rPr>
      </w:pPr>
    </w:p>
    <w:p>
      <w:pPr>
        <w:pStyle w:val="BodyText"/>
        <w:spacing w:line="232" w:lineRule="auto" w:before="98"/>
        <w:ind w:left="120" w:right="5596"/>
      </w:pPr>
      <w:r>
        <w:rPr>
          <w:color w:val="231F20"/>
        </w:rPr>
        <w:t>since October (roughly 15 basis points) could reflect higher risk premia which would lead to lower investment. Such a rise in risk premia would also depress the equity market. Although equity prices had not fallen, the second scenario could not be ruled out since other developments might have offset the effect of the rise in risk premia.</w:t>
      </w:r>
    </w:p>
    <w:p>
      <w:pPr>
        <w:spacing w:after="0" w:line="232" w:lineRule="auto"/>
        <w:sectPr>
          <w:pgSz w:w="11880" w:h="16840"/>
          <w:pgMar w:header="566" w:footer="597" w:top="800" w:bottom="780" w:left="680" w:right="660"/>
        </w:sectPr>
      </w:pPr>
    </w:p>
    <w:p>
      <w:pPr>
        <w:pStyle w:val="BodyText"/>
        <w:spacing w:before="4"/>
        <w:rPr>
          <w:sz w:val="28"/>
        </w:rPr>
      </w:pPr>
    </w:p>
    <w:p>
      <w:pPr>
        <w:spacing w:line="357" w:lineRule="auto" w:before="88"/>
        <w:ind w:left="115" w:right="3179" w:firstLine="0"/>
        <w:jc w:val="left"/>
        <w:rPr>
          <w:b/>
          <w:sz w:val="28"/>
        </w:rPr>
      </w:pPr>
      <w:bookmarkStart w:name="_bookmark42" w:id="96"/>
      <w:bookmarkEnd w:id="96"/>
      <w:r>
        <w:rPr/>
      </w:r>
      <w:r>
        <w:rPr>
          <w:b/>
          <w:color w:val="009483"/>
          <w:sz w:val="28"/>
        </w:rPr>
        <w:t>Text of Bank of England press notice of 8 January 1998 Bank of England leaves interest rates unchanged</w:t>
      </w:r>
    </w:p>
    <w:p>
      <w:pPr>
        <w:pStyle w:val="BodyText"/>
        <w:spacing w:before="244"/>
        <w:ind w:left="120"/>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before="1"/>
        <w:ind w:left="120"/>
      </w:pPr>
      <w:r>
        <w:rPr>
          <w:color w:val="231F20"/>
        </w:rPr>
        <w:t>The minutes of today’s Monetary Policy Committee meeting will be published on Wednesday, 11 February. Minutes of the meeting held in December will be published on Wednesday, 14 January.</w:t>
      </w:r>
    </w:p>
    <w:p>
      <w:pPr>
        <w:spacing w:after="0" w:line="232" w:lineRule="auto"/>
        <w:sectPr>
          <w:pgSz w:w="11880" w:h="16840"/>
          <w:pgMar w:header="566" w:footer="597" w:top="800" w:bottom="780" w:left="680" w:right="660"/>
        </w:sectPr>
      </w:pPr>
    </w:p>
    <w:p>
      <w:pPr>
        <w:pStyle w:val="BodyText"/>
        <w:spacing w:before="7"/>
        <w:rPr>
          <w:sz w:val="26"/>
        </w:rPr>
      </w:pPr>
    </w:p>
    <w:p>
      <w:pPr>
        <w:pStyle w:val="Heading3"/>
        <w:spacing w:line="357" w:lineRule="auto"/>
        <w:ind w:left="134" w:right="3179"/>
      </w:pPr>
      <w:bookmarkStart w:name="_bookmark43" w:id="97"/>
      <w:bookmarkEnd w:id="97"/>
      <w:r>
        <w:rPr>
          <w:b w:val="0"/>
        </w:rPr>
      </w:r>
      <w:r>
        <w:rPr>
          <w:color w:val="009483"/>
        </w:rPr>
        <w:t>Text of Bank of England press notice of 5 February 1998 Bank of England leaves interest rates unchanged</w:t>
      </w:r>
    </w:p>
    <w:p>
      <w:pPr>
        <w:pStyle w:val="BodyText"/>
        <w:spacing w:before="2"/>
        <w:rPr>
          <w:b/>
          <w:sz w:val="13"/>
        </w:rPr>
      </w:pPr>
    </w:p>
    <w:p>
      <w:pPr>
        <w:pStyle w:val="BodyText"/>
        <w:spacing w:before="93"/>
        <w:ind w:left="159"/>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ind w:left="159"/>
      </w:pPr>
      <w:r>
        <w:rPr>
          <w:color w:val="231F20"/>
        </w:rPr>
        <w:t>The minutes of today’s Monetary Policy Committee meeting will be published on Wednesday, 11 March. Minutes of the meeting held in January will be published on Wednesday, 11 February.</w:t>
      </w:r>
    </w:p>
    <w:p>
      <w:pPr>
        <w:spacing w:after="0" w:line="232" w:lineRule="auto"/>
        <w:sectPr>
          <w:pgSz w:w="11880" w:h="16840"/>
          <w:pgMar w:header="566" w:footer="597" w:top="800" w:bottom="780" w:left="680" w:right="660"/>
        </w:sectPr>
      </w:pPr>
    </w:p>
    <w:p>
      <w:pPr>
        <w:pStyle w:val="Heading3"/>
        <w:spacing w:before="61"/>
        <w:ind w:left="1329"/>
      </w:pPr>
      <w:bookmarkStart w:name="Glossary and other information" w:id="98"/>
      <w:bookmarkEnd w:id="98"/>
      <w:r>
        <w:rPr>
          <w:b w:val="0"/>
        </w:rPr>
      </w:r>
      <w:bookmarkStart w:name="_bookmark44" w:id="99"/>
      <w:bookmarkEnd w:id="99"/>
      <w:r>
        <w:rPr>
          <w:b w:val="0"/>
        </w:rPr>
      </w:r>
      <w:r>
        <w:rPr>
          <w:color w:val="009483"/>
        </w:rPr>
        <w:t>Glossary and other information</w:t>
      </w:r>
    </w:p>
    <w:p>
      <w:pPr>
        <w:pStyle w:val="BodyText"/>
        <w:spacing w:before="5"/>
        <w:rPr>
          <w:b/>
          <w:sz w:val="34"/>
        </w:rPr>
      </w:pPr>
    </w:p>
    <w:p>
      <w:pPr>
        <w:pStyle w:val="Heading4"/>
      </w:pPr>
      <w:r>
        <w:rPr>
          <w:color w:val="0093C1"/>
        </w:rPr>
        <w:t>Glossary of selected terms</w:t>
      </w:r>
    </w:p>
    <w:p>
      <w:pPr>
        <w:spacing w:before="121"/>
        <w:ind w:left="1329" w:right="0" w:firstLine="0"/>
        <w:jc w:val="left"/>
        <w:rPr>
          <w:sz w:val="20"/>
        </w:rPr>
      </w:pPr>
      <w:r>
        <w:rPr>
          <w:b/>
          <w:color w:val="231F20"/>
          <w:sz w:val="20"/>
        </w:rPr>
        <w:t>RPI inflation</w:t>
      </w:r>
      <w:r>
        <w:rPr>
          <w:color w:val="231F20"/>
          <w:sz w:val="20"/>
        </w:rPr>
        <w:t>: inflation measured by the retail price index.</w:t>
      </w:r>
    </w:p>
    <w:p>
      <w:pPr>
        <w:spacing w:before="10"/>
        <w:ind w:left="1329" w:right="0" w:firstLine="0"/>
        <w:jc w:val="left"/>
        <w:rPr>
          <w:sz w:val="20"/>
        </w:rPr>
      </w:pPr>
      <w:r>
        <w:rPr>
          <w:b/>
          <w:color w:val="231F20"/>
          <w:sz w:val="20"/>
        </w:rPr>
        <w:t>RPIX inflation</w:t>
      </w:r>
      <w:r>
        <w:rPr>
          <w:color w:val="231F20"/>
          <w:sz w:val="20"/>
        </w:rPr>
        <w:t>: inflation measured by the RPI excluding mortgage interest payments.</w:t>
      </w:r>
    </w:p>
    <w:p>
      <w:pPr>
        <w:spacing w:line="249" w:lineRule="auto" w:before="10"/>
        <w:ind w:left="1329" w:right="0" w:firstLine="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2"/>
        <w:ind w:left="1329" w:right="0" w:firstLine="0"/>
        <w:jc w:val="left"/>
        <w:rPr>
          <w:sz w:val="20"/>
        </w:rPr>
      </w:pPr>
      <w:r>
        <w:rPr>
          <w:b/>
          <w:color w:val="231F20"/>
          <w:sz w:val="20"/>
        </w:rPr>
        <w:t>H</w:t>
      </w:r>
      <w:r>
        <w:rPr>
          <w:b/>
          <w:color w:val="231F20"/>
          <w:sz w:val="16"/>
        </w:rPr>
        <w:t>ARP </w:t>
      </w:r>
      <w:r>
        <w:rPr>
          <w:b/>
          <w:color w:val="231F20"/>
          <w:sz w:val="20"/>
        </w:rPr>
        <w:t>index</w:t>
      </w:r>
      <w:r>
        <w:rPr>
          <w:color w:val="231F20"/>
          <w:sz w:val="20"/>
        </w:rPr>
        <w:t>: a price index that replaces the mortgage interest payments component of the RPI with a Bank estimate of the user-cost of housing.</w:t>
      </w:r>
    </w:p>
    <w:p>
      <w:pPr>
        <w:spacing w:before="2"/>
        <w:ind w:left="132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 taxes.</w:t>
      </w:r>
    </w:p>
    <w:p>
      <w:pPr>
        <w:pStyle w:val="BodyText"/>
        <w:spacing w:before="11"/>
        <w:rPr>
          <w:sz w:val="19"/>
        </w:rPr>
      </w:pPr>
    </w:p>
    <w:p>
      <w:pPr>
        <w:spacing w:line="249" w:lineRule="auto" w:before="0"/>
        <w:ind w:left="1329" w:right="210" w:firstLine="0"/>
        <w:jc w:val="left"/>
        <w:rPr>
          <w:sz w:val="20"/>
        </w:rPr>
      </w:pPr>
      <w:r>
        <w:rPr>
          <w:b/>
          <w:color w:val="231F20"/>
          <w:sz w:val="20"/>
        </w:rPr>
        <w:t>M0</w:t>
      </w:r>
      <w:r>
        <w:rPr>
          <w:color w:val="231F20"/>
          <w:sz w:val="20"/>
        </w:rPr>
        <w:t>: notes and coin in circulation outside the Bank of England and bankers’ operational deposits at the Bank. </w:t>
      </w: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1329" w:right="117" w:firstLine="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pStyle w:val="BodyText"/>
        <w:spacing w:before="6"/>
        <w:rPr>
          <w:sz w:val="17"/>
        </w:rPr>
      </w:pPr>
    </w:p>
    <w:p>
      <w:pPr>
        <w:spacing w:line="249" w:lineRule="auto" w:before="1"/>
        <w:ind w:left="1329" w:right="5596" w:firstLine="0"/>
        <w:jc w:val="left"/>
        <w:rPr>
          <w:sz w:val="20"/>
        </w:rPr>
      </w:pPr>
      <w:r>
        <w:rPr>
          <w:b/>
          <w:color w:val="231F20"/>
          <w:sz w:val="20"/>
        </w:rPr>
        <w:t>GDP(E): </w:t>
      </w:r>
      <w:r>
        <w:rPr>
          <w:color w:val="231F20"/>
          <w:sz w:val="20"/>
        </w:rPr>
        <w:t>the expenditure measure of GDP. </w:t>
      </w:r>
      <w:r>
        <w:rPr>
          <w:b/>
          <w:color w:val="231F20"/>
          <w:sz w:val="20"/>
        </w:rPr>
        <w:t>GDP(I): </w:t>
      </w:r>
      <w:r>
        <w:rPr>
          <w:color w:val="231F20"/>
          <w:sz w:val="20"/>
        </w:rPr>
        <w:t>the income measure of GDP. </w:t>
      </w:r>
      <w:r>
        <w:rPr>
          <w:b/>
          <w:color w:val="231F20"/>
          <w:sz w:val="20"/>
        </w:rPr>
        <w:t>GDP(O): </w:t>
      </w:r>
      <w:r>
        <w:rPr>
          <w:color w:val="231F20"/>
          <w:sz w:val="20"/>
        </w:rPr>
        <w:t>the output measure of GDP.</w:t>
      </w:r>
    </w:p>
    <w:p>
      <w:pPr>
        <w:spacing w:before="162"/>
        <w:ind w:left="1329" w:right="0" w:firstLine="0"/>
        <w:jc w:val="left"/>
        <w:rPr>
          <w:sz w:val="20"/>
        </w:rPr>
      </w:pPr>
      <w:r>
        <w:rPr>
          <w:b/>
          <w:color w:val="231F20"/>
          <w:sz w:val="20"/>
        </w:rPr>
        <w:t>A</w:t>
      </w:r>
      <w:r>
        <w:rPr>
          <w:b/>
          <w:color w:val="231F20"/>
          <w:sz w:val="16"/>
        </w:rPr>
        <w:t>SEAN</w:t>
      </w:r>
      <w:r>
        <w:rPr>
          <w:b/>
          <w:color w:val="231F20"/>
          <w:sz w:val="20"/>
        </w:rPr>
        <w:t>-4: </w:t>
      </w:r>
      <w:r>
        <w:rPr>
          <w:color w:val="231F20"/>
          <w:sz w:val="20"/>
        </w:rPr>
        <w:t>Indonesia, Malaysia, the Philippines and Thailand.</w:t>
      </w:r>
    </w:p>
    <w:p>
      <w:pPr>
        <w:spacing w:before="10"/>
        <w:ind w:left="1329" w:right="0" w:firstLine="0"/>
        <w:jc w:val="left"/>
        <w:rPr>
          <w:sz w:val="20"/>
        </w:rPr>
      </w:pPr>
      <w:r>
        <w:rPr>
          <w:b/>
          <w:color w:val="231F20"/>
          <w:sz w:val="20"/>
        </w:rPr>
        <w:t>Asian NIEs: </w:t>
      </w:r>
      <w:r>
        <w:rPr>
          <w:color w:val="231F20"/>
          <w:sz w:val="20"/>
        </w:rPr>
        <w:t>newly industrialised Asian economies.</w:t>
      </w:r>
    </w:p>
    <w:p>
      <w:pPr>
        <w:spacing w:before="10"/>
        <w:ind w:left="1329" w:right="0" w:firstLine="0"/>
        <w:jc w:val="left"/>
        <w:rPr>
          <w:sz w:val="20"/>
        </w:rPr>
      </w:pPr>
      <w:r>
        <w:rPr>
          <w:b/>
          <w:color w:val="231F20"/>
          <w:sz w:val="20"/>
        </w:rPr>
        <w:t>BCC: </w:t>
      </w:r>
      <w:r>
        <w:rPr>
          <w:color w:val="231F20"/>
          <w:sz w:val="20"/>
        </w:rPr>
        <w:t>British Chambers of Commerce.</w:t>
      </w:r>
    </w:p>
    <w:p>
      <w:pPr>
        <w:spacing w:before="10"/>
        <w:ind w:left="1329" w:right="0" w:firstLine="0"/>
        <w:jc w:val="left"/>
        <w:rPr>
          <w:sz w:val="20"/>
        </w:rPr>
      </w:pPr>
      <w:r>
        <w:rPr>
          <w:b/>
          <w:color w:val="231F20"/>
          <w:sz w:val="20"/>
        </w:rPr>
        <w:t>CBI: </w:t>
      </w:r>
      <w:r>
        <w:rPr>
          <w:color w:val="231F20"/>
          <w:sz w:val="20"/>
        </w:rPr>
        <w:t>Confederation of British Industry.</w:t>
      </w:r>
    </w:p>
    <w:p>
      <w:pPr>
        <w:spacing w:before="10"/>
        <w:ind w:left="132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1329" w:right="0" w:firstLine="0"/>
        <w:jc w:val="left"/>
        <w:rPr>
          <w:sz w:val="20"/>
        </w:rPr>
      </w:pPr>
      <w:r>
        <w:rPr>
          <w:b/>
          <w:color w:val="231F20"/>
          <w:sz w:val="20"/>
        </w:rPr>
        <w:t>D</w:t>
      </w:r>
      <w:r>
        <w:rPr>
          <w:b/>
          <w:color w:val="231F20"/>
          <w:sz w:val="16"/>
        </w:rPr>
        <w:t>ETR</w:t>
      </w:r>
      <w:r>
        <w:rPr>
          <w:b/>
          <w:color w:val="231F20"/>
          <w:sz w:val="20"/>
        </w:rPr>
        <w:t>: </w:t>
      </w:r>
      <w:r>
        <w:rPr>
          <w:color w:val="231F20"/>
          <w:sz w:val="20"/>
        </w:rPr>
        <w:t>Department of Environment, Transport and the Regions.</w:t>
      </w:r>
    </w:p>
    <w:p>
      <w:pPr>
        <w:spacing w:before="10"/>
        <w:ind w:left="1329" w:right="0" w:firstLine="0"/>
        <w:jc w:val="left"/>
        <w:rPr>
          <w:sz w:val="20"/>
        </w:rPr>
      </w:pPr>
      <w:r>
        <w:rPr>
          <w:b/>
          <w:color w:val="231F20"/>
          <w:sz w:val="20"/>
        </w:rPr>
        <w:t>EMU: </w:t>
      </w:r>
      <w:r>
        <w:rPr>
          <w:color w:val="231F20"/>
          <w:sz w:val="20"/>
        </w:rPr>
        <w:t>Economic and Monetary Union.</w:t>
      </w:r>
    </w:p>
    <w:p>
      <w:pPr>
        <w:spacing w:before="10"/>
        <w:ind w:left="1329" w:right="0" w:firstLine="0"/>
        <w:jc w:val="left"/>
        <w:rPr>
          <w:sz w:val="20"/>
        </w:rPr>
      </w:pPr>
      <w:r>
        <w:rPr>
          <w:b/>
          <w:color w:val="231F20"/>
          <w:sz w:val="20"/>
        </w:rPr>
        <w:t>ERI: </w:t>
      </w:r>
      <w:r>
        <w:rPr>
          <w:color w:val="231F20"/>
          <w:sz w:val="20"/>
        </w:rPr>
        <w:t>exchange rate index.</w:t>
      </w:r>
    </w:p>
    <w:p>
      <w:pPr>
        <w:spacing w:before="10"/>
        <w:ind w:left="1329" w:right="0" w:firstLine="0"/>
        <w:jc w:val="left"/>
        <w:rPr>
          <w:sz w:val="20"/>
        </w:rPr>
      </w:pPr>
      <w:r>
        <w:rPr>
          <w:b/>
          <w:color w:val="231F20"/>
          <w:sz w:val="20"/>
        </w:rPr>
        <w:t>F</w:t>
      </w:r>
      <w:r>
        <w:rPr>
          <w:b/>
          <w:color w:val="231F20"/>
          <w:sz w:val="16"/>
        </w:rPr>
        <w:t>T-SE: </w:t>
      </w:r>
      <w:r>
        <w:rPr>
          <w:color w:val="231F20"/>
          <w:sz w:val="20"/>
        </w:rPr>
        <w:t>Financial Times Stock Exchange.</w:t>
      </w:r>
    </w:p>
    <w:p>
      <w:pPr>
        <w:spacing w:before="10"/>
        <w:ind w:left="1329" w:right="0" w:firstLine="0"/>
        <w:jc w:val="left"/>
        <w:rPr>
          <w:sz w:val="20"/>
        </w:rPr>
      </w:pPr>
      <w:r>
        <w:rPr>
          <w:b/>
          <w:color w:val="231F20"/>
          <w:sz w:val="20"/>
        </w:rPr>
        <w:t>GFK: </w:t>
      </w:r>
      <w:r>
        <w:rPr>
          <w:color w:val="231F20"/>
          <w:sz w:val="20"/>
        </w:rPr>
        <w:t>Gesellschaft Für Konsum, Great Britain Ltd.</w:t>
      </w:r>
    </w:p>
    <w:p>
      <w:pPr>
        <w:spacing w:before="10"/>
        <w:ind w:left="1329" w:right="0" w:firstLine="0"/>
        <w:jc w:val="left"/>
        <w:rPr>
          <w:sz w:val="20"/>
        </w:rPr>
      </w:pPr>
      <w:r>
        <w:rPr>
          <w:b/>
          <w:color w:val="231F20"/>
          <w:sz w:val="20"/>
        </w:rPr>
        <w:t>ICCs: </w:t>
      </w:r>
      <w:r>
        <w:rPr>
          <w:color w:val="231F20"/>
          <w:sz w:val="20"/>
        </w:rPr>
        <w:t>industrial and commercial companies.</w:t>
      </w:r>
    </w:p>
    <w:p>
      <w:pPr>
        <w:spacing w:before="10"/>
        <w:ind w:left="1329" w:right="0" w:firstLine="0"/>
        <w:jc w:val="left"/>
        <w:rPr>
          <w:sz w:val="20"/>
        </w:rPr>
      </w:pPr>
      <w:r>
        <w:rPr>
          <w:b/>
          <w:color w:val="231F20"/>
          <w:sz w:val="20"/>
        </w:rPr>
        <w:t>JSA</w:t>
      </w:r>
      <w:r>
        <w:rPr>
          <w:color w:val="231F20"/>
          <w:sz w:val="20"/>
        </w:rPr>
        <w:t>: Jobseeker’s Allowance.</w:t>
      </w:r>
    </w:p>
    <w:p>
      <w:pPr>
        <w:spacing w:before="10"/>
        <w:ind w:left="1329" w:right="0" w:firstLine="0"/>
        <w:jc w:val="left"/>
        <w:rPr>
          <w:sz w:val="20"/>
        </w:rPr>
      </w:pPr>
      <w:r>
        <w:rPr>
          <w:b/>
          <w:color w:val="231F20"/>
          <w:sz w:val="20"/>
        </w:rPr>
        <w:t>H</w:t>
      </w:r>
      <w:r>
        <w:rPr>
          <w:b/>
          <w:color w:val="231F20"/>
          <w:sz w:val="16"/>
        </w:rPr>
        <w:t>ICP</w:t>
      </w:r>
      <w:r>
        <w:rPr>
          <w:b/>
          <w:color w:val="231F20"/>
          <w:sz w:val="20"/>
        </w:rPr>
        <w:t>: </w:t>
      </w:r>
      <w:r>
        <w:rPr>
          <w:color w:val="231F20"/>
          <w:sz w:val="20"/>
        </w:rPr>
        <w:t>Harmonised Index of Consumer Prices.</w:t>
      </w:r>
    </w:p>
    <w:p>
      <w:pPr>
        <w:spacing w:before="10"/>
        <w:ind w:left="1329" w:right="0" w:firstLine="0"/>
        <w:jc w:val="left"/>
        <w:rPr>
          <w:sz w:val="20"/>
        </w:rPr>
      </w:pPr>
      <w:r>
        <w:rPr>
          <w:b/>
          <w:color w:val="231F20"/>
          <w:sz w:val="20"/>
        </w:rPr>
        <w:t>L</w:t>
      </w:r>
      <w:r>
        <w:rPr>
          <w:b/>
          <w:color w:val="231F20"/>
          <w:sz w:val="16"/>
        </w:rPr>
        <w:t>APF</w:t>
      </w:r>
      <w:r>
        <w:rPr>
          <w:b/>
          <w:color w:val="231F20"/>
          <w:sz w:val="20"/>
        </w:rPr>
        <w:t>: </w:t>
      </w:r>
      <w:r>
        <w:rPr>
          <w:color w:val="231F20"/>
          <w:sz w:val="20"/>
        </w:rPr>
        <w:t>life assurance and pension funds.</w:t>
      </w:r>
    </w:p>
    <w:p>
      <w:pPr>
        <w:spacing w:before="10"/>
        <w:ind w:left="1329" w:right="0" w:firstLine="0"/>
        <w:jc w:val="left"/>
        <w:rPr>
          <w:sz w:val="20"/>
        </w:rPr>
      </w:pPr>
      <w:r>
        <w:rPr>
          <w:b/>
          <w:color w:val="231F20"/>
          <w:sz w:val="20"/>
        </w:rPr>
        <w:t>LFS:  </w:t>
      </w:r>
      <w:r>
        <w:rPr>
          <w:color w:val="231F20"/>
          <w:sz w:val="20"/>
        </w:rPr>
        <w:t>Labour Force Survey.</w:t>
      </w:r>
    </w:p>
    <w:p>
      <w:pPr>
        <w:spacing w:before="10"/>
        <w:ind w:left="1329" w:right="0" w:firstLine="0"/>
        <w:jc w:val="left"/>
        <w:rPr>
          <w:sz w:val="20"/>
        </w:rPr>
      </w:pPr>
      <w:r>
        <w:rPr>
          <w:b/>
          <w:color w:val="231F20"/>
          <w:sz w:val="20"/>
        </w:rPr>
        <w:t>MoD:  </w:t>
      </w:r>
      <w:r>
        <w:rPr>
          <w:color w:val="231F20"/>
          <w:sz w:val="20"/>
        </w:rPr>
        <w:t>Ministry of Defence.</w:t>
      </w:r>
    </w:p>
    <w:p>
      <w:pPr>
        <w:spacing w:before="10"/>
        <w:ind w:left="132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1329" w:right="0" w:firstLine="0"/>
        <w:jc w:val="left"/>
        <w:rPr>
          <w:sz w:val="20"/>
        </w:rPr>
      </w:pPr>
      <w:r>
        <w:rPr>
          <w:b/>
          <w:color w:val="231F20"/>
          <w:sz w:val="20"/>
        </w:rPr>
        <w:t>MPC: </w:t>
      </w:r>
      <w:r>
        <w:rPr>
          <w:color w:val="231F20"/>
          <w:sz w:val="20"/>
        </w:rPr>
        <w:t>Monetary Policy Committee.</w:t>
      </w:r>
    </w:p>
    <w:p>
      <w:pPr>
        <w:spacing w:before="10"/>
        <w:ind w:left="1329" w:right="0" w:firstLine="0"/>
        <w:jc w:val="left"/>
        <w:rPr>
          <w:sz w:val="20"/>
        </w:rPr>
      </w:pPr>
      <w:r>
        <w:rPr>
          <w:b/>
          <w:color w:val="231F20"/>
          <w:sz w:val="20"/>
        </w:rPr>
        <w:t>OFIs: </w:t>
      </w:r>
      <w:r>
        <w:rPr>
          <w:color w:val="231F20"/>
          <w:sz w:val="20"/>
        </w:rPr>
        <w:t>other financial institutions.</w:t>
      </w:r>
    </w:p>
    <w:p>
      <w:pPr>
        <w:spacing w:before="10"/>
        <w:ind w:left="1329" w:right="0" w:firstLine="0"/>
        <w:jc w:val="left"/>
        <w:rPr>
          <w:sz w:val="20"/>
        </w:rPr>
      </w:pPr>
      <w:r>
        <w:rPr>
          <w:b/>
          <w:color w:val="231F20"/>
          <w:sz w:val="20"/>
        </w:rPr>
        <w:t>PSBR: </w:t>
      </w:r>
      <w:r>
        <w:rPr>
          <w:color w:val="231F20"/>
          <w:sz w:val="20"/>
        </w:rPr>
        <w:t>Public Sector Borrowing Requirement.</w:t>
      </w:r>
    </w:p>
    <w:p>
      <w:pPr>
        <w:pStyle w:val="BodyText"/>
        <w:rPr>
          <w:sz w:val="20"/>
        </w:rPr>
      </w:pPr>
    </w:p>
    <w:p>
      <w:pPr>
        <w:spacing w:before="0"/>
        <w:ind w:left="1329" w:right="0"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8"/>
        <w:rPr>
          <w:sz w:val="23"/>
        </w:rPr>
      </w:pPr>
    </w:p>
    <w:p>
      <w:pPr>
        <w:pStyle w:val="Heading4"/>
        <w:spacing w:before="1"/>
      </w:pPr>
      <w:r>
        <w:rPr>
          <w:color w:val="0093C1"/>
        </w:rPr>
        <w:t>Symbols and conventions</w:t>
      </w:r>
    </w:p>
    <w:p>
      <w:pPr>
        <w:spacing w:line="249" w:lineRule="auto" w:before="121"/>
        <w:ind w:left="1329" w:right="810" w:firstLine="0"/>
        <w:jc w:val="left"/>
        <w:rPr>
          <w:sz w:val="20"/>
        </w:rPr>
      </w:pPr>
      <w:r>
        <w:rPr>
          <w:color w:val="231F20"/>
          <w:sz w:val="20"/>
        </w:rPr>
        <w:t>Except where otherwise stated, the source for the data used in charts and tables is the Office for National Statistics (ONS).</w:t>
      </w:r>
    </w:p>
    <w:p>
      <w:pPr>
        <w:spacing w:line="249" w:lineRule="auto" w:before="2"/>
        <w:ind w:left="1329" w:right="1077" w:firstLine="0"/>
        <w:jc w:val="left"/>
        <w:rPr>
          <w:sz w:val="20"/>
        </w:rPr>
      </w:pPr>
      <w:r>
        <w:rPr>
          <w:color w:val="231F20"/>
          <w:sz w:val="20"/>
        </w:rPr>
        <w:t>The measures of inflation included in this </w:t>
      </w:r>
      <w:r>
        <w:rPr>
          <w:i/>
          <w:color w:val="231F20"/>
          <w:sz w:val="20"/>
        </w:rPr>
        <w:t>Report </w:t>
      </w:r>
      <w:r>
        <w:rPr>
          <w:color w:val="231F20"/>
          <w:sz w:val="20"/>
        </w:rPr>
        <w:t>have been adjusted by the Bank for an ONS error in under-recording RPI and RPIX inflation between February and May 1995.</w:t>
      </w:r>
    </w:p>
    <w:p>
      <w:pPr>
        <w:spacing w:before="1"/>
        <w:ind w:left="1329" w:right="0" w:firstLine="0"/>
        <w:jc w:val="left"/>
        <w:rPr>
          <w:sz w:val="20"/>
        </w:rPr>
      </w:pPr>
      <w:r>
        <w:rPr>
          <w:color w:val="231F20"/>
          <w:sz w:val="20"/>
        </w:rPr>
        <w:t>n.a. = not available.</w:t>
      </w:r>
    </w:p>
    <w:p>
      <w:pPr>
        <w:spacing w:before="10"/>
        <w:ind w:left="1329" w:right="0" w:firstLine="0"/>
        <w:jc w:val="left"/>
        <w:rPr>
          <w:sz w:val="20"/>
        </w:rPr>
      </w:pPr>
      <w:r>
        <w:rPr>
          <w:color w:val="231F20"/>
          <w:sz w:val="20"/>
        </w:rPr>
        <w:t>Because of rounding, the sum of the separate items may sometimes differ from the total shown.</w:t>
      </w:r>
    </w:p>
    <w:p>
      <w:pPr>
        <w:spacing w:line="249" w:lineRule="auto" w:before="10"/>
        <w:ind w:left="1329" w:right="1199" w:firstLine="0"/>
        <w:jc w:val="left"/>
        <w:rPr>
          <w:sz w:val="20"/>
        </w:rPr>
      </w:pPr>
      <w:r>
        <w:rPr>
          <w:color w:val="231F20"/>
          <w:sz w:val="20"/>
        </w:rPr>
        <w:t>On the horizontal axes of graphs, larger ticks denote the first observation within the relevant period, eg data for the first quarter of the year.</w:t>
      </w:r>
    </w:p>
    <w:p>
      <w:pPr>
        <w:spacing w:before="85"/>
        <w:ind w:left="1329" w:right="0" w:firstLine="0"/>
        <w:jc w:val="left"/>
        <w:rPr>
          <w:b/>
          <w:sz w:val="24"/>
        </w:rPr>
      </w:pPr>
      <w:r>
        <w:rPr>
          <w:b/>
          <w:color w:val="0093C1"/>
          <w:sz w:val="24"/>
        </w:rPr>
        <w:t>Other information</w:t>
      </w:r>
    </w:p>
    <w:p>
      <w:pPr>
        <w:spacing w:line="249" w:lineRule="auto" w:before="161"/>
        <w:ind w:left="1329" w:right="5242" w:firstLine="0"/>
        <w:jc w:val="left"/>
        <w:rPr>
          <w:sz w:val="20"/>
        </w:rPr>
      </w:pPr>
      <w:hyperlink r:id="rId114">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115">
        <w:r>
          <w:rPr>
            <w:color w:val="231F20"/>
            <w:sz w:val="20"/>
          </w:rPr>
          <w:t>http://www.bankofengland.co.uk/</w:t>
        </w:r>
      </w:hyperlink>
    </w:p>
    <w:p>
      <w:pPr>
        <w:spacing w:after="0" w:line="249" w:lineRule="auto"/>
        <w:jc w:val="left"/>
        <w:rPr>
          <w:sz w:val="20"/>
        </w:rPr>
        <w:sectPr>
          <w:headerReference w:type="even" r:id="rId112"/>
          <w:footerReference w:type="even" r:id="rId113"/>
          <w:pgSz w:w="11880" w:h="16840"/>
          <w:pgMar w:header="0" w:footer="0" w:top="800" w:bottom="280" w:left="680" w:right="660"/>
        </w:sectPr>
      </w:pPr>
    </w:p>
    <w:p>
      <w:pPr>
        <w:spacing w:before="74"/>
        <w:ind w:left="2153" w:right="2153" w:firstLine="0"/>
        <w:jc w:val="center"/>
        <w:rPr>
          <w:b/>
          <w:sz w:val="24"/>
        </w:rPr>
      </w:pPr>
      <w:bookmarkStart w:name="Quarterly Bulletin and Inflation Report " w:id="100"/>
      <w:bookmarkEnd w:id="100"/>
      <w:r>
        <w:rPr/>
      </w:r>
      <w:r>
        <w:rPr>
          <w:b/>
          <w:color w:val="00958E"/>
          <w:sz w:val="24"/>
        </w:rPr>
        <w:t>Quarterly Bulletin and Inflation Report subscription details</w:t>
      </w:r>
    </w:p>
    <w:p>
      <w:pPr>
        <w:pStyle w:val="BodyText"/>
        <w:rPr>
          <w:b/>
          <w:sz w:val="20"/>
        </w:rPr>
      </w:pPr>
    </w:p>
    <w:p>
      <w:pPr>
        <w:pStyle w:val="BodyText"/>
        <w:rPr>
          <w:b/>
          <w:sz w:val="20"/>
        </w:rPr>
      </w:pPr>
    </w:p>
    <w:p>
      <w:pPr>
        <w:spacing w:line="249" w:lineRule="auto" w:before="1"/>
        <w:ind w:left="105" w:right="137" w:firstLine="0"/>
        <w:jc w:val="left"/>
        <w:rPr>
          <w:sz w:val="20"/>
        </w:rPr>
      </w:pPr>
      <w:r>
        <w:rPr/>
        <w:pict>
          <v:line style="position:absolute;mso-position-horizontal-relative:page;mso-position-vertical-relative:paragraph;z-index:-20053504" from="147pt,88.875931pt" to="183.12pt,88.875931pt" stroked="true" strokeweight=".125pt" strokecolor="#231f20">
            <v:stroke dashstyle="solid"/>
            <w10:wrap type="none"/>
          </v:line>
        </w:pict>
      </w:r>
      <w:r>
        <w:rPr/>
        <w:pict>
          <v:line style="position:absolute;mso-position-horizontal-relative:page;mso-position-vertical-relative:paragraph;z-index:-20052992" from="194.369995pt,89.375931pt" to="216.619995pt,89.375931pt" stroked="true" strokeweight=".125pt" strokecolor="#231f20">
            <v:stroke dashstyle="solid"/>
            <w10:wrap type="none"/>
          </v:line>
        </w:pict>
      </w:r>
      <w:r>
        <w:rPr/>
        <w:pict>
          <v:line style="position:absolute;mso-position-horizontal-relative:page;mso-position-vertical-relative:paragraph;z-index:-20052480" from="282.25pt,89.375931pt" to="312pt,89.375931pt" stroked="true" strokeweight=".125pt" strokecolor="#231f20">
            <v:stroke dashstyle="solid"/>
            <w10:wrap type="none"/>
          </v:line>
        </w:pict>
      </w:r>
      <w:r>
        <w:rPr/>
        <w:pict>
          <v:line style="position:absolute;mso-position-horizontal-relative:page;mso-position-vertical-relative:paragraph;z-index:-20051968" from="239.75pt,89.375931pt" to="274.5pt,89.375931pt" stroked="true" strokeweight=".125pt" strokecolor="#231f20">
            <v:stroke dashstyle="solid"/>
            <w10:wrap type="none"/>
          </v:line>
        </w:pict>
      </w:r>
      <w:r>
        <w:rPr/>
        <w:pict>
          <v:line style="position:absolute;mso-position-horizontal-relative:page;mso-position-vertical-relative:paragraph;z-index:-20051456" from="390.75pt,89.375931pt" to="413pt,89.375931pt" stroked="true" strokeweight=".125pt" strokecolor="#231f20">
            <v:stroke dashstyle="solid"/>
            <w10:wrap type="none"/>
          </v:line>
        </w:pict>
      </w:r>
      <w:r>
        <w:rPr/>
        <w:pict>
          <v:line style="position:absolute;mso-position-horizontal-relative:page;mso-position-vertical-relative:paragraph;z-index:-20050944" from="440.369995pt,89.375931pt" to="466.999995pt,89.375931pt" stroked="true" strokeweight=".125pt" strokecolor="#231f20">
            <v:stroke dashstyle="solid"/>
            <w10:wrap type="none"/>
          </v:line>
        </w:pict>
      </w:r>
      <w:r>
        <w:rPr/>
        <w:pict>
          <v:line style="position:absolute;mso-position-horizontal-relative:page;mso-position-vertical-relative:paragraph;z-index:-20050432" from="339.119995pt,89.375931pt" to="376.869995pt,89.375931pt" stroked="true" strokeweight=".125pt" strokecolor="#231f20">
            <v:stroke dashstyle="solid"/>
            <w10:wrap type="none"/>
          </v:line>
        </w:pict>
      </w:r>
      <w:r>
        <w:rPr/>
        <w:pict>
          <v:line style="position:absolute;mso-position-horizontal-relative:page;mso-position-vertical-relative:paragraph;z-index:-20049920" from="478.369995pt,89.375931pt" to="502.619995pt,89.375931pt" stroked="true" strokeweight=".125pt" strokecolor="#231f20">
            <v:stroke dashstyle="solid"/>
            <w10:wrap type="none"/>
          </v:line>
        </w:pict>
      </w:r>
      <w:r>
        <w:rPr/>
        <w:pict>
          <v:line style="position:absolute;mso-position-horizontal-relative:page;mso-position-vertical-relative:paragraph;z-index:-20049408" from="145.869995pt,70.625931pt" to="229.249995pt,70.625931pt" stroked="true" strokeweight=".125pt" strokecolor="#231f20">
            <v:stroke dashstyle="solid"/>
            <w10:wrap type="none"/>
          </v:line>
        </w:pict>
      </w:r>
      <w:r>
        <w:rPr/>
        <w:pict>
          <v:line style="position:absolute;mso-position-horizontal-relative:page;mso-position-vertical-relative:paragraph;z-index:-20048896" from="246.25pt,70.625931pt" to="311.37pt,70.625931pt" stroked="true" strokeweight=".125pt" strokecolor="#231f20">
            <v:stroke dashstyle="solid"/>
            <w10:wrap type="none"/>
          </v:line>
        </w:pict>
      </w:r>
      <w:r>
        <w:rPr/>
        <w:pict>
          <v:line style="position:absolute;mso-position-horizontal-relative:page;mso-position-vertical-relative:paragraph;z-index:-20048384" from="337.869995pt,70.625931pt" to="420.119995pt,70.625931pt" stroked="true" strokeweight=".125pt" strokecolor="#231f20">
            <v:stroke dashstyle="solid"/>
            <w10:wrap type="none"/>
          </v:line>
        </w:pict>
      </w:r>
      <w:r>
        <w:rPr/>
        <w:pict>
          <v:line style="position:absolute;mso-position-horizontal-relative:page;mso-position-vertical-relative:paragraph;z-index:-20047872" from="439.369995pt,70.625931pt" to="512.619995pt,70.625931pt" stroked="true" strokeweight=".125pt" strokecolor="#231f20">
            <v:stroke dashstyle="solid"/>
            <w10:wrap type="none"/>
          </v:line>
        </w:pict>
      </w:r>
      <w:r>
        <w:rPr/>
        <w:pict>
          <v:line style="position:absolute;mso-position-horizontal-relative:page;mso-position-vertical-relative:paragraph;z-index:-20047360" from="235.369995pt,50.005932pt" to="235.369995pt,232.625932pt" stroked="true" strokeweight=".125pt" strokecolor="#231f20">
            <v:stroke dashstyle="solid"/>
            <w10:wrap type="none"/>
          </v:line>
        </w:pict>
      </w:r>
      <w:r>
        <w:rPr/>
        <w:pict>
          <v:line style="position:absolute;mso-position-horizontal-relative:page;mso-position-vertical-relative:paragraph;z-index:-20046848" from="426.369995pt,49.505932pt" to="426.369995pt,234.755932pt" stroked="true" strokeweight=".125pt" strokecolor="#231f20">
            <v:stroke dashstyle="solid"/>
            <w10:wrap type="none"/>
          </v:line>
        </w:pict>
      </w:r>
      <w:r>
        <w:rPr>
          <w:color w:val="231F20"/>
          <w:sz w:val="20"/>
        </w:rPr>
        <w:t>Copies of the </w:t>
      </w:r>
      <w:r>
        <w:rPr>
          <w:i/>
          <w:color w:val="231F20"/>
          <w:sz w:val="20"/>
        </w:rPr>
        <w:t>Bulletin </w:t>
      </w:r>
      <w:r>
        <w:rPr>
          <w:color w:val="231F20"/>
          <w:sz w:val="20"/>
        </w:rPr>
        <w:t>and </w:t>
      </w:r>
      <w:r>
        <w:rPr>
          <w:i/>
          <w:color w:val="231F20"/>
          <w:sz w:val="20"/>
        </w:rPr>
        <w:t>Inflation Report </w:t>
      </w:r>
      <w:r>
        <w:rPr>
          <w:color w:val="231F20"/>
          <w:sz w:val="20"/>
        </w:rPr>
        <w:t>are available from the Bank as a </w:t>
      </w:r>
      <w:r>
        <w:rPr>
          <w:b/>
          <w:color w:val="231F20"/>
          <w:sz w:val="20"/>
        </w:rPr>
        <w:t>combined </w:t>
      </w:r>
      <w:r>
        <w:rPr>
          <w:color w:val="231F20"/>
          <w:sz w:val="20"/>
        </w:rPr>
        <w:t>package: the </w:t>
      </w:r>
      <w:r>
        <w:rPr>
          <w:i/>
          <w:color w:val="231F20"/>
          <w:sz w:val="20"/>
        </w:rPr>
        <w:t>Inflation Report </w:t>
      </w:r>
      <w:r>
        <w:rPr>
          <w:color w:val="231F20"/>
          <w:sz w:val="20"/>
        </w:rPr>
        <w:t>is </w:t>
      </w:r>
      <w:r>
        <w:rPr>
          <w:color w:val="231F20"/>
          <w:spacing w:val="-4"/>
          <w:sz w:val="20"/>
        </w:rPr>
        <w:t>also </w:t>
      </w:r>
      <w:r>
        <w:rPr>
          <w:color w:val="231F20"/>
          <w:sz w:val="20"/>
        </w:rPr>
        <w:t>available separately. The prices are set out below:</w:t>
      </w:r>
    </w:p>
    <w:p>
      <w:pPr>
        <w:pStyle w:val="BodyText"/>
        <w:rPr>
          <w:sz w:val="11"/>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848"/>
        <w:gridCol w:w="1821"/>
        <w:gridCol w:w="2100"/>
        <w:gridCol w:w="1846"/>
      </w:tblGrid>
      <w:tr>
        <w:trPr>
          <w:trHeight w:val="311" w:hRule="atLeast"/>
        </w:trPr>
        <w:tc>
          <w:tcPr>
            <w:tcW w:w="1949" w:type="dxa"/>
            <w:tcBorders>
              <w:top w:val="single" w:sz="4" w:space="0" w:color="231F20"/>
              <w:left w:val="single" w:sz="4" w:space="0" w:color="231F20"/>
              <w:bottom w:val="single" w:sz="2" w:space="0" w:color="231F20"/>
              <w:right w:val="single" w:sz="2" w:space="0" w:color="231F20"/>
            </w:tcBorders>
          </w:tcPr>
          <w:p>
            <w:pPr>
              <w:pStyle w:val="TableParagraph"/>
              <w:spacing w:before="42"/>
              <w:ind w:left="115"/>
              <w:rPr>
                <w:sz w:val="16"/>
              </w:rPr>
            </w:pPr>
            <w:r>
              <w:rPr>
                <w:color w:val="231F20"/>
                <w:sz w:val="16"/>
              </w:rPr>
              <w:t>Destination</w:t>
            </w:r>
          </w:p>
        </w:tc>
        <w:tc>
          <w:tcPr>
            <w:tcW w:w="3669" w:type="dxa"/>
            <w:gridSpan w:val="2"/>
            <w:tcBorders>
              <w:top w:val="single" w:sz="4" w:space="0" w:color="231F20"/>
              <w:left w:val="single" w:sz="2" w:space="0" w:color="231F20"/>
              <w:bottom w:val="single" w:sz="2" w:space="0" w:color="231F20"/>
              <w:right w:val="single" w:sz="2" w:space="0" w:color="231F20"/>
            </w:tcBorders>
          </w:tcPr>
          <w:p>
            <w:pPr>
              <w:pStyle w:val="TableParagraph"/>
              <w:spacing w:before="42"/>
              <w:ind w:left="1391" w:right="1913"/>
              <w:jc w:val="center"/>
              <w:rPr>
                <w:sz w:val="16"/>
              </w:rPr>
            </w:pPr>
            <w:r>
              <w:rPr>
                <w:color w:val="231F20"/>
                <w:sz w:val="16"/>
              </w:rPr>
              <w:t>1998</w:t>
            </w:r>
          </w:p>
        </w:tc>
        <w:tc>
          <w:tcPr>
            <w:tcW w:w="3946" w:type="dxa"/>
            <w:gridSpan w:val="2"/>
            <w:tcBorders>
              <w:top w:val="single" w:sz="4" w:space="0" w:color="231F20"/>
              <w:left w:val="single" w:sz="2" w:space="0" w:color="231F20"/>
              <w:bottom w:val="single" w:sz="2" w:space="0" w:color="231F20"/>
              <w:right w:val="single" w:sz="4" w:space="0" w:color="231F20"/>
            </w:tcBorders>
          </w:tcPr>
          <w:p>
            <w:pPr>
              <w:pStyle w:val="TableParagraph"/>
              <w:spacing w:before="42"/>
              <w:ind w:left="1520" w:right="2057"/>
              <w:jc w:val="center"/>
              <w:rPr>
                <w:sz w:val="16"/>
              </w:rPr>
            </w:pPr>
            <w:r>
              <w:rPr>
                <w:color w:val="231F20"/>
                <w:sz w:val="16"/>
              </w:rPr>
              <w:t>1997</w:t>
            </w:r>
          </w:p>
        </w:tc>
      </w:tr>
      <w:tr>
        <w:trPr>
          <w:trHeight w:val="266" w:hRule="atLeast"/>
        </w:trPr>
        <w:tc>
          <w:tcPr>
            <w:tcW w:w="1949" w:type="dxa"/>
            <w:vMerge w:val="restart"/>
            <w:tcBorders>
              <w:top w:val="single" w:sz="2" w:space="0" w:color="231F20"/>
              <w:left w:val="single" w:sz="4" w:space="0" w:color="231F20"/>
              <w:bottom w:val="single" w:sz="4" w:space="0" w:color="231F20"/>
              <w:right w:val="single" w:sz="2" w:space="0" w:color="231F20"/>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37"/>
              <w:ind w:left="35"/>
              <w:rPr>
                <w:sz w:val="16"/>
              </w:rPr>
            </w:pPr>
            <w:r>
              <w:rPr>
                <w:color w:val="231F20"/>
                <w:sz w:val="16"/>
              </w:rPr>
              <w:t>United Kingdom</w:t>
            </w:r>
          </w:p>
          <w:p>
            <w:pPr>
              <w:pStyle w:val="TableParagraph"/>
              <w:spacing w:line="182" w:lineRule="exact"/>
              <w:ind w:left="155"/>
              <w:rPr>
                <w:sz w:val="12"/>
              </w:rPr>
            </w:pPr>
            <w:r>
              <w:rPr>
                <w:color w:val="231F20"/>
                <w:sz w:val="16"/>
              </w:rPr>
              <w:t>by first class mail </w:t>
            </w:r>
            <w:r>
              <w:rPr>
                <w:color w:val="231F20"/>
                <w:sz w:val="12"/>
              </w:rPr>
              <w:t>(2)</w:t>
            </w:r>
          </w:p>
          <w:p>
            <w:pPr>
              <w:pStyle w:val="TableParagraph"/>
              <w:spacing w:line="182" w:lineRule="exact" w:before="157"/>
              <w:ind w:left="35"/>
              <w:rPr>
                <w:b/>
                <w:i/>
                <w:sz w:val="16"/>
              </w:rPr>
            </w:pPr>
            <w:r>
              <w:rPr>
                <w:i/>
                <w:color w:val="231F20"/>
                <w:sz w:val="16"/>
              </w:rPr>
              <w:t>Academics, </w:t>
            </w:r>
            <w:r>
              <w:rPr>
                <w:b/>
                <w:i/>
                <w:color w:val="231F20"/>
                <w:sz w:val="16"/>
              </w:rPr>
              <w:t>UK only</w:t>
            </w:r>
          </w:p>
          <w:p>
            <w:pPr>
              <w:pStyle w:val="TableParagraph"/>
              <w:spacing w:line="182" w:lineRule="exact"/>
              <w:ind w:left="35"/>
              <w:rPr>
                <w:b/>
                <w:i/>
                <w:sz w:val="16"/>
              </w:rPr>
            </w:pPr>
            <w:r>
              <w:rPr>
                <w:i/>
                <w:color w:val="231F20"/>
                <w:sz w:val="16"/>
              </w:rPr>
              <w:t>Students, </w:t>
            </w:r>
            <w:r>
              <w:rPr>
                <w:b/>
                <w:i/>
                <w:color w:val="231F20"/>
                <w:sz w:val="16"/>
              </w:rPr>
              <w:t>UK only</w:t>
            </w:r>
          </w:p>
          <w:p>
            <w:pPr>
              <w:pStyle w:val="TableParagraph"/>
              <w:spacing w:line="235" w:lineRule="auto" w:before="159"/>
              <w:ind w:left="155" w:right="135" w:hanging="120"/>
              <w:rPr>
                <w:sz w:val="16"/>
              </w:rPr>
            </w:pPr>
            <w:r>
              <w:rPr>
                <w:color w:val="231F20"/>
                <w:sz w:val="16"/>
              </w:rPr>
              <w:t>European countries including the Republic of Ireland, by letter service</w:t>
            </w:r>
          </w:p>
          <w:p>
            <w:pPr>
              <w:pStyle w:val="TableParagraph"/>
              <w:spacing w:line="235" w:lineRule="auto" w:before="159"/>
              <w:ind w:left="115" w:right="215" w:hanging="80"/>
              <w:rPr>
                <w:sz w:val="16"/>
              </w:rPr>
            </w:pPr>
            <w:r>
              <w:rPr>
                <w:color w:val="231F20"/>
                <w:sz w:val="16"/>
              </w:rPr>
              <w:t>Countries outside Europe: Surface mail</w:t>
            </w:r>
          </w:p>
          <w:p>
            <w:pPr>
              <w:pStyle w:val="TableParagraph"/>
              <w:tabs>
                <w:tab w:pos="939" w:val="left" w:leader="none"/>
              </w:tabs>
              <w:spacing w:before="156"/>
              <w:ind w:right="256"/>
              <w:jc w:val="right"/>
              <w:rPr>
                <w:sz w:val="12"/>
              </w:rPr>
            </w:pPr>
            <w:r>
              <w:rPr>
                <w:color w:val="231F20"/>
                <w:sz w:val="16"/>
              </w:rPr>
              <w:t>Air mail:</w:t>
              <w:tab/>
              <w:t>Zone 1</w:t>
            </w:r>
            <w:r>
              <w:rPr>
                <w:color w:val="231F20"/>
                <w:spacing w:val="-4"/>
                <w:sz w:val="16"/>
              </w:rPr>
              <w:t> </w:t>
            </w:r>
            <w:r>
              <w:rPr>
                <w:color w:val="231F20"/>
                <w:sz w:val="12"/>
              </w:rPr>
              <w:t>(3)</w:t>
            </w:r>
          </w:p>
          <w:p>
            <w:pPr>
              <w:pStyle w:val="TableParagraph"/>
              <w:spacing w:before="156"/>
              <w:ind w:right="256"/>
              <w:jc w:val="right"/>
              <w:rPr>
                <w:sz w:val="12"/>
              </w:rPr>
            </w:pPr>
            <w:r>
              <w:rPr>
                <w:color w:val="231F20"/>
                <w:sz w:val="16"/>
              </w:rPr>
              <w:t>Zone 2</w:t>
            </w:r>
            <w:r>
              <w:rPr>
                <w:color w:val="231F20"/>
                <w:spacing w:val="-4"/>
                <w:sz w:val="16"/>
              </w:rPr>
              <w:t> </w:t>
            </w:r>
            <w:r>
              <w:rPr>
                <w:color w:val="231F20"/>
                <w:sz w:val="12"/>
              </w:rPr>
              <w:t>(4)</w:t>
            </w:r>
          </w:p>
        </w:tc>
        <w:tc>
          <w:tcPr>
            <w:tcW w:w="1848" w:type="dxa"/>
            <w:tcBorders>
              <w:top w:val="single" w:sz="2" w:space="0" w:color="231F20"/>
              <w:left w:val="single" w:sz="2" w:space="0" w:color="231F20"/>
            </w:tcBorders>
          </w:tcPr>
          <w:p>
            <w:pPr>
              <w:pStyle w:val="TableParagraph"/>
              <w:spacing w:line="160" w:lineRule="exact" w:before="85"/>
              <w:ind w:left="148"/>
              <w:rPr>
                <w:i/>
                <w:sz w:val="16"/>
              </w:rPr>
            </w:pPr>
            <w:r>
              <w:rPr>
                <w:i/>
                <w:color w:val="231F20"/>
                <w:sz w:val="16"/>
              </w:rPr>
              <w:t>Quarterly Bulletin and</w:t>
            </w:r>
          </w:p>
        </w:tc>
        <w:tc>
          <w:tcPr>
            <w:tcW w:w="1821" w:type="dxa"/>
            <w:tcBorders>
              <w:top w:val="single" w:sz="2" w:space="0" w:color="231F20"/>
              <w:right w:val="single" w:sz="2" w:space="0" w:color="231F20"/>
            </w:tcBorders>
          </w:tcPr>
          <w:p>
            <w:pPr>
              <w:pStyle w:val="TableParagraph"/>
              <w:spacing w:line="160" w:lineRule="exact" w:before="85"/>
              <w:ind w:left="303"/>
              <w:rPr>
                <w:i/>
                <w:sz w:val="16"/>
              </w:rPr>
            </w:pPr>
            <w:r>
              <w:rPr>
                <w:i/>
                <w:color w:val="231F20"/>
                <w:sz w:val="16"/>
              </w:rPr>
              <w:t>Inflation Report</w:t>
            </w:r>
          </w:p>
        </w:tc>
        <w:tc>
          <w:tcPr>
            <w:tcW w:w="2100" w:type="dxa"/>
            <w:tcBorders>
              <w:top w:val="single" w:sz="2" w:space="0" w:color="231F20"/>
              <w:left w:val="single" w:sz="2" w:space="0" w:color="231F20"/>
            </w:tcBorders>
          </w:tcPr>
          <w:p>
            <w:pPr>
              <w:pStyle w:val="TableParagraph"/>
              <w:spacing w:line="160" w:lineRule="exact" w:before="85"/>
              <w:ind w:left="299"/>
              <w:rPr>
                <w:i/>
                <w:sz w:val="16"/>
              </w:rPr>
            </w:pPr>
            <w:r>
              <w:rPr>
                <w:i/>
                <w:color w:val="231F20"/>
                <w:sz w:val="16"/>
              </w:rPr>
              <w:t>Quarterly Bulletin and</w:t>
            </w:r>
          </w:p>
        </w:tc>
        <w:tc>
          <w:tcPr>
            <w:tcW w:w="1846" w:type="dxa"/>
            <w:tcBorders>
              <w:top w:val="single" w:sz="2" w:space="0" w:color="231F20"/>
              <w:right w:val="single" w:sz="4" w:space="0" w:color="231F20"/>
            </w:tcBorders>
          </w:tcPr>
          <w:p>
            <w:pPr>
              <w:pStyle w:val="TableParagraph"/>
              <w:spacing w:line="160" w:lineRule="exact" w:before="85"/>
              <w:ind w:left="242"/>
              <w:rPr>
                <w:i/>
                <w:sz w:val="16"/>
              </w:rPr>
            </w:pPr>
            <w:r>
              <w:rPr>
                <w:i/>
                <w:color w:val="231F20"/>
                <w:sz w:val="16"/>
              </w:rPr>
              <w:t>Inflation Report</w:t>
            </w:r>
          </w:p>
        </w:tc>
      </w:tr>
      <w:tr>
        <w:trPr>
          <w:trHeight w:val="26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line="174" w:lineRule="exact"/>
              <w:ind w:left="148"/>
              <w:rPr>
                <w:sz w:val="16"/>
              </w:rPr>
            </w:pPr>
            <w:r>
              <w:rPr>
                <w:i/>
                <w:color w:val="231F20"/>
                <w:sz w:val="16"/>
              </w:rPr>
              <w:t>Inflation Report </w:t>
            </w:r>
            <w:r>
              <w:rPr>
                <w:color w:val="231F20"/>
                <w:sz w:val="16"/>
              </w:rPr>
              <w:t>package</w:t>
            </w:r>
          </w:p>
        </w:tc>
        <w:tc>
          <w:tcPr>
            <w:tcW w:w="1821" w:type="dxa"/>
            <w:tcBorders>
              <w:right w:val="single" w:sz="2" w:space="0" w:color="231F20"/>
            </w:tcBorders>
          </w:tcPr>
          <w:p>
            <w:pPr>
              <w:pStyle w:val="TableParagraph"/>
              <w:spacing w:line="174" w:lineRule="exact"/>
              <w:ind w:left="303"/>
              <w:rPr>
                <w:sz w:val="12"/>
              </w:rPr>
            </w:pPr>
            <w:r>
              <w:rPr>
                <w:color w:val="231F20"/>
                <w:sz w:val="16"/>
              </w:rPr>
              <w:t>only </w:t>
            </w:r>
            <w:r>
              <w:rPr>
                <w:color w:val="231F20"/>
                <w:sz w:val="12"/>
              </w:rPr>
              <w:t>(1)</w:t>
            </w:r>
          </w:p>
        </w:tc>
        <w:tc>
          <w:tcPr>
            <w:tcW w:w="2100" w:type="dxa"/>
            <w:tcBorders>
              <w:left w:val="single" w:sz="2" w:space="0" w:color="231F20"/>
            </w:tcBorders>
          </w:tcPr>
          <w:p>
            <w:pPr>
              <w:pStyle w:val="TableParagraph"/>
              <w:spacing w:line="174" w:lineRule="exact"/>
              <w:ind w:left="299"/>
              <w:rPr>
                <w:sz w:val="16"/>
              </w:rPr>
            </w:pPr>
            <w:r>
              <w:rPr>
                <w:i/>
                <w:color w:val="231F20"/>
                <w:sz w:val="16"/>
              </w:rPr>
              <w:t>Inflation Report </w:t>
            </w:r>
            <w:r>
              <w:rPr>
                <w:color w:val="231F20"/>
                <w:sz w:val="16"/>
              </w:rPr>
              <w:t>package</w:t>
            </w:r>
          </w:p>
        </w:tc>
        <w:tc>
          <w:tcPr>
            <w:tcW w:w="1846" w:type="dxa"/>
            <w:tcBorders>
              <w:right w:val="single" w:sz="4" w:space="0" w:color="231F20"/>
            </w:tcBorders>
          </w:tcPr>
          <w:p>
            <w:pPr>
              <w:pStyle w:val="TableParagraph"/>
              <w:spacing w:line="174" w:lineRule="exact"/>
              <w:ind w:left="242"/>
              <w:rPr>
                <w:sz w:val="12"/>
              </w:rPr>
            </w:pPr>
            <w:r>
              <w:rPr>
                <w:color w:val="231F20"/>
                <w:sz w:val="16"/>
              </w:rPr>
              <w:t>only </w:t>
            </w:r>
            <w:r>
              <w:rPr>
                <w:color w:val="231F20"/>
                <w:sz w:val="12"/>
              </w:rPr>
              <w:t>(1)</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08" w:val="left" w:leader="none"/>
              </w:tabs>
              <w:spacing w:before="79"/>
              <w:ind w:left="148"/>
              <w:rPr>
                <w:sz w:val="16"/>
              </w:rPr>
            </w:pPr>
            <w:r>
              <w:rPr>
                <w:color w:val="231F20"/>
                <w:sz w:val="16"/>
              </w:rPr>
              <w:t>Annual</w:t>
              <w:tab/>
              <w:t>Single</w:t>
            </w:r>
          </w:p>
        </w:tc>
        <w:tc>
          <w:tcPr>
            <w:tcW w:w="1821" w:type="dxa"/>
            <w:tcBorders>
              <w:right w:val="single" w:sz="2" w:space="0" w:color="231F20"/>
            </w:tcBorders>
          </w:tcPr>
          <w:p>
            <w:pPr>
              <w:pStyle w:val="TableParagraph"/>
              <w:tabs>
                <w:tab w:pos="1038" w:val="left" w:leader="none"/>
              </w:tabs>
              <w:spacing w:before="79"/>
              <w:ind w:left="183"/>
              <w:rPr>
                <w:sz w:val="16"/>
              </w:rPr>
            </w:pPr>
            <w:r>
              <w:rPr>
                <w:color w:val="231F20"/>
                <w:sz w:val="16"/>
              </w:rPr>
              <w:t>Annual</w:t>
              <w:tab/>
              <w:t>Single</w:t>
            </w:r>
          </w:p>
        </w:tc>
        <w:tc>
          <w:tcPr>
            <w:tcW w:w="2100" w:type="dxa"/>
            <w:tcBorders>
              <w:left w:val="single" w:sz="2" w:space="0" w:color="231F20"/>
            </w:tcBorders>
          </w:tcPr>
          <w:p>
            <w:pPr>
              <w:pStyle w:val="TableParagraph"/>
              <w:tabs>
                <w:tab w:pos="1379" w:val="left" w:leader="none"/>
              </w:tabs>
              <w:spacing w:before="79"/>
              <w:ind w:left="359"/>
              <w:rPr>
                <w:sz w:val="16"/>
              </w:rPr>
            </w:pPr>
            <w:r>
              <w:rPr>
                <w:color w:val="231F20"/>
                <w:sz w:val="16"/>
              </w:rPr>
              <w:t>Annual</w:t>
              <w:tab/>
              <w:t>Single</w:t>
            </w:r>
          </w:p>
        </w:tc>
        <w:tc>
          <w:tcPr>
            <w:tcW w:w="1846" w:type="dxa"/>
            <w:tcBorders>
              <w:right w:val="single" w:sz="4" w:space="0" w:color="231F20"/>
            </w:tcBorders>
          </w:tcPr>
          <w:p>
            <w:pPr>
              <w:pStyle w:val="TableParagraph"/>
              <w:tabs>
                <w:tab w:pos="962" w:val="left" w:leader="none"/>
              </w:tabs>
              <w:spacing w:before="79"/>
              <w:ind w:left="222"/>
              <w:rPr>
                <w:sz w:val="16"/>
              </w:rPr>
            </w:pPr>
            <w:r>
              <w:rPr>
                <w:color w:val="231F20"/>
                <w:sz w:val="16"/>
              </w:rPr>
              <w:t>Annual</w:t>
              <w:tab/>
              <w:t>Single</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£40.00</w:t>
              <w:tab/>
              <w:t>£10.00</w:t>
            </w:r>
          </w:p>
        </w:tc>
        <w:tc>
          <w:tcPr>
            <w:tcW w:w="1821" w:type="dxa"/>
            <w:tcBorders>
              <w:right w:val="single" w:sz="2" w:space="0" w:color="231F20"/>
            </w:tcBorders>
          </w:tcPr>
          <w:p>
            <w:pPr>
              <w:pStyle w:val="TableParagraph"/>
              <w:tabs>
                <w:tab w:pos="1062" w:val="left" w:leader="none"/>
              </w:tabs>
              <w:spacing w:before="159"/>
              <w:ind w:left="118"/>
              <w:rPr>
                <w:sz w:val="16"/>
              </w:rPr>
            </w:pPr>
            <w:r>
              <w:rPr>
                <w:color w:val="231F20"/>
                <w:sz w:val="16"/>
              </w:rPr>
              <w:t>£12.00</w:t>
              <w:tab/>
              <w:t>£3.00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£40.00</w:t>
              <w:tab/>
              <w:t>£10.00</w:t>
            </w:r>
          </w:p>
        </w:tc>
        <w:tc>
          <w:tcPr>
            <w:tcW w:w="1846" w:type="dxa"/>
            <w:tcBorders>
              <w:right w:val="single" w:sz="4" w:space="0" w:color="231F20"/>
            </w:tcBorders>
          </w:tcPr>
          <w:p>
            <w:pPr>
              <w:pStyle w:val="TableParagraph"/>
              <w:tabs>
                <w:tab w:pos="1041" w:val="left" w:leader="none"/>
              </w:tabs>
              <w:spacing w:before="159"/>
              <w:ind w:left="262"/>
              <w:rPr>
                <w:sz w:val="16"/>
              </w:rPr>
            </w:pPr>
            <w:r>
              <w:rPr>
                <w:color w:val="231F20"/>
                <w:sz w:val="16"/>
              </w:rPr>
              <w:t>£12.00</w:t>
              <w:tab/>
              <w:t>£3.00</w:t>
            </w:r>
          </w:p>
        </w:tc>
      </w:tr>
      <w:tr>
        <w:trPr>
          <w:trHeight w:val="25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60" w:lineRule="exact" w:before="69"/>
              <w:ind w:left="188"/>
              <w:rPr>
                <w:i/>
                <w:sz w:val="16"/>
              </w:rPr>
            </w:pPr>
            <w:r>
              <w:rPr>
                <w:i/>
                <w:color w:val="231F20"/>
                <w:sz w:val="16"/>
              </w:rPr>
              <w:t>£27.00</w:t>
              <w:tab/>
              <w:t>£6.75</w:t>
            </w:r>
          </w:p>
        </w:tc>
        <w:tc>
          <w:tcPr>
            <w:tcW w:w="1821" w:type="dxa"/>
            <w:tcBorders>
              <w:right w:val="single" w:sz="2" w:space="0" w:color="231F20"/>
            </w:tcBorders>
          </w:tcPr>
          <w:p>
            <w:pPr>
              <w:pStyle w:val="TableParagraph"/>
              <w:tabs>
                <w:tab w:pos="1062" w:val="left" w:leader="none"/>
              </w:tabs>
              <w:spacing w:line="160" w:lineRule="exact" w:before="69"/>
              <w:ind w:left="198"/>
              <w:rPr>
                <w:i/>
                <w:sz w:val="16"/>
              </w:rPr>
            </w:pPr>
            <w:r>
              <w:rPr>
                <w:i/>
                <w:color w:val="231F20"/>
                <w:sz w:val="16"/>
              </w:rPr>
              <w:t>£8.00</w:t>
              <w:tab/>
              <w:t>£2.00</w:t>
            </w:r>
          </w:p>
        </w:tc>
        <w:tc>
          <w:tcPr>
            <w:tcW w:w="2100" w:type="dxa"/>
            <w:tcBorders>
              <w:left w:val="single" w:sz="2" w:space="0" w:color="231F20"/>
            </w:tcBorders>
          </w:tcPr>
          <w:p>
            <w:pPr>
              <w:pStyle w:val="TableParagraph"/>
              <w:tabs>
                <w:tab w:pos="1416" w:val="left" w:leader="none"/>
              </w:tabs>
              <w:spacing w:line="160" w:lineRule="exact" w:before="69"/>
              <w:ind w:left="519"/>
              <w:rPr>
                <w:i/>
                <w:sz w:val="16"/>
              </w:rPr>
            </w:pPr>
            <w:r>
              <w:rPr>
                <w:i/>
                <w:color w:val="231F20"/>
                <w:sz w:val="16"/>
              </w:rPr>
              <w:t>£27.00</w:t>
              <w:tab/>
              <w:t>£6.75</w:t>
            </w:r>
          </w:p>
        </w:tc>
        <w:tc>
          <w:tcPr>
            <w:tcW w:w="1846" w:type="dxa"/>
            <w:tcBorders>
              <w:right w:val="single" w:sz="4" w:space="0" w:color="231F20"/>
            </w:tcBorders>
          </w:tcPr>
          <w:p>
            <w:pPr>
              <w:pStyle w:val="TableParagraph"/>
              <w:tabs>
                <w:tab w:pos="1041" w:val="left" w:leader="none"/>
              </w:tabs>
              <w:spacing w:line="160" w:lineRule="exact" w:before="69"/>
              <w:ind w:left="302"/>
              <w:rPr>
                <w:i/>
                <w:sz w:val="16"/>
              </w:rPr>
            </w:pPr>
            <w:r>
              <w:rPr>
                <w:i/>
                <w:color w:val="231F20"/>
                <w:sz w:val="16"/>
              </w:rPr>
              <w:t>£8.00</w:t>
              <w:tab/>
              <w:t>£2.00</w:t>
            </w:r>
          </w:p>
        </w:tc>
      </w:tr>
      <w:tr>
        <w:trPr>
          <w:trHeight w:val="4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136" w:val="left" w:leader="none"/>
              </w:tabs>
              <w:spacing w:line="174" w:lineRule="exact"/>
              <w:ind w:left="188"/>
              <w:rPr>
                <w:i/>
                <w:sz w:val="16"/>
              </w:rPr>
            </w:pPr>
            <w:r>
              <w:rPr>
                <w:i/>
                <w:color w:val="231F20"/>
                <w:sz w:val="16"/>
              </w:rPr>
              <w:t>£14.00</w:t>
              <w:tab/>
              <w:t>£3.50</w:t>
            </w:r>
          </w:p>
        </w:tc>
        <w:tc>
          <w:tcPr>
            <w:tcW w:w="1821" w:type="dxa"/>
            <w:tcBorders>
              <w:right w:val="single" w:sz="2" w:space="0" w:color="231F20"/>
            </w:tcBorders>
          </w:tcPr>
          <w:p>
            <w:pPr>
              <w:pStyle w:val="TableParagraph"/>
              <w:tabs>
                <w:tab w:pos="1062" w:val="left" w:leader="none"/>
              </w:tabs>
              <w:spacing w:line="174" w:lineRule="exact"/>
              <w:ind w:left="198"/>
              <w:rPr>
                <w:i/>
                <w:sz w:val="16"/>
              </w:rPr>
            </w:pPr>
            <w:r>
              <w:rPr>
                <w:i/>
                <w:color w:val="231F20"/>
                <w:sz w:val="16"/>
              </w:rPr>
              <w:t>£4.50</w:t>
              <w:tab/>
              <w:t>£1.50</w:t>
            </w:r>
          </w:p>
        </w:tc>
        <w:tc>
          <w:tcPr>
            <w:tcW w:w="2100" w:type="dxa"/>
            <w:tcBorders>
              <w:left w:val="single" w:sz="2" w:space="0" w:color="231F20"/>
            </w:tcBorders>
          </w:tcPr>
          <w:p>
            <w:pPr>
              <w:pStyle w:val="TableParagraph"/>
              <w:tabs>
                <w:tab w:pos="1416" w:val="left" w:leader="none"/>
              </w:tabs>
              <w:spacing w:line="174" w:lineRule="exact"/>
              <w:ind w:left="519"/>
              <w:rPr>
                <w:i/>
                <w:sz w:val="16"/>
              </w:rPr>
            </w:pPr>
            <w:r>
              <w:rPr>
                <w:i/>
                <w:color w:val="231F20"/>
                <w:sz w:val="16"/>
              </w:rPr>
              <w:t>£14.00</w:t>
              <w:tab/>
              <w:t>£3.50</w:t>
            </w:r>
          </w:p>
        </w:tc>
        <w:tc>
          <w:tcPr>
            <w:tcW w:w="1846" w:type="dxa"/>
            <w:tcBorders>
              <w:right w:val="single" w:sz="4" w:space="0" w:color="231F20"/>
            </w:tcBorders>
          </w:tcPr>
          <w:p>
            <w:pPr>
              <w:pStyle w:val="TableParagraph"/>
              <w:tabs>
                <w:tab w:pos="1041" w:val="left" w:leader="none"/>
              </w:tabs>
              <w:spacing w:line="174" w:lineRule="exact"/>
              <w:ind w:left="302"/>
              <w:rPr>
                <w:i/>
                <w:sz w:val="16"/>
              </w:rPr>
            </w:pPr>
            <w:r>
              <w:rPr>
                <w:i/>
                <w:color w:val="231F20"/>
                <w:sz w:val="16"/>
              </w:rPr>
              <w:t>£4.50</w:t>
              <w:tab/>
              <w:t>£1.50</w:t>
            </w:r>
          </w:p>
        </w:tc>
      </w:tr>
      <w:tr>
        <w:trPr>
          <w:trHeight w:val="60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spacing w:before="8"/>
              <w:rPr>
                <w:sz w:val="21"/>
              </w:rPr>
            </w:pPr>
          </w:p>
          <w:p>
            <w:pPr>
              <w:pStyle w:val="TableParagraph"/>
              <w:tabs>
                <w:tab w:pos="1056" w:val="left" w:leader="none"/>
              </w:tabs>
              <w:ind w:left="188"/>
              <w:rPr>
                <w:sz w:val="16"/>
              </w:rPr>
            </w:pPr>
            <w:r>
              <w:rPr>
                <w:color w:val="231F20"/>
                <w:sz w:val="16"/>
              </w:rPr>
              <w:t>£48.00</w:t>
              <w:tab/>
              <w:t>£12.00</w:t>
            </w:r>
          </w:p>
        </w:tc>
        <w:tc>
          <w:tcPr>
            <w:tcW w:w="1821" w:type="dxa"/>
            <w:tcBorders>
              <w:right w:val="single" w:sz="2" w:space="0" w:color="231F20"/>
            </w:tcBorders>
          </w:tcPr>
          <w:p>
            <w:pPr>
              <w:pStyle w:val="TableParagraph"/>
              <w:spacing w:before="8"/>
              <w:rPr>
                <w:sz w:val="21"/>
              </w:rPr>
            </w:pPr>
          </w:p>
          <w:p>
            <w:pPr>
              <w:pStyle w:val="TableParagraph"/>
              <w:tabs>
                <w:tab w:pos="1063" w:val="left" w:leader="none"/>
              </w:tabs>
              <w:ind w:left="118"/>
              <w:rPr>
                <w:sz w:val="16"/>
              </w:rPr>
            </w:pPr>
            <w:r>
              <w:rPr>
                <w:color w:val="231F20"/>
                <w:sz w:val="16"/>
              </w:rPr>
              <w:t>£14.00</w:t>
              <w:tab/>
              <w:t>£3.50</w:t>
            </w:r>
          </w:p>
        </w:tc>
        <w:tc>
          <w:tcPr>
            <w:tcW w:w="2100" w:type="dxa"/>
            <w:tcBorders>
              <w:left w:val="single" w:sz="2" w:space="0" w:color="231F20"/>
            </w:tcBorders>
          </w:tcPr>
          <w:p>
            <w:pPr>
              <w:pStyle w:val="TableParagraph"/>
              <w:spacing w:before="8"/>
              <w:rPr>
                <w:sz w:val="21"/>
              </w:rPr>
            </w:pPr>
          </w:p>
          <w:p>
            <w:pPr>
              <w:pStyle w:val="TableParagraph"/>
              <w:tabs>
                <w:tab w:pos="1376" w:val="left" w:leader="none"/>
              </w:tabs>
              <w:ind w:left="519"/>
              <w:rPr>
                <w:sz w:val="16"/>
              </w:rPr>
            </w:pPr>
            <w:r>
              <w:rPr>
                <w:color w:val="231F20"/>
                <w:sz w:val="16"/>
              </w:rPr>
              <w:t>£48.00</w:t>
              <w:tab/>
              <w:t>£12.00</w:t>
            </w:r>
          </w:p>
        </w:tc>
        <w:tc>
          <w:tcPr>
            <w:tcW w:w="1846" w:type="dxa"/>
            <w:tcBorders>
              <w:right w:val="single" w:sz="4" w:space="0" w:color="231F20"/>
            </w:tcBorders>
          </w:tcPr>
          <w:p>
            <w:pPr>
              <w:pStyle w:val="TableParagraph"/>
              <w:spacing w:before="8"/>
              <w:rPr>
                <w:sz w:val="21"/>
              </w:rPr>
            </w:pPr>
          </w:p>
          <w:p>
            <w:pPr>
              <w:pStyle w:val="TableParagraph"/>
              <w:tabs>
                <w:tab w:pos="1042" w:val="left" w:leader="none"/>
              </w:tabs>
              <w:ind w:left="262"/>
              <w:rPr>
                <w:sz w:val="16"/>
              </w:rPr>
            </w:pPr>
            <w:r>
              <w:rPr>
                <w:color w:val="231F20"/>
                <w:sz w:val="16"/>
              </w:rPr>
              <w:t>£14.00</w:t>
              <w:tab/>
              <w:t>£3.50</w:t>
            </w:r>
          </w:p>
        </w:tc>
      </w:tr>
      <w:tr>
        <w:trPr>
          <w:trHeight w:val="42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159"/>
              <w:ind w:left="188"/>
              <w:rPr>
                <w:sz w:val="16"/>
              </w:rPr>
            </w:pPr>
            <w:r>
              <w:rPr>
                <w:color w:val="231F20"/>
                <w:sz w:val="16"/>
              </w:rPr>
              <w:t>£48.00</w:t>
              <w:tab/>
              <w:t>£12.00</w:t>
            </w:r>
          </w:p>
        </w:tc>
        <w:tc>
          <w:tcPr>
            <w:tcW w:w="1821" w:type="dxa"/>
            <w:tcBorders>
              <w:right w:val="single" w:sz="2" w:space="0" w:color="231F20"/>
            </w:tcBorders>
          </w:tcPr>
          <w:p>
            <w:pPr>
              <w:pStyle w:val="TableParagraph"/>
              <w:tabs>
                <w:tab w:pos="1063" w:val="left" w:leader="none"/>
              </w:tabs>
              <w:spacing w:before="159"/>
              <w:ind w:left="118"/>
              <w:rPr>
                <w:sz w:val="16"/>
              </w:rPr>
            </w:pPr>
            <w:r>
              <w:rPr>
                <w:color w:val="231F20"/>
                <w:sz w:val="16"/>
              </w:rPr>
              <w:t>£14.00</w:t>
              <w:tab/>
              <w:t>£3.50</w:t>
            </w:r>
          </w:p>
        </w:tc>
        <w:tc>
          <w:tcPr>
            <w:tcW w:w="2100" w:type="dxa"/>
            <w:tcBorders>
              <w:left w:val="single" w:sz="2" w:space="0" w:color="231F20"/>
            </w:tcBorders>
          </w:tcPr>
          <w:p>
            <w:pPr>
              <w:pStyle w:val="TableParagraph"/>
              <w:tabs>
                <w:tab w:pos="1376" w:val="left" w:leader="none"/>
              </w:tabs>
              <w:spacing w:before="159"/>
              <w:ind w:left="519"/>
              <w:rPr>
                <w:sz w:val="16"/>
              </w:rPr>
            </w:pPr>
            <w:r>
              <w:rPr>
                <w:color w:val="231F20"/>
                <w:sz w:val="16"/>
              </w:rPr>
              <w:t>£48.00</w:t>
              <w:tab/>
              <w:t>£12.00</w:t>
            </w:r>
          </w:p>
        </w:tc>
        <w:tc>
          <w:tcPr>
            <w:tcW w:w="1846" w:type="dxa"/>
            <w:tcBorders>
              <w:right w:val="single" w:sz="4" w:space="0" w:color="231F20"/>
            </w:tcBorders>
          </w:tcPr>
          <w:p>
            <w:pPr>
              <w:pStyle w:val="TableParagraph"/>
              <w:tabs>
                <w:tab w:pos="1042" w:val="left" w:leader="none"/>
              </w:tabs>
              <w:spacing w:before="159"/>
              <w:ind w:left="262"/>
              <w:rPr>
                <w:sz w:val="16"/>
              </w:rPr>
            </w:pPr>
            <w:r>
              <w:rPr>
                <w:color w:val="231F20"/>
                <w:sz w:val="16"/>
              </w:rPr>
              <w:t>£14.00</w:t>
              <w:tab/>
              <w:t>£3.50</w:t>
            </w:r>
          </w:p>
        </w:tc>
      </w:tr>
      <w:tr>
        <w:trPr>
          <w:trHeight w:val="330"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tcBorders>
          </w:tcPr>
          <w:p>
            <w:pPr>
              <w:pStyle w:val="TableParagraph"/>
              <w:tabs>
                <w:tab w:pos="1056" w:val="left" w:leader="none"/>
              </w:tabs>
              <w:spacing w:before="69"/>
              <w:ind w:left="188"/>
              <w:rPr>
                <w:sz w:val="16"/>
              </w:rPr>
            </w:pPr>
            <w:r>
              <w:rPr>
                <w:color w:val="231F20"/>
                <w:sz w:val="16"/>
              </w:rPr>
              <w:t>£64.00</w:t>
              <w:tab/>
              <w:t>£16.00</w:t>
            </w:r>
          </w:p>
        </w:tc>
        <w:tc>
          <w:tcPr>
            <w:tcW w:w="1821" w:type="dxa"/>
            <w:tcBorders>
              <w:right w:val="single" w:sz="2" w:space="0" w:color="231F20"/>
            </w:tcBorders>
          </w:tcPr>
          <w:p>
            <w:pPr>
              <w:pStyle w:val="TableParagraph"/>
              <w:tabs>
                <w:tab w:pos="1062" w:val="left" w:leader="none"/>
              </w:tabs>
              <w:spacing w:before="69"/>
              <w:ind w:left="118"/>
              <w:rPr>
                <w:sz w:val="16"/>
              </w:rPr>
            </w:pPr>
            <w:r>
              <w:rPr>
                <w:color w:val="231F20"/>
                <w:sz w:val="16"/>
              </w:rPr>
              <w:t>£21.00</w:t>
              <w:tab/>
              <w:t>£5.25</w:t>
            </w:r>
          </w:p>
        </w:tc>
        <w:tc>
          <w:tcPr>
            <w:tcW w:w="2100" w:type="dxa"/>
            <w:tcBorders>
              <w:left w:val="single" w:sz="2" w:space="0" w:color="231F20"/>
            </w:tcBorders>
          </w:tcPr>
          <w:p>
            <w:pPr>
              <w:pStyle w:val="TableParagraph"/>
              <w:tabs>
                <w:tab w:pos="1376" w:val="left" w:leader="none"/>
              </w:tabs>
              <w:spacing w:before="69"/>
              <w:ind w:left="519"/>
              <w:rPr>
                <w:sz w:val="16"/>
              </w:rPr>
            </w:pPr>
            <w:r>
              <w:rPr>
                <w:color w:val="231F20"/>
                <w:sz w:val="16"/>
              </w:rPr>
              <w:t>£64.00</w:t>
              <w:tab/>
              <w:t>£16.00</w:t>
            </w:r>
          </w:p>
        </w:tc>
        <w:tc>
          <w:tcPr>
            <w:tcW w:w="1846" w:type="dxa"/>
            <w:tcBorders>
              <w:right w:val="single" w:sz="4" w:space="0" w:color="231F20"/>
            </w:tcBorders>
          </w:tcPr>
          <w:p>
            <w:pPr>
              <w:pStyle w:val="TableParagraph"/>
              <w:tabs>
                <w:tab w:pos="1041" w:val="left" w:leader="none"/>
              </w:tabs>
              <w:spacing w:before="69"/>
              <w:ind w:left="262"/>
              <w:rPr>
                <w:sz w:val="16"/>
              </w:rPr>
            </w:pPr>
            <w:r>
              <w:rPr>
                <w:color w:val="231F20"/>
                <w:sz w:val="16"/>
              </w:rPr>
              <w:t>£21.00</w:t>
              <w:tab/>
              <w:t>£5.25</w:t>
            </w:r>
          </w:p>
        </w:tc>
      </w:tr>
      <w:tr>
        <w:trPr>
          <w:trHeight w:val="347" w:hRule="atLeast"/>
        </w:trPr>
        <w:tc>
          <w:tcPr>
            <w:tcW w:w="1949" w:type="dxa"/>
            <w:vMerge/>
            <w:tcBorders>
              <w:top w:val="nil"/>
              <w:left w:val="single" w:sz="4" w:space="0" w:color="231F20"/>
              <w:bottom w:val="single" w:sz="4" w:space="0" w:color="231F20"/>
              <w:right w:val="single" w:sz="2" w:space="0" w:color="231F20"/>
            </w:tcBorders>
          </w:tcPr>
          <w:p>
            <w:pPr>
              <w:rPr>
                <w:sz w:val="2"/>
                <w:szCs w:val="2"/>
              </w:rPr>
            </w:pPr>
          </w:p>
        </w:tc>
        <w:tc>
          <w:tcPr>
            <w:tcW w:w="1848" w:type="dxa"/>
            <w:tcBorders>
              <w:left w:val="single" w:sz="2" w:space="0" w:color="231F20"/>
              <w:bottom w:val="single" w:sz="4" w:space="0" w:color="231F20"/>
            </w:tcBorders>
          </w:tcPr>
          <w:p>
            <w:pPr>
              <w:pStyle w:val="TableParagraph"/>
              <w:tabs>
                <w:tab w:pos="1056" w:val="left" w:leader="none"/>
              </w:tabs>
              <w:spacing w:before="69"/>
              <w:ind w:left="188"/>
              <w:rPr>
                <w:sz w:val="16"/>
              </w:rPr>
            </w:pPr>
            <w:r>
              <w:rPr>
                <w:color w:val="231F20"/>
                <w:sz w:val="16"/>
              </w:rPr>
              <w:t>£66.00</w:t>
              <w:tab/>
              <w:t>£16.50</w:t>
            </w:r>
          </w:p>
        </w:tc>
        <w:tc>
          <w:tcPr>
            <w:tcW w:w="1821" w:type="dxa"/>
            <w:tcBorders>
              <w:bottom w:val="single" w:sz="4" w:space="0" w:color="231F20"/>
              <w:right w:val="single" w:sz="2" w:space="0" w:color="231F20"/>
            </w:tcBorders>
          </w:tcPr>
          <w:p>
            <w:pPr>
              <w:pStyle w:val="TableParagraph"/>
              <w:tabs>
                <w:tab w:pos="1062" w:val="left" w:leader="none"/>
              </w:tabs>
              <w:spacing w:before="69"/>
              <w:ind w:left="118"/>
              <w:rPr>
                <w:sz w:val="16"/>
              </w:rPr>
            </w:pPr>
            <w:r>
              <w:rPr>
                <w:color w:val="231F20"/>
                <w:sz w:val="16"/>
              </w:rPr>
              <w:t>£22.00</w:t>
              <w:tab/>
              <w:t>£5.50</w:t>
            </w:r>
          </w:p>
        </w:tc>
        <w:tc>
          <w:tcPr>
            <w:tcW w:w="2100" w:type="dxa"/>
            <w:tcBorders>
              <w:left w:val="single" w:sz="2" w:space="0" w:color="231F20"/>
              <w:bottom w:val="single" w:sz="4" w:space="0" w:color="231F20"/>
            </w:tcBorders>
          </w:tcPr>
          <w:p>
            <w:pPr>
              <w:pStyle w:val="TableParagraph"/>
              <w:tabs>
                <w:tab w:pos="1376" w:val="left" w:leader="none"/>
              </w:tabs>
              <w:spacing w:before="69"/>
              <w:ind w:left="519"/>
              <w:rPr>
                <w:sz w:val="16"/>
              </w:rPr>
            </w:pPr>
            <w:r>
              <w:rPr>
                <w:color w:val="231F20"/>
                <w:sz w:val="16"/>
              </w:rPr>
              <w:t>£66.00</w:t>
              <w:tab/>
              <w:t>£16.50</w:t>
            </w:r>
          </w:p>
        </w:tc>
        <w:tc>
          <w:tcPr>
            <w:tcW w:w="1846" w:type="dxa"/>
            <w:tcBorders>
              <w:bottom w:val="single" w:sz="4" w:space="0" w:color="231F20"/>
              <w:right w:val="single" w:sz="4" w:space="0" w:color="231F20"/>
            </w:tcBorders>
          </w:tcPr>
          <w:p>
            <w:pPr>
              <w:pStyle w:val="TableParagraph"/>
              <w:tabs>
                <w:tab w:pos="1041" w:val="left" w:leader="none"/>
              </w:tabs>
              <w:spacing w:before="69"/>
              <w:ind w:left="262"/>
              <w:rPr>
                <w:sz w:val="16"/>
              </w:rPr>
            </w:pPr>
            <w:r>
              <w:rPr>
                <w:color w:val="231F20"/>
                <w:sz w:val="16"/>
              </w:rPr>
              <w:t>£22.00</w:t>
              <w:tab/>
              <w:t>£5.50</w:t>
            </w:r>
          </w:p>
        </w:tc>
      </w:tr>
    </w:tbl>
    <w:p>
      <w:pPr>
        <w:pStyle w:val="ListParagraph"/>
        <w:numPr>
          <w:ilvl w:val="0"/>
          <w:numId w:val="44"/>
        </w:numPr>
        <w:tabs>
          <w:tab w:pos="346" w:val="left" w:leader="none"/>
        </w:tabs>
        <w:spacing w:line="150" w:lineRule="exact" w:before="11" w:after="0"/>
        <w:ind w:left="345" w:right="0" w:hanging="225"/>
        <w:jc w:val="left"/>
        <w:rPr>
          <w:sz w:val="14"/>
        </w:rPr>
      </w:pPr>
      <w:r>
        <w:rPr>
          <w:color w:val="231F20"/>
          <w:sz w:val="14"/>
        </w:rPr>
        <w:t>There is a 25% discount if five copies or more are purchased.</w:t>
      </w:r>
    </w:p>
    <w:p>
      <w:pPr>
        <w:pStyle w:val="ListParagraph"/>
        <w:numPr>
          <w:ilvl w:val="0"/>
          <w:numId w:val="44"/>
        </w:numPr>
        <w:tabs>
          <w:tab w:pos="346" w:val="left" w:leader="none"/>
        </w:tabs>
        <w:spacing w:line="208" w:lineRule="auto" w:before="6" w:after="0"/>
        <w:ind w:left="345" w:right="405" w:hanging="224"/>
        <w:jc w:val="left"/>
        <w:rPr>
          <w:sz w:val="14"/>
        </w:rPr>
      </w:pPr>
      <w:r>
        <w:rPr>
          <w:color w:val="231F20"/>
          <w:sz w:val="14"/>
        </w:rPr>
        <w:t>Subscribers who wish to collect their copy(ies) of the </w:t>
      </w:r>
      <w:r>
        <w:rPr>
          <w:i/>
          <w:color w:val="231F20"/>
          <w:sz w:val="14"/>
        </w:rPr>
        <w:t>Bulletin </w:t>
      </w:r>
      <w:r>
        <w:rPr>
          <w:color w:val="231F20"/>
          <w:sz w:val="14"/>
        </w:rPr>
        <w:t>and/or </w:t>
      </w:r>
      <w:r>
        <w:rPr>
          <w:i/>
          <w:color w:val="231F20"/>
          <w:sz w:val="14"/>
        </w:rPr>
        <w:t>Inflation Report </w:t>
      </w:r>
      <w:r>
        <w:rPr>
          <w:color w:val="231F20"/>
          <w:sz w:val="14"/>
        </w:rPr>
        <w:t>may make arrangements to do so by writing to the address given below. Copies will </w:t>
      </w:r>
      <w:r>
        <w:rPr>
          <w:color w:val="231F20"/>
          <w:spacing w:val="-7"/>
          <w:sz w:val="14"/>
        </w:rPr>
        <w:t>be </w:t>
      </w:r>
      <w:r>
        <w:rPr>
          <w:color w:val="231F20"/>
          <w:sz w:val="14"/>
        </w:rPr>
        <w:t>available to personal callers at the Bank from 10.30 am on the day of issue and from 8.30 am on the following day.</w:t>
      </w:r>
    </w:p>
    <w:p>
      <w:pPr>
        <w:pStyle w:val="ListParagraph"/>
        <w:numPr>
          <w:ilvl w:val="0"/>
          <w:numId w:val="44"/>
        </w:numPr>
        <w:tabs>
          <w:tab w:pos="346" w:val="left" w:leader="none"/>
        </w:tabs>
        <w:spacing w:line="133" w:lineRule="exact" w:before="0" w:after="0"/>
        <w:ind w:left="345" w:right="0" w:hanging="225"/>
        <w:jc w:val="left"/>
        <w:rPr>
          <w:sz w:val="14"/>
        </w:rPr>
      </w:pPr>
      <w:r>
        <w:rPr>
          <w:color w:val="231F20"/>
          <w:sz w:val="14"/>
        </w:rPr>
        <w:t>All other countries other than those in Zone 2.</w:t>
      </w:r>
    </w:p>
    <w:p>
      <w:pPr>
        <w:pStyle w:val="ListParagraph"/>
        <w:numPr>
          <w:ilvl w:val="0"/>
          <w:numId w:val="44"/>
        </w:numPr>
        <w:tabs>
          <w:tab w:pos="346" w:val="left" w:leader="none"/>
        </w:tabs>
        <w:spacing w:line="150" w:lineRule="exact" w:before="0" w:after="0"/>
        <w:ind w:left="345" w:right="0" w:hanging="225"/>
        <w:jc w:val="left"/>
        <w:rPr>
          <w:sz w:val="14"/>
        </w:rPr>
      </w:pPr>
      <w:r>
        <w:rPr>
          <w:color w:val="231F20"/>
          <w:sz w:val="14"/>
        </w:rPr>
        <w:t>Australasia, Japan, China, The Philippines and Korea.</w:t>
      </w:r>
    </w:p>
    <w:p>
      <w:pPr>
        <w:spacing w:line="249" w:lineRule="auto" w:before="143"/>
        <w:ind w:left="105" w:right="137" w:firstLine="0"/>
        <w:jc w:val="left"/>
        <w:rPr>
          <w:sz w:val="20"/>
        </w:rPr>
      </w:pPr>
      <w:r>
        <w:rPr>
          <w:color w:val="231F20"/>
          <w:sz w:val="20"/>
        </w:rPr>
        <w:t>Readers who wish to become </w:t>
      </w:r>
      <w:r>
        <w:rPr>
          <w:b/>
          <w:color w:val="231F20"/>
          <w:sz w:val="20"/>
        </w:rPr>
        <w:t>regular subscribers</w:t>
      </w:r>
      <w:r>
        <w:rPr>
          <w:color w:val="231F20"/>
          <w:sz w:val="20"/>
        </w:rPr>
        <w:t>, or who wish to purchase single copies, should send to the Bank, at the address given below, the appropriate remittance, payable to the Bank of England, together with full address details, including the name, or position, of recipients in companies or institutions.  Existing subscribers will be invited to renew their subscriptions automatically. Copies of the above publications can also be obtained over the counter at the Bank’s front </w:t>
      </w:r>
      <w:r>
        <w:rPr>
          <w:color w:val="231F20"/>
          <w:spacing w:val="-4"/>
          <w:sz w:val="20"/>
        </w:rPr>
        <w:t>entrance </w:t>
      </w:r>
      <w:r>
        <w:rPr>
          <w:color w:val="231F20"/>
          <w:sz w:val="20"/>
        </w:rPr>
        <w:t>or at the Bank Museum in Bartholomew Lane; and copies of the most recent </w:t>
      </w:r>
      <w:r>
        <w:rPr>
          <w:i/>
          <w:color w:val="231F20"/>
          <w:sz w:val="20"/>
        </w:rPr>
        <w:t>Inflation Report </w:t>
      </w:r>
      <w:r>
        <w:rPr>
          <w:color w:val="231F20"/>
          <w:sz w:val="20"/>
        </w:rPr>
        <w:t>are on sale at selected</w:t>
      </w:r>
      <w:r>
        <w:rPr>
          <w:color w:val="231F20"/>
          <w:spacing w:val="-2"/>
          <w:sz w:val="20"/>
        </w:rPr>
        <w:t> </w:t>
      </w:r>
      <w:r>
        <w:rPr>
          <w:color w:val="231F20"/>
          <w:sz w:val="20"/>
        </w:rPr>
        <w:t>bookshops.</w:t>
      </w:r>
    </w:p>
    <w:p>
      <w:pPr>
        <w:spacing w:line="249" w:lineRule="auto" w:before="184"/>
        <w:ind w:left="105" w:right="137" w:firstLine="0"/>
        <w:jc w:val="left"/>
        <w:rPr>
          <w:sz w:val="20"/>
        </w:rPr>
      </w:pPr>
      <w:r>
        <w:rPr>
          <w:color w:val="231F20"/>
          <w:sz w:val="20"/>
        </w:rPr>
        <w:t>The </w:t>
      </w:r>
      <w:r>
        <w:rPr>
          <w:b/>
          <w:color w:val="231F20"/>
          <w:sz w:val="20"/>
        </w:rPr>
        <w:t>concessionary rates </w:t>
      </w:r>
      <w:r>
        <w:rPr>
          <w:color w:val="231F20"/>
          <w:sz w:val="20"/>
        </w:rPr>
        <w:t>for the combined </w:t>
      </w:r>
      <w:r>
        <w:rPr>
          <w:i/>
          <w:color w:val="231F20"/>
          <w:sz w:val="20"/>
        </w:rPr>
        <w:t>Quarterly Bulletin/Inflation Report </w:t>
      </w:r>
      <w:r>
        <w:rPr>
          <w:color w:val="231F20"/>
          <w:sz w:val="20"/>
        </w:rPr>
        <w:t>package and the separate </w:t>
      </w:r>
      <w:r>
        <w:rPr>
          <w:i/>
          <w:color w:val="231F20"/>
          <w:sz w:val="20"/>
        </w:rPr>
        <w:t>Inflation Report </w:t>
      </w:r>
      <w:r>
        <w:rPr>
          <w:color w:val="231F20"/>
          <w:sz w:val="20"/>
        </w:rPr>
        <w:t>are noted above in </w:t>
      </w:r>
      <w:r>
        <w:rPr>
          <w:i/>
          <w:color w:val="231F20"/>
          <w:sz w:val="20"/>
        </w:rPr>
        <w:t>italics</w:t>
      </w:r>
      <w:r>
        <w:rPr>
          <w:color w:val="231F20"/>
          <w:sz w:val="20"/>
        </w:rPr>
        <w:t>. </w:t>
      </w:r>
      <w:r>
        <w:rPr>
          <w:b/>
          <w:color w:val="231F20"/>
          <w:sz w:val="20"/>
        </w:rPr>
        <w:t>Academics at UK institutions </w:t>
      </w:r>
      <w:r>
        <w:rPr>
          <w:color w:val="231F20"/>
          <w:sz w:val="20"/>
        </w:rPr>
        <w:t>of further and higher education are now entitled to a concessionary rate. They should apply on their institution’s note paper giving details of their current post.</w:t>
      </w:r>
    </w:p>
    <w:p>
      <w:pPr>
        <w:spacing w:line="249" w:lineRule="auto" w:before="183"/>
        <w:ind w:left="105" w:right="137" w:firstLine="0"/>
        <w:jc w:val="left"/>
        <w:rPr>
          <w:sz w:val="20"/>
        </w:rPr>
      </w:pPr>
      <w:r>
        <w:rPr>
          <w:color w:val="231F20"/>
          <w:sz w:val="20"/>
        </w:rPr>
        <w:t>S</w:t>
      </w:r>
      <w:r>
        <w:rPr>
          <w:b/>
          <w:color w:val="231F20"/>
          <w:sz w:val="20"/>
        </w:rPr>
        <w:t>tudents and secondary schools in the United Kingdom </w:t>
      </w:r>
      <w:r>
        <w:rPr>
          <w:color w:val="231F20"/>
          <w:sz w:val="20"/>
        </w:rPr>
        <w:t>are also entitled to a concessionary rate. Requests for concessionary copies should be accompanied by an explanatory letter: students should provide details of their course and the institution at which they are studying.</w:t>
      </w:r>
    </w:p>
    <w:p>
      <w:pPr>
        <w:spacing w:line="249" w:lineRule="auto" w:before="182"/>
        <w:ind w:left="105" w:right="163" w:firstLine="0"/>
        <w:jc w:val="left"/>
        <w:rPr>
          <w:sz w:val="20"/>
        </w:rPr>
      </w:pPr>
      <w:r>
        <w:rPr>
          <w:color w:val="231F20"/>
          <w:sz w:val="20"/>
        </w:rPr>
        <w:t>The </w:t>
      </w:r>
      <w:r>
        <w:rPr>
          <w:i/>
          <w:color w:val="231F20"/>
          <w:sz w:val="20"/>
        </w:rPr>
        <w:t>Quarterly Bulletin </w:t>
      </w:r>
      <w:r>
        <w:rPr>
          <w:color w:val="231F20"/>
          <w:sz w:val="20"/>
        </w:rPr>
        <w:t>is also available on microfilm: enquiries from customers in Japan and North and South America should be addressed to University Microfilms International, 300 North Zeeb Road, Ann Arbor, Michigan 48106, United States of America; customers from all other countries should apply to White Swan House, Godstone, Surrey, RH9 8LW, telephone 01444 445000.</w:t>
      </w:r>
    </w:p>
    <w:p>
      <w:pPr>
        <w:spacing w:line="249" w:lineRule="auto" w:before="183"/>
        <w:ind w:left="105" w:right="663" w:firstLine="0"/>
        <w:jc w:val="both"/>
        <w:rPr>
          <w:sz w:val="20"/>
        </w:rPr>
      </w:pPr>
      <w:r>
        <w:rPr>
          <w:color w:val="231F20"/>
          <w:sz w:val="20"/>
        </w:rPr>
        <w:t>Bound volumes of the </w:t>
      </w:r>
      <w:r>
        <w:rPr>
          <w:i/>
          <w:color w:val="231F20"/>
          <w:sz w:val="20"/>
        </w:rPr>
        <w:t>Quarterly Bulletin </w:t>
      </w:r>
      <w:r>
        <w:rPr>
          <w:color w:val="231F20"/>
          <w:sz w:val="20"/>
        </w:rPr>
        <w:t>for the period 1960 to 1985 (in reprint form for the period 1960 to 1980) can be obtained from Schmidt Periodicals GmbH, Dettendorf, D-83075 Bad Feilnbach 2, Germany, at a price of DM 180.00 per volume or DM 4,100.00 per set.</w:t>
      </w:r>
    </w:p>
    <w:p>
      <w:pPr>
        <w:pStyle w:val="BodyText"/>
        <w:spacing w:before="7"/>
        <w:rPr>
          <w:sz w:val="17"/>
        </w:rPr>
      </w:pPr>
    </w:p>
    <w:p>
      <w:pPr>
        <w:spacing w:line="249" w:lineRule="auto" w:before="0"/>
        <w:ind w:left="105" w:right="1039" w:firstLine="0"/>
        <w:jc w:val="left"/>
        <w:rPr>
          <w:b/>
          <w:sz w:val="20"/>
        </w:rPr>
      </w:pPr>
      <w:r>
        <w:rPr>
          <w:b/>
          <w:color w:val="231F20"/>
          <w:sz w:val="18"/>
        </w:rPr>
        <w:t>I</w:t>
      </w:r>
      <w:r>
        <w:rPr>
          <w:b/>
          <w:color w:val="231F20"/>
          <w:sz w:val="20"/>
        </w:rPr>
        <w:t>ssued by the Publications Group, Inflation Report Division, Bank of England, London, EC2R 8AH; </w:t>
      </w:r>
      <w:hyperlink r:id="rId114">
        <w:r>
          <w:rPr>
            <w:b/>
            <w:color w:val="231F20"/>
            <w:sz w:val="20"/>
          </w:rPr>
          <w:t>telephone 0171-601 4030; email mapublications@bankofengland.co.uk.</w:t>
        </w:r>
      </w:hyperlink>
      <w:r>
        <w:rPr>
          <w:b/>
          <w:color w:val="231F20"/>
          <w:sz w:val="20"/>
        </w:rPr>
        <w:t> The Bank’s Internet pages are at</w:t>
      </w:r>
    </w:p>
    <w:p>
      <w:pPr>
        <w:spacing w:line="228" w:lineRule="exact" w:before="2"/>
        <w:ind w:left="105" w:right="0" w:firstLine="0"/>
        <w:jc w:val="left"/>
        <w:rPr>
          <w:b/>
          <w:sz w:val="20"/>
        </w:rPr>
      </w:pPr>
      <w:hyperlink r:id="rId115">
        <w:r>
          <w:rPr>
            <w:b/>
            <w:color w:val="231F20"/>
            <w:sz w:val="20"/>
          </w:rPr>
          <w:t>http://www.bankofengland.co.uk.</w:t>
        </w:r>
      </w:hyperlink>
      <w:r>
        <w:rPr>
          <w:b/>
          <w:color w:val="231F20"/>
          <w:sz w:val="20"/>
        </w:rPr>
        <w:t> General enquiries about the Bank of England should be made to 0171-601 4444.</w:t>
      </w:r>
    </w:p>
    <w:p>
      <w:pPr>
        <w:pStyle w:val="BodyText"/>
        <w:tabs>
          <w:tab w:pos="10264" w:val="left" w:leader="none"/>
        </w:tabs>
        <w:spacing w:line="190" w:lineRule="exact"/>
        <w:ind w:left="105"/>
      </w:pPr>
      <w:r>
        <w:rPr>
          <w:rFonts w:ascii="Wingdings" w:hAnsi="Wingdings"/>
          <w:color w:val="231F20"/>
        </w:rPr>
        <w:t></w:t>
      </w:r>
      <w:r>
        <w:rPr>
          <w:color w:val="231F20"/>
          <w:spacing w:val="36"/>
        </w:rPr>
        <w:t> </w:t>
      </w:r>
      <w:r>
        <w:rPr>
          <w:rFonts w:ascii="Wingdings" w:hAnsi="Wingdings"/>
          <w:color w:val="231F20"/>
          <w:u w:val="dotted" w:color="231F20"/>
        </w:rPr>
        <w:t></w:t>
      </w:r>
      <w:r>
        <w:rPr>
          <w:color w:val="231F20"/>
          <w:u w:val="dotted" w:color="231F20"/>
        </w:rPr>
        <w:tab/>
      </w:r>
    </w:p>
    <w:p>
      <w:pPr>
        <w:tabs>
          <w:tab w:pos="1052" w:val="left" w:leader="none"/>
          <w:tab w:pos="5567" w:val="left" w:leader="none"/>
          <w:tab w:pos="5825" w:val="left" w:leader="none"/>
        </w:tabs>
        <w:spacing w:line="195" w:lineRule="exact" w:before="42"/>
        <w:ind w:left="105" w:right="0" w:firstLine="0"/>
        <w:jc w:val="left"/>
        <w:rPr>
          <w:i/>
          <w:sz w:val="20"/>
        </w:rPr>
      </w:pPr>
      <w:r>
        <w:rPr>
          <w:color w:val="231F20"/>
          <w:sz w:val="20"/>
        </w:rPr>
        <w:t>Name:</w:t>
        <w:tab/>
      </w:r>
      <w:r>
        <w:rPr>
          <w:color w:val="231F20"/>
          <w:sz w:val="20"/>
          <w:u w:val="dotted" w:color="231F20"/>
        </w:rPr>
        <w:t> </w:t>
        <w:tab/>
      </w:r>
      <w:r>
        <w:rPr>
          <w:color w:val="231F20"/>
          <w:sz w:val="20"/>
        </w:rPr>
        <w:tab/>
        <w:t>Publication:  </w:t>
      </w:r>
      <w:r>
        <w:rPr>
          <w:i/>
          <w:color w:val="231F20"/>
          <w:sz w:val="20"/>
        </w:rPr>
        <w:t>Inflation Report </w:t>
      </w:r>
      <w:r>
        <w:rPr>
          <w:color w:val="231F20"/>
          <w:sz w:val="20"/>
        </w:rPr>
        <w:t>and/or </w:t>
      </w:r>
      <w:r>
        <w:rPr>
          <w:i/>
          <w:color w:val="231F20"/>
          <w:sz w:val="20"/>
        </w:rPr>
        <w:t>Quarterly</w:t>
      </w:r>
      <w:r>
        <w:rPr>
          <w:i/>
          <w:color w:val="231F20"/>
          <w:spacing w:val="-2"/>
          <w:sz w:val="20"/>
        </w:rPr>
        <w:t> </w:t>
      </w:r>
      <w:r>
        <w:rPr>
          <w:i/>
          <w:color w:val="231F20"/>
          <w:sz w:val="20"/>
        </w:rPr>
        <w:t>Bulletin</w:t>
      </w:r>
    </w:p>
    <w:p>
      <w:pPr>
        <w:spacing w:line="195" w:lineRule="exact" w:before="0"/>
        <w:ind w:left="5975" w:right="0" w:firstLine="0"/>
        <w:jc w:val="left"/>
        <w:rPr>
          <w:sz w:val="20"/>
        </w:rPr>
      </w:pPr>
      <w:r>
        <w:rPr>
          <w:color w:val="231F20"/>
          <w:sz w:val="20"/>
        </w:rPr>
        <w:t>package (delete as appropriate)</w:t>
      </w:r>
    </w:p>
    <w:p>
      <w:pPr>
        <w:tabs>
          <w:tab w:pos="1084" w:val="left" w:leader="none"/>
          <w:tab w:pos="5479" w:val="left" w:leader="none"/>
          <w:tab w:pos="5865" w:val="left" w:leader="none"/>
        </w:tabs>
        <w:spacing w:line="168" w:lineRule="auto" w:before="146"/>
        <w:ind w:left="105" w:right="3123" w:firstLine="0"/>
        <w:jc w:val="left"/>
        <w:rPr>
          <w:sz w:val="20"/>
        </w:rPr>
      </w:pPr>
      <w:r>
        <w:rPr/>
        <w:pict>
          <v:rect style="position:absolute;margin-left:434.5pt;margin-top:15.455159pt;width:91pt;height:17pt;mso-position-horizontal-relative:page;mso-position-vertical-relative:paragraph;z-index:16043520" filled="false" stroked="true" strokeweight="1pt" strokecolor="#231f20">
            <v:stroke dashstyle="solid"/>
            <w10:wrap type="none"/>
          </v:rect>
        </w:pict>
      </w:r>
      <w:r>
        <w:rPr>
          <w:color w:val="231F20"/>
          <w:sz w:val="20"/>
        </w:rPr>
        <w:t>Position:</w:t>
        <w:tab/>
      </w:r>
      <w:r>
        <w:rPr>
          <w:color w:val="231F20"/>
          <w:sz w:val="20"/>
          <w:u w:val="dotted" w:color="231F20"/>
        </w:rPr>
        <w:t> </w:t>
        <w:tab/>
      </w:r>
      <w:r>
        <w:rPr>
          <w:color w:val="231F20"/>
          <w:sz w:val="20"/>
        </w:rPr>
        <w:tab/>
        <w:t>Number of </w:t>
      </w:r>
      <w:r>
        <w:rPr>
          <w:color w:val="231F20"/>
          <w:spacing w:val="-3"/>
          <w:sz w:val="20"/>
        </w:rPr>
        <w:t>copies: </w:t>
      </w:r>
      <w:r>
        <w:rPr>
          <w:color w:val="231F20"/>
          <w:sz w:val="20"/>
        </w:rPr>
        <w:t>(if applicable)</w:t>
      </w:r>
    </w:p>
    <w:p>
      <w:pPr>
        <w:tabs>
          <w:tab w:pos="5539" w:val="left" w:leader="none"/>
          <w:tab w:pos="5825" w:val="left" w:leader="none"/>
        </w:tabs>
        <w:spacing w:line="168" w:lineRule="auto" w:before="0"/>
        <w:ind w:left="105" w:right="2819" w:firstLine="5720"/>
        <w:jc w:val="left"/>
        <w:rPr>
          <w:sz w:val="20"/>
        </w:rPr>
      </w:pPr>
      <w:r>
        <w:rPr>
          <w:color w:val="231F20"/>
          <w:sz w:val="20"/>
        </w:rPr>
        <w:t>Annual subscription </w:t>
      </w:r>
      <w:r>
        <w:rPr>
          <w:color w:val="231F20"/>
          <w:spacing w:val="-9"/>
          <w:sz w:val="20"/>
        </w:rPr>
        <w:t>or </w:t>
      </w:r>
      <w:r>
        <w:rPr>
          <w:color w:val="231F20"/>
          <w:sz w:val="20"/>
        </w:rPr>
        <w:t>Company:</w:t>
      </w:r>
      <w:r>
        <w:rPr>
          <w:color w:val="231F20"/>
          <w:sz w:val="20"/>
          <w:u w:val="dotted" w:color="231F20"/>
        </w:rPr>
        <w:t> </w:t>
        <w:tab/>
      </w:r>
      <w:r>
        <w:rPr>
          <w:color w:val="231F20"/>
          <w:sz w:val="20"/>
        </w:rPr>
        <w:tab/>
        <w:t>single issue:</w:t>
      </w:r>
    </w:p>
    <w:p>
      <w:pPr>
        <w:tabs>
          <w:tab w:pos="1052" w:val="left" w:leader="none"/>
          <w:tab w:pos="5527" w:val="left" w:leader="none"/>
        </w:tabs>
        <w:spacing w:line="168" w:lineRule="exact" w:before="100"/>
        <w:ind w:left="105" w:right="0" w:firstLine="0"/>
        <w:jc w:val="left"/>
        <w:rPr>
          <w:sz w:val="20"/>
        </w:rPr>
      </w:pPr>
      <w:r>
        <w:rPr>
          <w:color w:val="231F20"/>
          <w:sz w:val="20"/>
        </w:rPr>
        <w:t>Address:</w:t>
        <w:tab/>
      </w:r>
      <w:r>
        <w:rPr>
          <w:color w:val="231F20"/>
          <w:sz w:val="20"/>
          <w:u w:val="dotted" w:color="231F20"/>
        </w:rPr>
        <w:t> </w:t>
        <w:tab/>
      </w:r>
    </w:p>
    <w:p>
      <w:pPr>
        <w:spacing w:line="222" w:lineRule="exact" w:before="0"/>
        <w:ind w:left="5825" w:right="0" w:firstLine="0"/>
        <w:jc w:val="left"/>
        <w:rPr>
          <w:sz w:val="20"/>
        </w:rPr>
      </w:pPr>
      <w:r>
        <w:rPr/>
        <w:pict>
          <v:shape style="position:absolute;margin-left:88.620003pt;margin-top:13.295856pt;width:223.75pt;height:.1pt;mso-position-horizontal-relative:page;mso-position-vertical-relative:paragraph;z-index:-15421440;mso-wrap-distance-left:0;mso-wrap-distance-right:0" coordorigin="1772,266" coordsize="4475,0" path="m1772,266l6247,266e" filled="false" stroked="true" strokeweight=".125pt" strokecolor="#231f20">
            <v:path arrowok="t"/>
            <v:stroke dashstyle="shortdash"/>
            <w10:wrap type="topAndBottom"/>
          </v:shape>
        </w:pict>
      </w:r>
      <w:r>
        <w:rPr>
          <w:color w:val="231F20"/>
          <w:sz w:val="20"/>
        </w:rPr>
        <w:t>I enclose a cheque, crossed and made payable to the</w:t>
      </w:r>
    </w:p>
    <w:sectPr>
      <w:headerReference w:type="default" r:id="rId116"/>
      <w:footerReference w:type="default" r:id="rId117"/>
      <w:pgSz w:w="11900" w:h="16840"/>
      <w:pgMar w:header="0" w:footer="0" w:top="1140" w:bottom="280" w:left="7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0361216"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540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03525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520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3504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499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0348416" type="#_x0000_t202" filled="false" stroked="false">
          <v:textbox inset="0,0,0,0">
            <w:txbxContent>
              <w:p>
                <w:pPr>
                  <w:spacing w:before="13"/>
                  <w:ind w:left="74"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3479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473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468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448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443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412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407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402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396pt;margin-top:801.141113pt;width:14pt;height:10.9pt;mso-position-horizontal-relative:page;mso-position-vertical-relative:page;z-index:-203397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0338176" type="#_x0000_t202" filled="false" stroked="false">
          <v:textbox inset="0,0,0,0">
            <w:txbxContent>
              <w:p>
                <w:pPr>
                  <w:spacing w:before="13"/>
                  <w:ind w:left="65"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376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033561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351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38</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3330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0360704"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325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320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3315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29472" from="279pt,772pt" to="556.5pt,772pt" stroked="true" strokeweight=".125pt" strokecolor="#231f20">
          <v:stroke dashstyle="solid"/>
          <w10:wrap type="none"/>
        </v:line>
      </w:pict>
    </w:r>
    <w:r>
      <w:rPr/>
      <w:pict>
        <v:shape style="position:absolute;margin-left:279.720001pt;margin-top:771.961121pt;width:126.25pt;height:10.9pt;mso-position-horizontal-relative:page;mso-position-vertical-relative:page;z-index:-20328960" type="#_x0000_t202" filled="false" stroked="false">
          <v:textbox inset="0,0,0,0">
            <w:txbxContent>
              <w:p>
                <w:pPr>
                  <w:spacing w:before="13"/>
                  <w:ind w:left="20" w:right="0" w:firstLine="0"/>
                  <w:jc w:val="left"/>
                  <w:rPr>
                    <w:sz w:val="16"/>
                  </w:rPr>
                </w:pPr>
                <w:r>
                  <w:rPr>
                    <w:color w:val="231F20"/>
                    <w:sz w:val="16"/>
                  </w:rPr>
                  <w:t>(1) Shown as Chart 1 in the Overview.</w:t>
                </w:r>
              </w:p>
            </w:txbxContent>
          </v:textbox>
          <w10:wrap type="none"/>
        </v:shape>
      </w:pict>
    </w:r>
    <w:r>
      <w:rPr/>
      <w:pict>
        <v:shape style="position:absolute;margin-left:38pt;margin-top:801.141113pt;width:14pt;height:10.9pt;mso-position-horizontal-relative:page;mso-position-vertical-relative:page;z-index:-203284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3279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45</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3258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48</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3253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248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243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223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217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55</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197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64</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3192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65</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9pt;margin-top:800.641113pt;width:10pt;height:10.9pt;mso-position-horizontal-relative:page;mso-position-vertical-relative:page;z-index:-203601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3596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03576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0pt;height:10.9pt;mso-position-horizontal-relative:page;mso-position-vertical-relative:page;z-index:-203571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03545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035916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9.461094pt;width:65.6pt;height:10.9pt;mso-position-horizontal-relative:page;mso-position-vertical-relative:page;z-index:-2034892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34636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45856" from="39pt,38pt" to="556pt,38pt" stroked="true" strokeweight=".125pt" strokecolor="#231f20">
          <v:stroke dashstyle="solid"/>
          <w10:wrap type="none"/>
        </v:line>
      </w:pict>
    </w:r>
    <w:r>
      <w:rPr/>
      <w:pict>
        <v:shape style="position:absolute;margin-left:494.459991pt;margin-top:28.461094pt;width:61.6pt;height:10.9pt;mso-position-horizontal-relative:page;mso-position-vertical-relative:page;z-index:-20345344"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8.833pt;margin-top:123.5pt;width:2pt;height:2pt;mso-position-horizontal-relative:page;mso-position-vertical-relative:page;z-index:-20343808" filled="false" stroked="true" strokeweight=".5pt" strokecolor="#000000">
          <v:stroke dashstyle="solid"/>
          <w10:wrap type="none"/>
        </v:rect>
      </w:pict>
    </w:r>
    <w:r>
      <w:rPr/>
      <w:pict>
        <v:line style="position:absolute;mso-position-horizontal-relative:page;mso-position-vertical-relative:page;z-index:-20343296" from="46.5pt,128pt" to="51.5pt,128pt" stroked="true" strokeweight=".5pt" strokecolor="#000000">
          <v:stroke dashstyle="solid"/>
          <w10:wrap type="none"/>
        </v:line>
      </w:pict>
    </w:r>
    <w:r>
      <w:rPr/>
      <w:pict>
        <v:line style="position:absolute;mso-position-horizontal-relative:page;mso-position-vertical-relative:page;z-index:-20342784" from="205.5pt,128pt" to="210.5pt,128pt" stroked="true" strokeweight=".5pt" strokecolor="#000000">
          <v:stroke dashstyle="solid"/>
          <w10:wrap type="none"/>
        </v:line>
      </w:pict>
    </w:r>
    <w:r>
      <w:rPr/>
      <w:pict>
        <v:shape style="position:absolute;margin-left:37.25pt;margin-top:28.461094pt;width:519pt;height:10.9pt;mso-position-horizontal-relative:page;mso-position-vertical-relative:page;z-index:-2034227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459991pt;margin-top:28.461094pt;width:61.6pt;height:10.9pt;mso-position-horizontal-relative:page;mso-position-vertical-relative:page;z-index:-20341760"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950012pt;margin-top:28.461094pt;width:55.35pt;height:10.9pt;mso-position-horizontal-relative:page;mso-position-vertical-relative:page;z-index:-20339200"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8.461094pt;width:519pt;height:10.9pt;mso-position-horizontal-relative:page;mso-position-vertical-relative:page;z-index:-20338688" type="#_x0000_t202" filled="false" stroked="false">
          <v:textbox inset="0,0,0,0">
            <w:txbxContent>
              <w:p>
                <w:pPr>
                  <w:tabs>
                    <w:tab w:pos="10359" w:val="left" w:leader="none"/>
                  </w:tabs>
                  <w:spacing w:before="13"/>
                  <w:ind w:left="20" w:right="0" w:firstLine="0"/>
                  <w:jc w:val="left"/>
                  <w:rPr>
                    <w:sz w:val="16"/>
                  </w:rPr>
                </w:pPr>
                <w:r>
                  <w:rPr>
                    <w:color w:val="231F20"/>
                    <w:spacing w:val="-19"/>
                    <w:sz w:val="16"/>
                    <w:u w:val="single" w:color="231F20"/>
                  </w:rPr>
                  <w:t> </w:t>
                </w:r>
                <w:r>
                  <w:rPr>
                    <w:color w:val="231F20"/>
                    <w:sz w:val="16"/>
                    <w:u w:val="single" w:color="231F20"/>
                  </w:rPr>
                  <w:t>Inflation Report:  February 1998</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37152" from="39pt,38pt" to="556pt,38pt" stroked="true" strokeweight=".125pt" strokecolor="#231f20">
          <v:stroke dashstyle="solid"/>
          <w10:wrap type="none"/>
        </v:line>
      </w:pict>
    </w:r>
    <w:r>
      <w:rPr/>
      <w:pict>
        <v:shape style="position:absolute;margin-left:500.670013pt;margin-top:28.461094pt;width:55.35pt;height:10.9pt;mso-position-horizontal-relative:page;mso-position-vertical-relative:page;z-index:-20336640"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58656" from="39pt,39pt" to="556pt,39pt" stroked="true" strokeweight=".125pt" strokecolor="#231f20">
          <v:stroke dashstyle="solid"/>
          <w10:wrap type="none"/>
        </v:line>
      </w:pict>
    </w:r>
    <w:r>
      <w:rPr/>
      <w:pict>
        <v:shape style="position:absolute;margin-left:422.049988pt;margin-top:29.461094pt;width:134pt;height:10.9pt;mso-position-horizontal-relative:page;mso-position-vertical-relative:page;z-index:-20358144"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33612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33459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34080" from="38.25pt,39pt" to="555.25pt,39pt" stroked="true" strokeweight=".125pt" strokecolor="#231f20">
          <v:stroke dashstyle="solid"/>
          <w10:wrap type="none"/>
        </v:line>
      </w:pict>
    </w:r>
    <w:r>
      <w:rPr/>
      <w:pict>
        <v:shape style="position:absolute;margin-left:411.779999pt;margin-top:29.461094pt;width:143.5pt;height:10.9pt;mso-position-horizontal-relative:page;mso-position-vertical-relative:page;z-index:-20333568" type="#_x0000_t202" filled="false" stroked="false">
          <v:textbox inset="0,0,0,0">
            <w:txbxContent>
              <w:p>
                <w:pPr>
                  <w:spacing w:before="13"/>
                  <w:ind w:left="20" w:right="0" w:firstLine="0"/>
                  <w:jc w:val="left"/>
                  <w:rPr>
                    <w:sz w:val="16"/>
                  </w:rPr>
                </w:pPr>
                <w:r>
                  <w:rPr>
                    <w:i/>
                    <w:color w:val="231F20"/>
                    <w:sz w:val="16"/>
                  </w:rPr>
                  <w:t>Monetary policy since the November </w:t>
                </w:r>
                <w:r>
                  <w:rPr>
                    <w:color w:val="231F20"/>
                    <w:sz w:val="16"/>
                  </w:rPr>
                  <w:t>Report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31008" from="38.25pt,38pt" to="555.25pt,38pt" stroked="true" strokeweight=".125pt" strokecolor="#231f20">
          <v:stroke dashstyle="solid"/>
          <w10:wrap type="none"/>
        </v:line>
      </w:pict>
    </w:r>
    <w:r>
      <w:rPr/>
      <w:pict>
        <v:shape style="position:absolute;margin-left:481.279999pt;margin-top:28.461094pt;width:74pt;height:10.9pt;mso-position-horizontal-relative:page;mso-position-vertical-relative:page;z-index:-20330496"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32998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32742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26912" from="38.25pt,38pt" to="555.25pt,38pt" stroked="true" strokeweight=".125pt" strokecolor="#231f20">
          <v:stroke dashstyle="solid"/>
          <w10:wrap type="none"/>
        </v:line>
      </w:pict>
    </w:r>
    <w:r>
      <w:rPr/>
      <w:pict>
        <v:shape style="position:absolute;margin-left:481.279999pt;margin-top:28.461094pt;width:74pt;height:10.9pt;mso-position-horizontal-relative:page;mso-position-vertical-relative:page;z-index:-20326400"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56608" from="39pt,39pt" to="556pt,39pt" stroked="true" strokeweight=".125pt" strokecolor="#231f20">
          <v:stroke dashstyle="solid"/>
          <w10:wrap type="none"/>
        </v:line>
      </w:pict>
    </w:r>
    <w:r>
      <w:rPr/>
      <w:pict>
        <v:line style="position:absolute;mso-position-horizontal-relative:page;mso-position-vertical-relative:page;z-index:-20356096" from="49.916pt,114.462997pt" to="53.63pt,114.462997pt" stroked="true" strokeweight=".5pt" strokecolor="#000000">
          <v:stroke dashstyle="solid"/>
          <w10:wrap type="none"/>
        </v:line>
      </w:pict>
    </w:r>
    <w:r>
      <w:rPr/>
      <w:pict>
        <v:shape style="position:absolute;margin-left:422.049988pt;margin-top:29.461094pt;width:134pt;height:10.9pt;mso-position-horizontal-relative:page;mso-position-vertical-relative:page;z-index:-20355584"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23840"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0323328"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3228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32128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20768"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0320256"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035507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353536" from="39pt,39pt" to="556pt,39pt" stroked="true" strokeweight=".125pt" strokecolor="#231f20">
          <v:stroke dashstyle="solid"/>
          <w10:wrap type="none"/>
        </v:line>
      </w:pict>
    </w:r>
    <w:r>
      <w:rPr/>
      <w:pict>
        <v:shape style="position:absolute;margin-left:422.049988pt;margin-top:29.461094pt;width:134pt;height:10.9pt;mso-position-horizontal-relative:page;mso-position-vertical-relative:page;z-index:-20353024"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9.461094pt;width:65.6pt;height:10.9pt;mso-position-horizontal-relative:page;mso-position-vertical-relative:page;z-index:-2035148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461094pt;width:106.45pt;height:10.9pt;mso-position-horizontal-relative:page;mso-position-vertical-relative:page;z-index:-20350976" type="#_x0000_t202" filled="false" stroked="false">
          <v:textbox inset="0,0,0,0">
            <w:txbxContent>
              <w:p>
                <w:pPr>
                  <w:spacing w:before="13"/>
                  <w:ind w:left="20" w:right="0" w:firstLine="0"/>
                  <w:jc w:val="left"/>
                  <w:rPr>
                    <w:sz w:val="16"/>
                  </w:rPr>
                </w:pPr>
                <w:r>
                  <w:rPr>
                    <w:color w:val="231F20"/>
                    <w:sz w:val="16"/>
                  </w:rPr>
                  <w:t>Inflation Report: February 1998</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25pt;margin-top:28.461094pt;width:519pt;height:10.9pt;mso-position-horizontal-relative:page;mso-position-vertical-relative:page;z-index:-2034944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February 1998</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66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1142" w:hanging="240"/>
      </w:pPr>
      <w:rPr>
        <w:rFonts w:hint="default"/>
        <w:lang w:val="en-US" w:eastAsia="en-US" w:bidi="ar-SA"/>
      </w:rPr>
    </w:lvl>
    <w:lvl w:ilvl="2">
      <w:start w:val="0"/>
      <w:numFmt w:val="bullet"/>
      <w:lvlText w:val="•"/>
      <w:lvlJc w:val="left"/>
      <w:pPr>
        <w:ind w:left="1624" w:hanging="240"/>
      </w:pPr>
      <w:rPr>
        <w:rFonts w:hint="default"/>
        <w:lang w:val="en-US" w:eastAsia="en-US" w:bidi="ar-SA"/>
      </w:rPr>
    </w:lvl>
    <w:lvl w:ilvl="3">
      <w:start w:val="0"/>
      <w:numFmt w:val="bullet"/>
      <w:lvlText w:val="•"/>
      <w:lvlJc w:val="left"/>
      <w:pPr>
        <w:ind w:left="2107" w:hanging="240"/>
      </w:pPr>
      <w:rPr>
        <w:rFonts w:hint="default"/>
        <w:lang w:val="en-US" w:eastAsia="en-US" w:bidi="ar-SA"/>
      </w:rPr>
    </w:lvl>
    <w:lvl w:ilvl="4">
      <w:start w:val="0"/>
      <w:numFmt w:val="bullet"/>
      <w:lvlText w:val="•"/>
      <w:lvlJc w:val="left"/>
      <w:pPr>
        <w:ind w:left="2589" w:hanging="240"/>
      </w:pPr>
      <w:rPr>
        <w:rFonts w:hint="default"/>
        <w:lang w:val="en-US" w:eastAsia="en-US" w:bidi="ar-SA"/>
      </w:rPr>
    </w:lvl>
    <w:lvl w:ilvl="5">
      <w:start w:val="0"/>
      <w:numFmt w:val="bullet"/>
      <w:lvlText w:val="•"/>
      <w:lvlJc w:val="left"/>
      <w:pPr>
        <w:ind w:left="3071" w:hanging="240"/>
      </w:pPr>
      <w:rPr>
        <w:rFonts w:hint="default"/>
        <w:lang w:val="en-US" w:eastAsia="en-US" w:bidi="ar-SA"/>
      </w:rPr>
    </w:lvl>
    <w:lvl w:ilvl="6">
      <w:start w:val="0"/>
      <w:numFmt w:val="bullet"/>
      <w:lvlText w:val="•"/>
      <w:lvlJc w:val="left"/>
      <w:pPr>
        <w:ind w:left="3554" w:hanging="240"/>
      </w:pPr>
      <w:rPr>
        <w:rFonts w:hint="default"/>
        <w:lang w:val="en-US" w:eastAsia="en-US" w:bidi="ar-SA"/>
      </w:rPr>
    </w:lvl>
    <w:lvl w:ilvl="7">
      <w:start w:val="0"/>
      <w:numFmt w:val="bullet"/>
      <w:lvlText w:val="•"/>
      <w:lvlJc w:val="left"/>
      <w:pPr>
        <w:ind w:left="4036" w:hanging="240"/>
      </w:pPr>
      <w:rPr>
        <w:rFonts w:hint="default"/>
        <w:lang w:val="en-US" w:eastAsia="en-US" w:bidi="ar-SA"/>
      </w:rPr>
    </w:lvl>
    <w:lvl w:ilvl="8">
      <w:start w:val="0"/>
      <w:numFmt w:val="bullet"/>
      <w:lvlText w:val="•"/>
      <w:lvlJc w:val="left"/>
      <w:pPr>
        <w:ind w:left="4518" w:hanging="240"/>
      </w:pPr>
      <w:rPr>
        <w:rFonts w:hint="default"/>
        <w:lang w:val="en-US" w:eastAsia="en-US" w:bidi="ar-SA"/>
      </w:rPr>
    </w:lvl>
  </w:abstractNum>
  <w:abstractNum w:abstractNumId="43">
    <w:multiLevelType w:val="hybridMultilevel"/>
    <w:lvl w:ilvl="0">
      <w:start w:val="1"/>
      <w:numFmt w:val="decimal"/>
      <w:lvlText w:val="(%1)"/>
      <w:lvlJc w:val="left"/>
      <w:pPr>
        <w:ind w:left="345" w:hanging="224"/>
        <w:jc w:val="left"/>
      </w:pPr>
      <w:rPr>
        <w:rFonts w:hint="default" w:ascii="Times New Roman" w:hAnsi="Times New Roman" w:eastAsia="Times New Roman" w:cs="Times New Roman"/>
        <w:color w:val="231F20"/>
        <w:spacing w:val="-10"/>
        <w:w w:val="100"/>
        <w:sz w:val="14"/>
        <w:szCs w:val="14"/>
        <w:lang w:val="en-US" w:eastAsia="en-US" w:bidi="ar-SA"/>
      </w:rPr>
    </w:lvl>
    <w:lvl w:ilvl="1">
      <w:start w:val="0"/>
      <w:numFmt w:val="bullet"/>
      <w:lvlText w:val="•"/>
      <w:lvlJc w:val="left"/>
      <w:pPr>
        <w:ind w:left="5940" w:hanging="224"/>
      </w:pPr>
      <w:rPr>
        <w:rFonts w:hint="default"/>
        <w:lang w:val="en-US" w:eastAsia="en-US" w:bidi="ar-SA"/>
      </w:rPr>
    </w:lvl>
    <w:lvl w:ilvl="2">
      <w:start w:val="0"/>
      <w:numFmt w:val="bullet"/>
      <w:lvlText w:val="•"/>
      <w:lvlJc w:val="left"/>
      <w:pPr>
        <w:ind w:left="6444" w:hanging="224"/>
      </w:pPr>
      <w:rPr>
        <w:rFonts w:hint="default"/>
        <w:lang w:val="en-US" w:eastAsia="en-US" w:bidi="ar-SA"/>
      </w:rPr>
    </w:lvl>
    <w:lvl w:ilvl="3">
      <w:start w:val="0"/>
      <w:numFmt w:val="bullet"/>
      <w:lvlText w:val="•"/>
      <w:lvlJc w:val="left"/>
      <w:pPr>
        <w:ind w:left="6948" w:hanging="224"/>
      </w:pPr>
      <w:rPr>
        <w:rFonts w:hint="default"/>
        <w:lang w:val="en-US" w:eastAsia="en-US" w:bidi="ar-SA"/>
      </w:rPr>
    </w:lvl>
    <w:lvl w:ilvl="4">
      <w:start w:val="0"/>
      <w:numFmt w:val="bullet"/>
      <w:lvlText w:val="•"/>
      <w:lvlJc w:val="left"/>
      <w:pPr>
        <w:ind w:left="7453" w:hanging="224"/>
      </w:pPr>
      <w:rPr>
        <w:rFonts w:hint="default"/>
        <w:lang w:val="en-US" w:eastAsia="en-US" w:bidi="ar-SA"/>
      </w:rPr>
    </w:lvl>
    <w:lvl w:ilvl="5">
      <w:start w:val="0"/>
      <w:numFmt w:val="bullet"/>
      <w:lvlText w:val="•"/>
      <w:lvlJc w:val="left"/>
      <w:pPr>
        <w:ind w:left="7957" w:hanging="224"/>
      </w:pPr>
      <w:rPr>
        <w:rFonts w:hint="default"/>
        <w:lang w:val="en-US" w:eastAsia="en-US" w:bidi="ar-SA"/>
      </w:rPr>
    </w:lvl>
    <w:lvl w:ilvl="6">
      <w:start w:val="0"/>
      <w:numFmt w:val="bullet"/>
      <w:lvlText w:val="•"/>
      <w:lvlJc w:val="left"/>
      <w:pPr>
        <w:ind w:left="8462" w:hanging="224"/>
      </w:pPr>
      <w:rPr>
        <w:rFonts w:hint="default"/>
        <w:lang w:val="en-US" w:eastAsia="en-US" w:bidi="ar-SA"/>
      </w:rPr>
    </w:lvl>
    <w:lvl w:ilvl="7">
      <w:start w:val="0"/>
      <w:numFmt w:val="bullet"/>
      <w:lvlText w:val="•"/>
      <w:lvlJc w:val="left"/>
      <w:pPr>
        <w:ind w:left="8966" w:hanging="224"/>
      </w:pPr>
      <w:rPr>
        <w:rFonts w:hint="default"/>
        <w:lang w:val="en-US" w:eastAsia="en-US" w:bidi="ar-SA"/>
      </w:rPr>
    </w:lvl>
    <w:lvl w:ilvl="8">
      <w:start w:val="0"/>
      <w:numFmt w:val="bullet"/>
      <w:lvlText w:val="•"/>
      <w:lvlJc w:val="left"/>
      <w:pPr>
        <w:ind w:left="9471" w:hanging="224"/>
      </w:pPr>
      <w:rPr>
        <w:rFonts w:hint="default"/>
        <w:lang w:val="en-US" w:eastAsia="en-US" w:bidi="ar-SA"/>
      </w:rPr>
    </w:lvl>
  </w:abstractNum>
  <w:abstractNum w:abstractNumId="42">
    <w:multiLevelType w:val="hybridMultilevel"/>
    <w:lvl w:ilvl="0">
      <w:start w:val="41"/>
      <w:numFmt w:val="decimal"/>
      <w:lvlText w:val="%1"/>
      <w:lvlJc w:val="left"/>
      <w:pPr>
        <w:ind w:left="10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04" w:hanging="481"/>
      </w:pPr>
      <w:rPr>
        <w:rFonts w:hint="default"/>
        <w:lang w:val="en-US" w:eastAsia="en-US" w:bidi="ar-SA"/>
      </w:rPr>
    </w:lvl>
    <w:lvl w:ilvl="2">
      <w:start w:val="0"/>
      <w:numFmt w:val="bullet"/>
      <w:lvlText w:val="•"/>
      <w:lvlJc w:val="left"/>
      <w:pPr>
        <w:ind w:left="1108" w:hanging="481"/>
      </w:pPr>
      <w:rPr>
        <w:rFonts w:hint="default"/>
        <w:lang w:val="en-US" w:eastAsia="en-US" w:bidi="ar-SA"/>
      </w:rPr>
    </w:lvl>
    <w:lvl w:ilvl="3">
      <w:start w:val="0"/>
      <w:numFmt w:val="bullet"/>
      <w:lvlText w:val="•"/>
      <w:lvlJc w:val="left"/>
      <w:pPr>
        <w:ind w:left="1612" w:hanging="481"/>
      </w:pPr>
      <w:rPr>
        <w:rFonts w:hint="default"/>
        <w:lang w:val="en-US" w:eastAsia="en-US" w:bidi="ar-SA"/>
      </w:rPr>
    </w:lvl>
    <w:lvl w:ilvl="4">
      <w:start w:val="0"/>
      <w:numFmt w:val="bullet"/>
      <w:lvlText w:val="•"/>
      <w:lvlJc w:val="left"/>
      <w:pPr>
        <w:ind w:left="2116" w:hanging="481"/>
      </w:pPr>
      <w:rPr>
        <w:rFonts w:hint="default"/>
        <w:lang w:val="en-US" w:eastAsia="en-US" w:bidi="ar-SA"/>
      </w:rPr>
    </w:lvl>
    <w:lvl w:ilvl="5">
      <w:start w:val="0"/>
      <w:numFmt w:val="bullet"/>
      <w:lvlText w:val="•"/>
      <w:lvlJc w:val="left"/>
      <w:pPr>
        <w:ind w:left="2620" w:hanging="481"/>
      </w:pPr>
      <w:rPr>
        <w:rFonts w:hint="default"/>
        <w:lang w:val="en-US" w:eastAsia="en-US" w:bidi="ar-SA"/>
      </w:rPr>
    </w:lvl>
    <w:lvl w:ilvl="6">
      <w:start w:val="0"/>
      <w:numFmt w:val="bullet"/>
      <w:lvlText w:val="•"/>
      <w:lvlJc w:val="left"/>
      <w:pPr>
        <w:ind w:left="3124" w:hanging="481"/>
      </w:pPr>
      <w:rPr>
        <w:rFonts w:hint="default"/>
        <w:lang w:val="en-US" w:eastAsia="en-US" w:bidi="ar-SA"/>
      </w:rPr>
    </w:lvl>
    <w:lvl w:ilvl="7">
      <w:start w:val="0"/>
      <w:numFmt w:val="bullet"/>
      <w:lvlText w:val="•"/>
      <w:lvlJc w:val="left"/>
      <w:pPr>
        <w:ind w:left="3628" w:hanging="481"/>
      </w:pPr>
      <w:rPr>
        <w:rFonts w:hint="default"/>
        <w:lang w:val="en-US" w:eastAsia="en-US" w:bidi="ar-SA"/>
      </w:rPr>
    </w:lvl>
    <w:lvl w:ilvl="8">
      <w:start w:val="0"/>
      <w:numFmt w:val="bullet"/>
      <w:lvlText w:val="•"/>
      <w:lvlJc w:val="left"/>
      <w:pPr>
        <w:ind w:left="4132" w:hanging="481"/>
      </w:pPr>
      <w:rPr>
        <w:rFonts w:hint="default"/>
        <w:lang w:val="en-US" w:eastAsia="en-US" w:bidi="ar-SA"/>
      </w:rPr>
    </w:lvl>
  </w:abstractNum>
  <w:abstractNum w:abstractNumId="41">
    <w:multiLevelType w:val="hybridMultilevel"/>
    <w:lvl w:ilvl="0">
      <w:start w:val="22"/>
      <w:numFmt w:val="decimal"/>
      <w:lvlText w:val="%1"/>
      <w:lvlJc w:val="left"/>
      <w:pPr>
        <w:ind w:left="12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23" w:hanging="481"/>
      </w:pPr>
      <w:rPr>
        <w:rFonts w:hint="default"/>
        <w:lang w:val="en-US" w:eastAsia="en-US" w:bidi="ar-SA"/>
      </w:rPr>
    </w:lvl>
    <w:lvl w:ilvl="2">
      <w:start w:val="0"/>
      <w:numFmt w:val="bullet"/>
      <w:lvlText w:val="•"/>
      <w:lvlJc w:val="left"/>
      <w:pPr>
        <w:ind w:left="1126" w:hanging="481"/>
      </w:pPr>
      <w:rPr>
        <w:rFonts w:hint="default"/>
        <w:lang w:val="en-US" w:eastAsia="en-US" w:bidi="ar-SA"/>
      </w:rPr>
    </w:lvl>
    <w:lvl w:ilvl="3">
      <w:start w:val="0"/>
      <w:numFmt w:val="bullet"/>
      <w:lvlText w:val="•"/>
      <w:lvlJc w:val="left"/>
      <w:pPr>
        <w:ind w:left="1629" w:hanging="481"/>
      </w:pPr>
      <w:rPr>
        <w:rFonts w:hint="default"/>
        <w:lang w:val="en-US" w:eastAsia="en-US" w:bidi="ar-SA"/>
      </w:rPr>
    </w:lvl>
    <w:lvl w:ilvl="4">
      <w:start w:val="0"/>
      <w:numFmt w:val="bullet"/>
      <w:lvlText w:val="•"/>
      <w:lvlJc w:val="left"/>
      <w:pPr>
        <w:ind w:left="2132" w:hanging="481"/>
      </w:pPr>
      <w:rPr>
        <w:rFonts w:hint="default"/>
        <w:lang w:val="en-US" w:eastAsia="en-US" w:bidi="ar-SA"/>
      </w:rPr>
    </w:lvl>
    <w:lvl w:ilvl="5">
      <w:start w:val="0"/>
      <w:numFmt w:val="bullet"/>
      <w:lvlText w:val="•"/>
      <w:lvlJc w:val="left"/>
      <w:pPr>
        <w:ind w:left="2635" w:hanging="481"/>
      </w:pPr>
      <w:rPr>
        <w:rFonts w:hint="default"/>
        <w:lang w:val="en-US" w:eastAsia="en-US" w:bidi="ar-SA"/>
      </w:rPr>
    </w:lvl>
    <w:lvl w:ilvl="6">
      <w:start w:val="0"/>
      <w:numFmt w:val="bullet"/>
      <w:lvlText w:val="•"/>
      <w:lvlJc w:val="left"/>
      <w:pPr>
        <w:ind w:left="3138" w:hanging="481"/>
      </w:pPr>
      <w:rPr>
        <w:rFonts w:hint="default"/>
        <w:lang w:val="en-US" w:eastAsia="en-US" w:bidi="ar-SA"/>
      </w:rPr>
    </w:lvl>
    <w:lvl w:ilvl="7">
      <w:start w:val="0"/>
      <w:numFmt w:val="bullet"/>
      <w:lvlText w:val="•"/>
      <w:lvlJc w:val="left"/>
      <w:pPr>
        <w:ind w:left="3641" w:hanging="481"/>
      </w:pPr>
      <w:rPr>
        <w:rFonts w:hint="default"/>
        <w:lang w:val="en-US" w:eastAsia="en-US" w:bidi="ar-SA"/>
      </w:rPr>
    </w:lvl>
    <w:lvl w:ilvl="8">
      <w:start w:val="0"/>
      <w:numFmt w:val="bullet"/>
      <w:lvlText w:val="•"/>
      <w:lvlJc w:val="left"/>
      <w:pPr>
        <w:ind w:left="4144" w:hanging="481"/>
      </w:pPr>
      <w:rPr>
        <w:rFonts w:hint="default"/>
        <w:lang w:val="en-US" w:eastAsia="en-US" w:bidi="ar-SA"/>
      </w:rPr>
    </w:lvl>
  </w:abstractNum>
  <w:abstractNum w:abstractNumId="40">
    <w:multiLevelType w:val="hybridMultilevel"/>
    <w:lvl w:ilvl="0">
      <w:start w:val="1"/>
      <w:numFmt w:val="upperRoman"/>
      <w:lvlText w:val="%1"/>
      <w:lvlJc w:val="left"/>
      <w:pPr>
        <w:ind w:left="61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064" w:hanging="481"/>
      </w:pPr>
      <w:rPr>
        <w:rFonts w:hint="default"/>
        <w:lang w:val="en-US" w:eastAsia="en-US" w:bidi="ar-SA"/>
      </w:rPr>
    </w:lvl>
    <w:lvl w:ilvl="2">
      <w:start w:val="0"/>
      <w:numFmt w:val="bullet"/>
      <w:lvlText w:val="•"/>
      <w:lvlJc w:val="left"/>
      <w:pPr>
        <w:ind w:left="1509" w:hanging="481"/>
      </w:pPr>
      <w:rPr>
        <w:rFonts w:hint="default"/>
        <w:lang w:val="en-US" w:eastAsia="en-US" w:bidi="ar-SA"/>
      </w:rPr>
    </w:lvl>
    <w:lvl w:ilvl="3">
      <w:start w:val="0"/>
      <w:numFmt w:val="bullet"/>
      <w:lvlText w:val="•"/>
      <w:lvlJc w:val="left"/>
      <w:pPr>
        <w:ind w:left="1954" w:hanging="481"/>
      </w:pPr>
      <w:rPr>
        <w:rFonts w:hint="default"/>
        <w:lang w:val="en-US" w:eastAsia="en-US" w:bidi="ar-SA"/>
      </w:rPr>
    </w:lvl>
    <w:lvl w:ilvl="4">
      <w:start w:val="0"/>
      <w:numFmt w:val="bullet"/>
      <w:lvlText w:val="•"/>
      <w:lvlJc w:val="left"/>
      <w:pPr>
        <w:ind w:left="2399" w:hanging="481"/>
      </w:pPr>
      <w:rPr>
        <w:rFonts w:hint="default"/>
        <w:lang w:val="en-US" w:eastAsia="en-US" w:bidi="ar-SA"/>
      </w:rPr>
    </w:lvl>
    <w:lvl w:ilvl="5">
      <w:start w:val="0"/>
      <w:numFmt w:val="bullet"/>
      <w:lvlText w:val="•"/>
      <w:lvlJc w:val="left"/>
      <w:pPr>
        <w:ind w:left="2844" w:hanging="481"/>
      </w:pPr>
      <w:rPr>
        <w:rFonts w:hint="default"/>
        <w:lang w:val="en-US" w:eastAsia="en-US" w:bidi="ar-SA"/>
      </w:rPr>
    </w:lvl>
    <w:lvl w:ilvl="6">
      <w:start w:val="0"/>
      <w:numFmt w:val="bullet"/>
      <w:lvlText w:val="•"/>
      <w:lvlJc w:val="left"/>
      <w:pPr>
        <w:ind w:left="3289" w:hanging="481"/>
      </w:pPr>
      <w:rPr>
        <w:rFonts w:hint="default"/>
        <w:lang w:val="en-US" w:eastAsia="en-US" w:bidi="ar-SA"/>
      </w:rPr>
    </w:lvl>
    <w:lvl w:ilvl="7">
      <w:start w:val="0"/>
      <w:numFmt w:val="bullet"/>
      <w:lvlText w:val="•"/>
      <w:lvlJc w:val="left"/>
      <w:pPr>
        <w:ind w:left="3734" w:hanging="481"/>
      </w:pPr>
      <w:rPr>
        <w:rFonts w:hint="default"/>
        <w:lang w:val="en-US" w:eastAsia="en-US" w:bidi="ar-SA"/>
      </w:rPr>
    </w:lvl>
    <w:lvl w:ilvl="8">
      <w:start w:val="0"/>
      <w:numFmt w:val="bullet"/>
      <w:lvlText w:val="•"/>
      <w:lvlJc w:val="left"/>
      <w:pPr>
        <w:ind w:left="4178" w:hanging="481"/>
      </w:pPr>
      <w:rPr>
        <w:rFonts w:hint="default"/>
        <w:lang w:val="en-US" w:eastAsia="en-US" w:bidi="ar-SA"/>
      </w:rPr>
    </w:lvl>
  </w:abstractNum>
  <w:abstractNum w:abstractNumId="39">
    <w:multiLevelType w:val="hybridMultilevel"/>
    <w:lvl w:ilvl="0">
      <w:start w:val="1"/>
      <w:numFmt w:val="decimal"/>
      <w:lvlText w:val="%1"/>
      <w:lvlJc w:val="left"/>
      <w:pPr>
        <w:ind w:left="13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32" w:hanging="481"/>
      </w:pPr>
      <w:rPr>
        <w:rFonts w:hint="default"/>
        <w:lang w:val="en-US" w:eastAsia="en-US" w:bidi="ar-SA"/>
      </w:rPr>
    </w:lvl>
    <w:lvl w:ilvl="2">
      <w:start w:val="0"/>
      <w:numFmt w:val="bullet"/>
      <w:lvlText w:val="•"/>
      <w:lvlJc w:val="left"/>
      <w:pPr>
        <w:ind w:left="1125" w:hanging="481"/>
      </w:pPr>
      <w:rPr>
        <w:rFonts w:hint="default"/>
        <w:lang w:val="en-US" w:eastAsia="en-US" w:bidi="ar-SA"/>
      </w:rPr>
    </w:lvl>
    <w:lvl w:ilvl="3">
      <w:start w:val="0"/>
      <w:numFmt w:val="bullet"/>
      <w:lvlText w:val="•"/>
      <w:lvlJc w:val="left"/>
      <w:pPr>
        <w:ind w:left="1618" w:hanging="481"/>
      </w:pPr>
      <w:rPr>
        <w:rFonts w:hint="default"/>
        <w:lang w:val="en-US" w:eastAsia="en-US" w:bidi="ar-SA"/>
      </w:rPr>
    </w:lvl>
    <w:lvl w:ilvl="4">
      <w:start w:val="0"/>
      <w:numFmt w:val="bullet"/>
      <w:lvlText w:val="•"/>
      <w:lvlJc w:val="left"/>
      <w:pPr>
        <w:ind w:left="2111" w:hanging="481"/>
      </w:pPr>
      <w:rPr>
        <w:rFonts w:hint="default"/>
        <w:lang w:val="en-US" w:eastAsia="en-US" w:bidi="ar-SA"/>
      </w:rPr>
    </w:lvl>
    <w:lvl w:ilvl="5">
      <w:start w:val="0"/>
      <w:numFmt w:val="bullet"/>
      <w:lvlText w:val="•"/>
      <w:lvlJc w:val="left"/>
      <w:pPr>
        <w:ind w:left="2604" w:hanging="481"/>
      </w:pPr>
      <w:rPr>
        <w:rFonts w:hint="default"/>
        <w:lang w:val="en-US" w:eastAsia="en-US" w:bidi="ar-SA"/>
      </w:rPr>
    </w:lvl>
    <w:lvl w:ilvl="6">
      <w:start w:val="0"/>
      <w:numFmt w:val="bullet"/>
      <w:lvlText w:val="•"/>
      <w:lvlJc w:val="left"/>
      <w:pPr>
        <w:ind w:left="3097" w:hanging="481"/>
      </w:pPr>
      <w:rPr>
        <w:rFonts w:hint="default"/>
        <w:lang w:val="en-US" w:eastAsia="en-US" w:bidi="ar-SA"/>
      </w:rPr>
    </w:lvl>
    <w:lvl w:ilvl="7">
      <w:start w:val="0"/>
      <w:numFmt w:val="bullet"/>
      <w:lvlText w:val="•"/>
      <w:lvlJc w:val="left"/>
      <w:pPr>
        <w:ind w:left="3590" w:hanging="481"/>
      </w:pPr>
      <w:rPr>
        <w:rFonts w:hint="default"/>
        <w:lang w:val="en-US" w:eastAsia="en-US" w:bidi="ar-SA"/>
      </w:rPr>
    </w:lvl>
    <w:lvl w:ilvl="8">
      <w:start w:val="0"/>
      <w:numFmt w:val="bullet"/>
      <w:lvlText w:val="•"/>
      <w:lvlJc w:val="left"/>
      <w:pPr>
        <w:ind w:left="4082" w:hanging="481"/>
      </w:pPr>
      <w:rPr>
        <w:rFonts w:hint="default"/>
        <w:lang w:val="en-US" w:eastAsia="en-US" w:bidi="ar-SA"/>
      </w:rPr>
    </w:lvl>
  </w:abstractNum>
  <w:abstractNum w:abstractNumId="38">
    <w:multiLevelType w:val="hybridMultilevel"/>
    <w:lvl w:ilvl="0">
      <w:start w:val="1"/>
      <w:numFmt w:val="decimal"/>
      <w:lvlText w:val="%1"/>
      <w:lvlJc w:val="left"/>
      <w:pPr>
        <w:ind w:left="12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14" w:hanging="481"/>
      </w:pPr>
      <w:rPr>
        <w:rFonts w:hint="default"/>
        <w:lang w:val="en-US" w:eastAsia="en-US" w:bidi="ar-SA"/>
      </w:rPr>
    </w:lvl>
    <w:lvl w:ilvl="2">
      <w:start w:val="0"/>
      <w:numFmt w:val="bullet"/>
      <w:lvlText w:val="•"/>
      <w:lvlJc w:val="left"/>
      <w:pPr>
        <w:ind w:left="1108" w:hanging="481"/>
      </w:pPr>
      <w:rPr>
        <w:rFonts w:hint="default"/>
        <w:lang w:val="en-US" w:eastAsia="en-US" w:bidi="ar-SA"/>
      </w:rPr>
    </w:lvl>
    <w:lvl w:ilvl="3">
      <w:start w:val="0"/>
      <w:numFmt w:val="bullet"/>
      <w:lvlText w:val="•"/>
      <w:lvlJc w:val="left"/>
      <w:pPr>
        <w:ind w:left="1603" w:hanging="481"/>
      </w:pPr>
      <w:rPr>
        <w:rFonts w:hint="default"/>
        <w:lang w:val="en-US" w:eastAsia="en-US" w:bidi="ar-SA"/>
      </w:rPr>
    </w:lvl>
    <w:lvl w:ilvl="4">
      <w:start w:val="0"/>
      <w:numFmt w:val="bullet"/>
      <w:lvlText w:val="•"/>
      <w:lvlJc w:val="left"/>
      <w:pPr>
        <w:ind w:left="2097" w:hanging="481"/>
      </w:pPr>
      <w:rPr>
        <w:rFonts w:hint="default"/>
        <w:lang w:val="en-US" w:eastAsia="en-US" w:bidi="ar-SA"/>
      </w:rPr>
    </w:lvl>
    <w:lvl w:ilvl="5">
      <w:start w:val="0"/>
      <w:numFmt w:val="bullet"/>
      <w:lvlText w:val="•"/>
      <w:lvlJc w:val="left"/>
      <w:pPr>
        <w:ind w:left="2591" w:hanging="481"/>
      </w:pPr>
      <w:rPr>
        <w:rFonts w:hint="default"/>
        <w:lang w:val="en-US" w:eastAsia="en-US" w:bidi="ar-SA"/>
      </w:rPr>
    </w:lvl>
    <w:lvl w:ilvl="6">
      <w:start w:val="0"/>
      <w:numFmt w:val="bullet"/>
      <w:lvlText w:val="•"/>
      <w:lvlJc w:val="left"/>
      <w:pPr>
        <w:ind w:left="3086" w:hanging="481"/>
      </w:pPr>
      <w:rPr>
        <w:rFonts w:hint="default"/>
        <w:lang w:val="en-US" w:eastAsia="en-US" w:bidi="ar-SA"/>
      </w:rPr>
    </w:lvl>
    <w:lvl w:ilvl="7">
      <w:start w:val="0"/>
      <w:numFmt w:val="bullet"/>
      <w:lvlText w:val="•"/>
      <w:lvlJc w:val="left"/>
      <w:pPr>
        <w:ind w:left="3580" w:hanging="481"/>
      </w:pPr>
      <w:rPr>
        <w:rFonts w:hint="default"/>
        <w:lang w:val="en-US" w:eastAsia="en-US" w:bidi="ar-SA"/>
      </w:rPr>
    </w:lvl>
    <w:lvl w:ilvl="8">
      <w:start w:val="0"/>
      <w:numFmt w:val="bullet"/>
      <w:lvlText w:val="•"/>
      <w:lvlJc w:val="left"/>
      <w:pPr>
        <w:ind w:left="4075" w:hanging="481"/>
      </w:pPr>
      <w:rPr>
        <w:rFonts w:hint="default"/>
        <w:lang w:val="en-US" w:eastAsia="en-US" w:bidi="ar-SA"/>
      </w:rPr>
    </w:lvl>
  </w:abstractNum>
  <w:abstractNum w:abstractNumId="37">
    <w:multiLevelType w:val="hybridMultilevel"/>
    <w:lvl w:ilvl="0">
      <w:start w:val="37"/>
      <w:numFmt w:val="decimal"/>
      <w:lvlText w:val="%1"/>
      <w:lvlJc w:val="left"/>
      <w:pPr>
        <w:ind w:left="105"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05" w:hanging="481"/>
      </w:pPr>
      <w:rPr>
        <w:rFonts w:hint="default"/>
        <w:lang w:val="en-US" w:eastAsia="en-US" w:bidi="ar-SA"/>
      </w:rPr>
    </w:lvl>
    <w:lvl w:ilvl="2">
      <w:start w:val="0"/>
      <w:numFmt w:val="bullet"/>
      <w:lvlText w:val="•"/>
      <w:lvlJc w:val="left"/>
      <w:pPr>
        <w:ind w:left="1110" w:hanging="481"/>
      </w:pPr>
      <w:rPr>
        <w:rFonts w:hint="default"/>
        <w:lang w:val="en-US" w:eastAsia="en-US" w:bidi="ar-SA"/>
      </w:rPr>
    </w:lvl>
    <w:lvl w:ilvl="3">
      <w:start w:val="0"/>
      <w:numFmt w:val="bullet"/>
      <w:lvlText w:val="•"/>
      <w:lvlJc w:val="left"/>
      <w:pPr>
        <w:ind w:left="1615" w:hanging="481"/>
      </w:pPr>
      <w:rPr>
        <w:rFonts w:hint="default"/>
        <w:lang w:val="en-US" w:eastAsia="en-US" w:bidi="ar-SA"/>
      </w:rPr>
    </w:lvl>
    <w:lvl w:ilvl="4">
      <w:start w:val="0"/>
      <w:numFmt w:val="bullet"/>
      <w:lvlText w:val="•"/>
      <w:lvlJc w:val="left"/>
      <w:pPr>
        <w:ind w:left="2120" w:hanging="481"/>
      </w:pPr>
      <w:rPr>
        <w:rFonts w:hint="default"/>
        <w:lang w:val="en-US" w:eastAsia="en-US" w:bidi="ar-SA"/>
      </w:rPr>
    </w:lvl>
    <w:lvl w:ilvl="5">
      <w:start w:val="0"/>
      <w:numFmt w:val="bullet"/>
      <w:lvlText w:val="•"/>
      <w:lvlJc w:val="left"/>
      <w:pPr>
        <w:ind w:left="2625" w:hanging="481"/>
      </w:pPr>
      <w:rPr>
        <w:rFonts w:hint="default"/>
        <w:lang w:val="en-US" w:eastAsia="en-US" w:bidi="ar-SA"/>
      </w:rPr>
    </w:lvl>
    <w:lvl w:ilvl="6">
      <w:start w:val="0"/>
      <w:numFmt w:val="bullet"/>
      <w:lvlText w:val="•"/>
      <w:lvlJc w:val="left"/>
      <w:pPr>
        <w:ind w:left="3130" w:hanging="481"/>
      </w:pPr>
      <w:rPr>
        <w:rFonts w:hint="default"/>
        <w:lang w:val="en-US" w:eastAsia="en-US" w:bidi="ar-SA"/>
      </w:rPr>
    </w:lvl>
    <w:lvl w:ilvl="7">
      <w:start w:val="0"/>
      <w:numFmt w:val="bullet"/>
      <w:lvlText w:val="•"/>
      <w:lvlJc w:val="left"/>
      <w:pPr>
        <w:ind w:left="3635" w:hanging="481"/>
      </w:pPr>
      <w:rPr>
        <w:rFonts w:hint="default"/>
        <w:lang w:val="en-US" w:eastAsia="en-US" w:bidi="ar-SA"/>
      </w:rPr>
    </w:lvl>
    <w:lvl w:ilvl="8">
      <w:start w:val="0"/>
      <w:numFmt w:val="bullet"/>
      <w:lvlText w:val="•"/>
      <w:lvlJc w:val="left"/>
      <w:pPr>
        <w:ind w:left="4140" w:hanging="481"/>
      </w:pPr>
      <w:rPr>
        <w:rFonts w:hint="default"/>
        <w:lang w:val="en-US" w:eastAsia="en-US" w:bidi="ar-SA"/>
      </w:rPr>
    </w:lvl>
  </w:abstractNum>
  <w:abstractNum w:abstractNumId="36">
    <w:multiLevelType w:val="hybridMultilevel"/>
    <w:lvl w:ilvl="0">
      <w:start w:val="1"/>
      <w:numFmt w:val="upperRoman"/>
      <w:lvlText w:val="%1"/>
      <w:lvlJc w:val="left"/>
      <w:pPr>
        <w:ind w:left="660" w:hanging="481"/>
        <w:jc w:val="righ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6" w:hanging="481"/>
      </w:pPr>
      <w:rPr>
        <w:rFonts w:hint="default"/>
        <w:lang w:val="en-US" w:eastAsia="en-US" w:bidi="ar-SA"/>
      </w:rPr>
    </w:lvl>
    <w:lvl w:ilvl="2">
      <w:start w:val="0"/>
      <w:numFmt w:val="bullet"/>
      <w:lvlText w:val="•"/>
      <w:lvlJc w:val="left"/>
      <w:pPr>
        <w:ind w:left="1552" w:hanging="481"/>
      </w:pPr>
      <w:rPr>
        <w:rFonts w:hint="default"/>
        <w:lang w:val="en-US" w:eastAsia="en-US" w:bidi="ar-SA"/>
      </w:rPr>
    </w:lvl>
    <w:lvl w:ilvl="3">
      <w:start w:val="0"/>
      <w:numFmt w:val="bullet"/>
      <w:lvlText w:val="•"/>
      <w:lvlJc w:val="left"/>
      <w:pPr>
        <w:ind w:left="1999" w:hanging="481"/>
      </w:pPr>
      <w:rPr>
        <w:rFonts w:hint="default"/>
        <w:lang w:val="en-US" w:eastAsia="en-US" w:bidi="ar-SA"/>
      </w:rPr>
    </w:lvl>
    <w:lvl w:ilvl="4">
      <w:start w:val="0"/>
      <w:numFmt w:val="bullet"/>
      <w:lvlText w:val="•"/>
      <w:lvlJc w:val="left"/>
      <w:pPr>
        <w:ind w:left="2445" w:hanging="481"/>
      </w:pPr>
      <w:rPr>
        <w:rFonts w:hint="default"/>
        <w:lang w:val="en-US" w:eastAsia="en-US" w:bidi="ar-SA"/>
      </w:rPr>
    </w:lvl>
    <w:lvl w:ilvl="5">
      <w:start w:val="0"/>
      <w:numFmt w:val="bullet"/>
      <w:lvlText w:val="•"/>
      <w:lvlJc w:val="left"/>
      <w:pPr>
        <w:ind w:left="2892" w:hanging="481"/>
      </w:pPr>
      <w:rPr>
        <w:rFonts w:hint="default"/>
        <w:lang w:val="en-US" w:eastAsia="en-US" w:bidi="ar-SA"/>
      </w:rPr>
    </w:lvl>
    <w:lvl w:ilvl="6">
      <w:start w:val="0"/>
      <w:numFmt w:val="bullet"/>
      <w:lvlText w:val="•"/>
      <w:lvlJc w:val="left"/>
      <w:pPr>
        <w:ind w:left="3338" w:hanging="481"/>
      </w:pPr>
      <w:rPr>
        <w:rFonts w:hint="default"/>
        <w:lang w:val="en-US" w:eastAsia="en-US" w:bidi="ar-SA"/>
      </w:rPr>
    </w:lvl>
    <w:lvl w:ilvl="7">
      <w:start w:val="0"/>
      <w:numFmt w:val="bullet"/>
      <w:lvlText w:val="•"/>
      <w:lvlJc w:val="left"/>
      <w:pPr>
        <w:ind w:left="3784" w:hanging="481"/>
      </w:pPr>
      <w:rPr>
        <w:rFonts w:hint="default"/>
        <w:lang w:val="en-US" w:eastAsia="en-US" w:bidi="ar-SA"/>
      </w:rPr>
    </w:lvl>
    <w:lvl w:ilvl="8">
      <w:start w:val="0"/>
      <w:numFmt w:val="bullet"/>
      <w:lvlText w:val="•"/>
      <w:lvlJc w:val="left"/>
      <w:pPr>
        <w:ind w:left="4231" w:hanging="481"/>
      </w:pPr>
      <w:rPr>
        <w:rFonts w:hint="default"/>
        <w:lang w:val="en-US" w:eastAsia="en-US" w:bidi="ar-SA"/>
      </w:rPr>
    </w:lvl>
  </w:abstractNum>
  <w:abstractNum w:abstractNumId="35">
    <w:multiLevelType w:val="hybridMultilevel"/>
    <w:lvl w:ilvl="0">
      <w:start w:val="1"/>
      <w:numFmt w:val="decimal"/>
      <w:lvlText w:val="%1"/>
      <w:lvlJc w:val="left"/>
      <w:pPr>
        <w:ind w:left="180" w:hanging="481"/>
        <w:jc w:val="righ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3"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2" w:hanging="481"/>
      </w:pPr>
      <w:rPr>
        <w:rFonts w:hint="default"/>
        <w:lang w:val="en-US" w:eastAsia="en-US" w:bidi="ar-SA"/>
      </w:rPr>
    </w:lvl>
    <w:lvl w:ilvl="6">
      <w:start w:val="0"/>
      <w:numFmt w:val="bullet"/>
      <w:lvlText w:val="•"/>
      <w:lvlJc w:val="left"/>
      <w:pPr>
        <w:ind w:left="3146" w:hanging="481"/>
      </w:pPr>
      <w:rPr>
        <w:rFonts w:hint="default"/>
        <w:lang w:val="en-US" w:eastAsia="en-US" w:bidi="ar-SA"/>
      </w:rPr>
    </w:lvl>
    <w:lvl w:ilvl="7">
      <w:start w:val="0"/>
      <w:numFmt w:val="bullet"/>
      <w:lvlText w:val="•"/>
      <w:lvlJc w:val="left"/>
      <w:pPr>
        <w:ind w:left="3640" w:hanging="481"/>
      </w:pPr>
      <w:rPr>
        <w:rFonts w:hint="default"/>
        <w:lang w:val="en-US" w:eastAsia="en-US" w:bidi="ar-SA"/>
      </w:rPr>
    </w:lvl>
    <w:lvl w:ilvl="8">
      <w:start w:val="0"/>
      <w:numFmt w:val="bullet"/>
      <w:lvlText w:val="•"/>
      <w:lvlJc w:val="left"/>
      <w:pPr>
        <w:ind w:left="4135" w:hanging="481"/>
      </w:pPr>
      <w:rPr>
        <w:rFonts w:hint="default"/>
        <w:lang w:val="en-US" w:eastAsia="en-US" w:bidi="ar-SA"/>
      </w:rPr>
    </w:lvl>
  </w:abstractNum>
  <w:abstractNum w:abstractNumId="34">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5" w:hanging="481"/>
      </w:pPr>
      <w:rPr>
        <w:rFonts w:hint="default"/>
        <w:lang w:val="en-US" w:eastAsia="en-US" w:bidi="ar-SA"/>
      </w:rPr>
    </w:lvl>
    <w:lvl w:ilvl="2">
      <w:start w:val="0"/>
      <w:numFmt w:val="bullet"/>
      <w:lvlText w:val="•"/>
      <w:lvlJc w:val="left"/>
      <w:pPr>
        <w:ind w:left="1170" w:hanging="481"/>
      </w:pPr>
      <w:rPr>
        <w:rFonts w:hint="default"/>
        <w:lang w:val="en-US" w:eastAsia="en-US" w:bidi="ar-SA"/>
      </w:rPr>
    </w:lvl>
    <w:lvl w:ilvl="3">
      <w:start w:val="0"/>
      <w:numFmt w:val="bullet"/>
      <w:lvlText w:val="•"/>
      <w:lvlJc w:val="left"/>
      <w:pPr>
        <w:ind w:left="1665" w:hanging="481"/>
      </w:pPr>
      <w:rPr>
        <w:rFonts w:hint="default"/>
        <w:lang w:val="en-US" w:eastAsia="en-US" w:bidi="ar-SA"/>
      </w:rPr>
    </w:lvl>
    <w:lvl w:ilvl="4">
      <w:start w:val="0"/>
      <w:numFmt w:val="bullet"/>
      <w:lvlText w:val="•"/>
      <w:lvlJc w:val="left"/>
      <w:pPr>
        <w:ind w:left="2161" w:hanging="481"/>
      </w:pPr>
      <w:rPr>
        <w:rFonts w:hint="default"/>
        <w:lang w:val="en-US" w:eastAsia="en-US" w:bidi="ar-SA"/>
      </w:rPr>
    </w:lvl>
    <w:lvl w:ilvl="5">
      <w:start w:val="0"/>
      <w:numFmt w:val="bullet"/>
      <w:lvlText w:val="•"/>
      <w:lvlJc w:val="left"/>
      <w:pPr>
        <w:ind w:left="2656" w:hanging="481"/>
      </w:pPr>
      <w:rPr>
        <w:rFonts w:hint="default"/>
        <w:lang w:val="en-US" w:eastAsia="en-US" w:bidi="ar-SA"/>
      </w:rPr>
    </w:lvl>
    <w:lvl w:ilvl="6">
      <w:start w:val="0"/>
      <w:numFmt w:val="bullet"/>
      <w:lvlText w:val="•"/>
      <w:lvlJc w:val="left"/>
      <w:pPr>
        <w:ind w:left="3151" w:hanging="481"/>
      </w:pPr>
      <w:rPr>
        <w:rFonts w:hint="default"/>
        <w:lang w:val="en-US" w:eastAsia="en-US" w:bidi="ar-SA"/>
      </w:rPr>
    </w:lvl>
    <w:lvl w:ilvl="7">
      <w:start w:val="0"/>
      <w:numFmt w:val="bullet"/>
      <w:lvlText w:val="•"/>
      <w:lvlJc w:val="left"/>
      <w:pPr>
        <w:ind w:left="3646" w:hanging="481"/>
      </w:pPr>
      <w:rPr>
        <w:rFonts w:hint="default"/>
        <w:lang w:val="en-US" w:eastAsia="en-US" w:bidi="ar-SA"/>
      </w:rPr>
    </w:lvl>
    <w:lvl w:ilvl="8">
      <w:start w:val="0"/>
      <w:numFmt w:val="bullet"/>
      <w:lvlText w:val="•"/>
      <w:lvlJc w:val="left"/>
      <w:pPr>
        <w:ind w:left="4142" w:hanging="481"/>
      </w:pPr>
      <w:rPr>
        <w:rFonts w:hint="default"/>
        <w:lang w:val="en-US" w:eastAsia="en-US" w:bidi="ar-SA"/>
      </w:rPr>
    </w:lvl>
  </w:abstractNum>
  <w:abstractNum w:abstractNumId="33">
    <w:multiLevelType w:val="hybridMultilevel"/>
    <w:lvl w:ilvl="0">
      <w:start w:val="15"/>
      <w:numFmt w:val="decimal"/>
      <w:lvlText w:val="%1"/>
      <w:lvlJc w:val="left"/>
      <w:pPr>
        <w:ind w:left="175"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88" w:hanging="481"/>
      </w:pPr>
      <w:rPr>
        <w:rFonts w:hint="default"/>
        <w:lang w:val="en-US" w:eastAsia="en-US" w:bidi="ar-SA"/>
      </w:rPr>
    </w:lvl>
    <w:lvl w:ilvl="2">
      <w:start w:val="0"/>
      <w:numFmt w:val="bullet"/>
      <w:lvlText w:val="•"/>
      <w:lvlJc w:val="left"/>
      <w:pPr>
        <w:ind w:left="1196" w:hanging="481"/>
      </w:pPr>
      <w:rPr>
        <w:rFonts w:hint="default"/>
        <w:lang w:val="en-US" w:eastAsia="en-US" w:bidi="ar-SA"/>
      </w:rPr>
    </w:lvl>
    <w:lvl w:ilvl="3">
      <w:start w:val="0"/>
      <w:numFmt w:val="bullet"/>
      <w:lvlText w:val="•"/>
      <w:lvlJc w:val="left"/>
      <w:pPr>
        <w:ind w:left="1704" w:hanging="481"/>
      </w:pPr>
      <w:rPr>
        <w:rFonts w:hint="default"/>
        <w:lang w:val="en-US" w:eastAsia="en-US" w:bidi="ar-SA"/>
      </w:rPr>
    </w:lvl>
    <w:lvl w:ilvl="4">
      <w:start w:val="0"/>
      <w:numFmt w:val="bullet"/>
      <w:lvlText w:val="•"/>
      <w:lvlJc w:val="left"/>
      <w:pPr>
        <w:ind w:left="2212" w:hanging="481"/>
      </w:pPr>
      <w:rPr>
        <w:rFonts w:hint="default"/>
        <w:lang w:val="en-US" w:eastAsia="en-US" w:bidi="ar-SA"/>
      </w:rPr>
    </w:lvl>
    <w:lvl w:ilvl="5">
      <w:start w:val="0"/>
      <w:numFmt w:val="bullet"/>
      <w:lvlText w:val="•"/>
      <w:lvlJc w:val="left"/>
      <w:pPr>
        <w:ind w:left="2720" w:hanging="481"/>
      </w:pPr>
      <w:rPr>
        <w:rFonts w:hint="default"/>
        <w:lang w:val="en-US" w:eastAsia="en-US" w:bidi="ar-SA"/>
      </w:rPr>
    </w:lvl>
    <w:lvl w:ilvl="6">
      <w:start w:val="0"/>
      <w:numFmt w:val="bullet"/>
      <w:lvlText w:val="•"/>
      <w:lvlJc w:val="left"/>
      <w:pPr>
        <w:ind w:left="3228" w:hanging="481"/>
      </w:pPr>
      <w:rPr>
        <w:rFonts w:hint="default"/>
        <w:lang w:val="en-US" w:eastAsia="en-US" w:bidi="ar-SA"/>
      </w:rPr>
    </w:lvl>
    <w:lvl w:ilvl="7">
      <w:start w:val="0"/>
      <w:numFmt w:val="bullet"/>
      <w:lvlText w:val="•"/>
      <w:lvlJc w:val="left"/>
      <w:pPr>
        <w:ind w:left="3736" w:hanging="481"/>
      </w:pPr>
      <w:rPr>
        <w:rFonts w:hint="default"/>
        <w:lang w:val="en-US" w:eastAsia="en-US" w:bidi="ar-SA"/>
      </w:rPr>
    </w:lvl>
    <w:lvl w:ilvl="8">
      <w:start w:val="0"/>
      <w:numFmt w:val="bullet"/>
      <w:lvlText w:val="•"/>
      <w:lvlJc w:val="left"/>
      <w:pPr>
        <w:ind w:left="4244" w:hanging="481"/>
      </w:pPr>
      <w:rPr>
        <w:rFonts w:hint="default"/>
        <w:lang w:val="en-US" w:eastAsia="en-US" w:bidi="ar-SA"/>
      </w:rPr>
    </w:lvl>
  </w:abstractNum>
  <w:abstractNum w:abstractNumId="32">
    <w:multiLevelType w:val="hybridMultilevel"/>
    <w:lvl w:ilvl="0">
      <w:start w:val="1"/>
      <w:numFmt w:val="upperRoman"/>
      <w:lvlText w:val="%1"/>
      <w:lvlJc w:val="left"/>
      <w:pPr>
        <w:ind w:left="655"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1" w:hanging="481"/>
      </w:pPr>
      <w:rPr>
        <w:rFonts w:hint="default"/>
        <w:lang w:val="en-US" w:eastAsia="en-US" w:bidi="ar-SA"/>
      </w:rPr>
    </w:lvl>
    <w:lvl w:ilvl="3">
      <w:start w:val="0"/>
      <w:numFmt w:val="bullet"/>
      <w:lvlText w:val="•"/>
      <w:lvlJc w:val="left"/>
      <w:pPr>
        <w:ind w:left="1996" w:hanging="481"/>
      </w:pPr>
      <w:rPr>
        <w:rFonts w:hint="default"/>
        <w:lang w:val="en-US" w:eastAsia="en-US" w:bidi="ar-SA"/>
      </w:rPr>
    </w:lvl>
    <w:lvl w:ilvl="4">
      <w:start w:val="0"/>
      <w:numFmt w:val="bullet"/>
      <w:lvlText w:val="•"/>
      <w:lvlJc w:val="left"/>
      <w:pPr>
        <w:ind w:left="2442" w:hanging="481"/>
      </w:pPr>
      <w:rPr>
        <w:rFonts w:hint="default"/>
        <w:lang w:val="en-US" w:eastAsia="en-US" w:bidi="ar-SA"/>
      </w:rPr>
    </w:lvl>
    <w:lvl w:ilvl="5">
      <w:start w:val="0"/>
      <w:numFmt w:val="bullet"/>
      <w:lvlText w:val="•"/>
      <w:lvlJc w:val="left"/>
      <w:pPr>
        <w:ind w:left="2887" w:hanging="481"/>
      </w:pPr>
      <w:rPr>
        <w:rFonts w:hint="default"/>
        <w:lang w:val="en-US" w:eastAsia="en-US" w:bidi="ar-SA"/>
      </w:rPr>
    </w:lvl>
    <w:lvl w:ilvl="6">
      <w:start w:val="0"/>
      <w:numFmt w:val="bullet"/>
      <w:lvlText w:val="•"/>
      <w:lvlJc w:val="left"/>
      <w:pPr>
        <w:ind w:left="3332" w:hanging="481"/>
      </w:pPr>
      <w:rPr>
        <w:rFonts w:hint="default"/>
        <w:lang w:val="en-US" w:eastAsia="en-US" w:bidi="ar-SA"/>
      </w:rPr>
    </w:lvl>
    <w:lvl w:ilvl="7">
      <w:start w:val="0"/>
      <w:numFmt w:val="bullet"/>
      <w:lvlText w:val="•"/>
      <w:lvlJc w:val="left"/>
      <w:pPr>
        <w:ind w:left="3778" w:hanging="481"/>
      </w:pPr>
      <w:rPr>
        <w:rFonts w:hint="default"/>
        <w:lang w:val="en-US" w:eastAsia="en-US" w:bidi="ar-SA"/>
      </w:rPr>
    </w:lvl>
    <w:lvl w:ilvl="8">
      <w:start w:val="0"/>
      <w:numFmt w:val="bullet"/>
      <w:lvlText w:val="•"/>
      <w:lvlJc w:val="left"/>
      <w:pPr>
        <w:ind w:left="4223" w:hanging="481"/>
      </w:pPr>
      <w:rPr>
        <w:rFonts w:hint="default"/>
        <w:lang w:val="en-US" w:eastAsia="en-US" w:bidi="ar-SA"/>
      </w:rPr>
    </w:lvl>
  </w:abstractNum>
  <w:abstractNum w:abstractNumId="31">
    <w:multiLevelType w:val="hybridMultilevel"/>
    <w:lvl w:ilvl="0">
      <w:start w:val="1"/>
      <w:numFmt w:val="decimal"/>
      <w:lvlText w:val="%1"/>
      <w:lvlJc w:val="left"/>
      <w:pPr>
        <w:ind w:left="175"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0" w:hanging="481"/>
      </w:pPr>
      <w:rPr>
        <w:rFonts w:hint="default"/>
        <w:lang w:val="en-US" w:eastAsia="en-US" w:bidi="ar-SA"/>
      </w:rPr>
    </w:lvl>
    <w:lvl w:ilvl="4">
      <w:start w:val="0"/>
      <w:numFmt w:val="bullet"/>
      <w:lvlText w:val="•"/>
      <w:lvlJc w:val="left"/>
      <w:pPr>
        <w:ind w:left="2154" w:hanging="481"/>
      </w:pPr>
      <w:rPr>
        <w:rFonts w:hint="default"/>
        <w:lang w:val="en-US" w:eastAsia="en-US" w:bidi="ar-SA"/>
      </w:rPr>
    </w:lvl>
    <w:lvl w:ilvl="5">
      <w:start w:val="0"/>
      <w:numFmt w:val="bullet"/>
      <w:lvlText w:val="•"/>
      <w:lvlJc w:val="left"/>
      <w:pPr>
        <w:ind w:left="2647" w:hanging="481"/>
      </w:pPr>
      <w:rPr>
        <w:rFonts w:hint="default"/>
        <w:lang w:val="en-US" w:eastAsia="en-US" w:bidi="ar-SA"/>
      </w:rPr>
    </w:lvl>
    <w:lvl w:ilvl="6">
      <w:start w:val="0"/>
      <w:numFmt w:val="bullet"/>
      <w:lvlText w:val="•"/>
      <w:lvlJc w:val="left"/>
      <w:pPr>
        <w:ind w:left="3140" w:hanging="481"/>
      </w:pPr>
      <w:rPr>
        <w:rFonts w:hint="default"/>
        <w:lang w:val="en-US" w:eastAsia="en-US" w:bidi="ar-SA"/>
      </w:rPr>
    </w:lvl>
    <w:lvl w:ilvl="7">
      <w:start w:val="0"/>
      <w:numFmt w:val="bullet"/>
      <w:lvlText w:val="•"/>
      <w:lvlJc w:val="left"/>
      <w:pPr>
        <w:ind w:left="3634" w:hanging="481"/>
      </w:pPr>
      <w:rPr>
        <w:rFonts w:hint="default"/>
        <w:lang w:val="en-US" w:eastAsia="en-US" w:bidi="ar-SA"/>
      </w:rPr>
    </w:lvl>
    <w:lvl w:ilvl="8">
      <w:start w:val="0"/>
      <w:numFmt w:val="bullet"/>
      <w:lvlText w:val="•"/>
      <w:lvlJc w:val="left"/>
      <w:pPr>
        <w:ind w:left="4127" w:hanging="481"/>
      </w:pPr>
      <w:rPr>
        <w:rFonts w:hint="default"/>
        <w:lang w:val="en-US" w:eastAsia="en-US" w:bidi="ar-SA"/>
      </w:rPr>
    </w:lvl>
  </w:abstractNum>
  <w:abstractNum w:abstractNumId="30">
    <w:multiLevelType w:val="hybridMultilevel"/>
    <w:lvl w:ilvl="0">
      <w:start w:val="1"/>
      <w:numFmt w:val="decimal"/>
      <w:lvlText w:val="%1"/>
      <w:lvlJc w:val="left"/>
      <w:pPr>
        <w:ind w:left="179"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9" w:hanging="481"/>
      </w:pPr>
      <w:rPr>
        <w:rFonts w:hint="default"/>
        <w:lang w:val="en-US" w:eastAsia="en-US" w:bidi="ar-SA"/>
      </w:rPr>
    </w:lvl>
    <w:lvl w:ilvl="5">
      <w:start w:val="0"/>
      <w:numFmt w:val="bullet"/>
      <w:lvlText w:val="•"/>
      <w:lvlJc w:val="left"/>
      <w:pPr>
        <w:ind w:left="2654" w:hanging="481"/>
      </w:pPr>
      <w:rPr>
        <w:rFonts w:hint="default"/>
        <w:lang w:val="en-US" w:eastAsia="en-US" w:bidi="ar-SA"/>
      </w:rPr>
    </w:lvl>
    <w:lvl w:ilvl="6">
      <w:start w:val="0"/>
      <w:numFmt w:val="bullet"/>
      <w:lvlText w:val="•"/>
      <w:lvlJc w:val="left"/>
      <w:pPr>
        <w:ind w:left="3149" w:hanging="481"/>
      </w:pPr>
      <w:rPr>
        <w:rFonts w:hint="default"/>
        <w:lang w:val="en-US" w:eastAsia="en-US" w:bidi="ar-SA"/>
      </w:rPr>
    </w:lvl>
    <w:lvl w:ilvl="7">
      <w:start w:val="0"/>
      <w:numFmt w:val="bullet"/>
      <w:lvlText w:val="•"/>
      <w:lvlJc w:val="left"/>
      <w:pPr>
        <w:ind w:left="3644" w:hanging="481"/>
      </w:pPr>
      <w:rPr>
        <w:rFonts w:hint="default"/>
        <w:lang w:val="en-US" w:eastAsia="en-US" w:bidi="ar-SA"/>
      </w:rPr>
    </w:lvl>
    <w:lvl w:ilvl="8">
      <w:start w:val="0"/>
      <w:numFmt w:val="bullet"/>
      <w:lvlText w:val="•"/>
      <w:lvlJc w:val="left"/>
      <w:pPr>
        <w:ind w:left="4139" w:hanging="481"/>
      </w:pPr>
      <w:rPr>
        <w:rFonts w:hint="default"/>
        <w:lang w:val="en-US" w:eastAsia="en-US" w:bidi="ar-SA"/>
      </w:rPr>
    </w:lvl>
  </w:abstractNum>
  <w:abstractNum w:abstractNumId="29">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9" w:hanging="240"/>
      </w:pPr>
      <w:rPr>
        <w:rFonts w:hint="default"/>
        <w:lang w:val="en-US" w:eastAsia="en-US" w:bidi="ar-SA"/>
      </w:rPr>
    </w:lvl>
    <w:lvl w:ilvl="3">
      <w:start w:val="0"/>
      <w:numFmt w:val="bullet"/>
      <w:lvlText w:val="•"/>
      <w:lvlJc w:val="left"/>
      <w:pPr>
        <w:ind w:left="1633" w:hanging="240"/>
      </w:pPr>
      <w:rPr>
        <w:rFonts w:hint="default"/>
        <w:lang w:val="en-US" w:eastAsia="en-US" w:bidi="ar-SA"/>
      </w:rPr>
    </w:lvl>
    <w:lvl w:ilvl="4">
      <w:start w:val="0"/>
      <w:numFmt w:val="bullet"/>
      <w:lvlText w:val="•"/>
      <w:lvlJc w:val="left"/>
      <w:pPr>
        <w:ind w:left="2038" w:hanging="240"/>
      </w:pPr>
      <w:rPr>
        <w:rFonts w:hint="default"/>
        <w:lang w:val="en-US" w:eastAsia="en-US" w:bidi="ar-SA"/>
      </w:rPr>
    </w:lvl>
    <w:lvl w:ilvl="5">
      <w:start w:val="0"/>
      <w:numFmt w:val="bullet"/>
      <w:lvlText w:val="•"/>
      <w:lvlJc w:val="left"/>
      <w:pPr>
        <w:ind w:left="2443"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2" w:hanging="240"/>
      </w:pPr>
      <w:rPr>
        <w:rFonts w:hint="default"/>
        <w:lang w:val="en-US" w:eastAsia="en-US" w:bidi="ar-SA"/>
      </w:rPr>
    </w:lvl>
    <w:lvl w:ilvl="8">
      <w:start w:val="0"/>
      <w:numFmt w:val="bullet"/>
      <w:lvlText w:val="•"/>
      <w:lvlJc w:val="left"/>
      <w:pPr>
        <w:ind w:left="3656" w:hanging="240"/>
      </w:pPr>
      <w:rPr>
        <w:rFonts w:hint="default"/>
        <w:lang w:val="en-US" w:eastAsia="en-US" w:bidi="ar-SA"/>
      </w:rPr>
    </w:lvl>
  </w:abstractNum>
  <w:abstractNum w:abstractNumId="28">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9" w:hanging="240"/>
      </w:pPr>
      <w:rPr>
        <w:rFonts w:hint="default"/>
        <w:lang w:val="en-US" w:eastAsia="en-US" w:bidi="ar-SA"/>
      </w:rPr>
    </w:lvl>
    <w:lvl w:ilvl="3">
      <w:start w:val="0"/>
      <w:numFmt w:val="bullet"/>
      <w:lvlText w:val="•"/>
      <w:lvlJc w:val="left"/>
      <w:pPr>
        <w:ind w:left="1633" w:hanging="240"/>
      </w:pPr>
      <w:rPr>
        <w:rFonts w:hint="default"/>
        <w:lang w:val="en-US" w:eastAsia="en-US" w:bidi="ar-SA"/>
      </w:rPr>
    </w:lvl>
    <w:lvl w:ilvl="4">
      <w:start w:val="0"/>
      <w:numFmt w:val="bullet"/>
      <w:lvlText w:val="•"/>
      <w:lvlJc w:val="left"/>
      <w:pPr>
        <w:ind w:left="2038" w:hanging="240"/>
      </w:pPr>
      <w:rPr>
        <w:rFonts w:hint="default"/>
        <w:lang w:val="en-US" w:eastAsia="en-US" w:bidi="ar-SA"/>
      </w:rPr>
    </w:lvl>
    <w:lvl w:ilvl="5">
      <w:start w:val="0"/>
      <w:numFmt w:val="bullet"/>
      <w:lvlText w:val="•"/>
      <w:lvlJc w:val="left"/>
      <w:pPr>
        <w:ind w:left="2443"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2" w:hanging="240"/>
      </w:pPr>
      <w:rPr>
        <w:rFonts w:hint="default"/>
        <w:lang w:val="en-US" w:eastAsia="en-US" w:bidi="ar-SA"/>
      </w:rPr>
    </w:lvl>
    <w:lvl w:ilvl="8">
      <w:start w:val="0"/>
      <w:numFmt w:val="bullet"/>
      <w:lvlText w:val="•"/>
      <w:lvlJc w:val="left"/>
      <w:pPr>
        <w:ind w:left="3656" w:hanging="240"/>
      </w:pPr>
      <w:rPr>
        <w:rFonts w:hint="default"/>
        <w:lang w:val="en-US" w:eastAsia="en-US" w:bidi="ar-SA"/>
      </w:rPr>
    </w:lvl>
  </w:abstractNum>
  <w:abstractNum w:abstractNumId="27">
    <w:multiLevelType w:val="hybridMultilevel"/>
    <w:lvl w:ilvl="0">
      <w:start w:val="6"/>
      <w:numFmt w:val="decimal"/>
      <w:lvlText w:val="%1"/>
      <w:lvlJc w:val="left"/>
      <w:pPr>
        <w:ind w:left="5686" w:hanging="721"/>
        <w:jc w:val="left"/>
      </w:pPr>
      <w:rPr>
        <w:rFonts w:hint="default"/>
        <w:lang w:val="en-US" w:eastAsia="en-US" w:bidi="ar-SA"/>
      </w:rPr>
    </w:lvl>
    <w:lvl w:ilvl="1">
      <w:start w:val="2"/>
      <w:numFmt w:val="decimal"/>
      <w:lvlText w:val="%1.%2"/>
      <w:lvlJc w:val="left"/>
      <w:pPr>
        <w:ind w:left="5686" w:hanging="721"/>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672" w:hanging="721"/>
      </w:pPr>
      <w:rPr>
        <w:rFonts w:hint="default"/>
        <w:lang w:val="en-US" w:eastAsia="en-US" w:bidi="ar-SA"/>
      </w:rPr>
    </w:lvl>
    <w:lvl w:ilvl="3">
      <w:start w:val="0"/>
      <w:numFmt w:val="bullet"/>
      <w:lvlText w:val="•"/>
      <w:lvlJc w:val="left"/>
      <w:pPr>
        <w:ind w:left="7168" w:hanging="721"/>
      </w:pPr>
      <w:rPr>
        <w:rFonts w:hint="default"/>
        <w:lang w:val="en-US" w:eastAsia="en-US" w:bidi="ar-SA"/>
      </w:rPr>
    </w:lvl>
    <w:lvl w:ilvl="4">
      <w:start w:val="0"/>
      <w:numFmt w:val="bullet"/>
      <w:lvlText w:val="•"/>
      <w:lvlJc w:val="left"/>
      <w:pPr>
        <w:ind w:left="7664" w:hanging="721"/>
      </w:pPr>
      <w:rPr>
        <w:rFonts w:hint="default"/>
        <w:lang w:val="en-US" w:eastAsia="en-US" w:bidi="ar-SA"/>
      </w:rPr>
    </w:lvl>
    <w:lvl w:ilvl="5">
      <w:start w:val="0"/>
      <w:numFmt w:val="bullet"/>
      <w:lvlText w:val="•"/>
      <w:lvlJc w:val="left"/>
      <w:pPr>
        <w:ind w:left="8160" w:hanging="721"/>
      </w:pPr>
      <w:rPr>
        <w:rFonts w:hint="default"/>
        <w:lang w:val="en-US" w:eastAsia="en-US" w:bidi="ar-SA"/>
      </w:rPr>
    </w:lvl>
    <w:lvl w:ilvl="6">
      <w:start w:val="0"/>
      <w:numFmt w:val="bullet"/>
      <w:lvlText w:val="•"/>
      <w:lvlJc w:val="left"/>
      <w:pPr>
        <w:ind w:left="8656" w:hanging="721"/>
      </w:pPr>
      <w:rPr>
        <w:rFonts w:hint="default"/>
        <w:lang w:val="en-US" w:eastAsia="en-US" w:bidi="ar-SA"/>
      </w:rPr>
    </w:lvl>
    <w:lvl w:ilvl="7">
      <w:start w:val="0"/>
      <w:numFmt w:val="bullet"/>
      <w:lvlText w:val="•"/>
      <w:lvlJc w:val="left"/>
      <w:pPr>
        <w:ind w:left="9152" w:hanging="721"/>
      </w:pPr>
      <w:rPr>
        <w:rFonts w:hint="default"/>
        <w:lang w:val="en-US" w:eastAsia="en-US" w:bidi="ar-SA"/>
      </w:rPr>
    </w:lvl>
    <w:lvl w:ilvl="8">
      <w:start w:val="0"/>
      <w:numFmt w:val="bullet"/>
      <w:lvlText w:val="•"/>
      <w:lvlJc w:val="left"/>
      <w:pPr>
        <w:ind w:left="9648" w:hanging="721"/>
      </w:pPr>
      <w:rPr>
        <w:rFonts w:hint="default"/>
        <w:lang w:val="en-US" w:eastAsia="en-US" w:bidi="ar-SA"/>
      </w:rPr>
    </w:lvl>
  </w:abstractNum>
  <w:abstractNum w:abstractNumId="26">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4" w:hanging="240"/>
      </w:pPr>
      <w:rPr>
        <w:rFonts w:hint="default"/>
        <w:lang w:val="en-US" w:eastAsia="en-US" w:bidi="ar-SA"/>
      </w:rPr>
    </w:lvl>
    <w:lvl w:ilvl="2">
      <w:start w:val="0"/>
      <w:numFmt w:val="bullet"/>
      <w:lvlText w:val="•"/>
      <w:lvlJc w:val="left"/>
      <w:pPr>
        <w:ind w:left="1149" w:hanging="240"/>
      </w:pPr>
      <w:rPr>
        <w:rFonts w:hint="default"/>
        <w:lang w:val="en-US" w:eastAsia="en-US" w:bidi="ar-SA"/>
      </w:rPr>
    </w:lvl>
    <w:lvl w:ilvl="3">
      <w:start w:val="0"/>
      <w:numFmt w:val="bullet"/>
      <w:lvlText w:val="•"/>
      <w:lvlJc w:val="left"/>
      <w:pPr>
        <w:ind w:left="1504" w:hanging="240"/>
      </w:pPr>
      <w:rPr>
        <w:rFonts w:hint="default"/>
        <w:lang w:val="en-US" w:eastAsia="en-US" w:bidi="ar-SA"/>
      </w:rPr>
    </w:lvl>
    <w:lvl w:ilvl="4">
      <w:start w:val="0"/>
      <w:numFmt w:val="bullet"/>
      <w:lvlText w:val="•"/>
      <w:lvlJc w:val="left"/>
      <w:pPr>
        <w:ind w:left="1859" w:hanging="240"/>
      </w:pPr>
      <w:rPr>
        <w:rFonts w:hint="default"/>
        <w:lang w:val="en-US" w:eastAsia="en-US" w:bidi="ar-SA"/>
      </w:rPr>
    </w:lvl>
    <w:lvl w:ilvl="5">
      <w:start w:val="0"/>
      <w:numFmt w:val="bullet"/>
      <w:lvlText w:val="•"/>
      <w:lvlJc w:val="left"/>
      <w:pPr>
        <w:ind w:left="2214" w:hanging="240"/>
      </w:pPr>
      <w:rPr>
        <w:rFonts w:hint="default"/>
        <w:lang w:val="en-US" w:eastAsia="en-US" w:bidi="ar-SA"/>
      </w:rPr>
    </w:lvl>
    <w:lvl w:ilvl="6">
      <w:start w:val="0"/>
      <w:numFmt w:val="bullet"/>
      <w:lvlText w:val="•"/>
      <w:lvlJc w:val="left"/>
      <w:pPr>
        <w:ind w:left="2569" w:hanging="240"/>
      </w:pPr>
      <w:rPr>
        <w:rFonts w:hint="default"/>
        <w:lang w:val="en-US" w:eastAsia="en-US" w:bidi="ar-SA"/>
      </w:rPr>
    </w:lvl>
    <w:lvl w:ilvl="7">
      <w:start w:val="0"/>
      <w:numFmt w:val="bullet"/>
      <w:lvlText w:val="•"/>
      <w:lvlJc w:val="left"/>
      <w:pPr>
        <w:ind w:left="2924" w:hanging="240"/>
      </w:pPr>
      <w:rPr>
        <w:rFonts w:hint="default"/>
        <w:lang w:val="en-US" w:eastAsia="en-US" w:bidi="ar-SA"/>
      </w:rPr>
    </w:lvl>
    <w:lvl w:ilvl="8">
      <w:start w:val="0"/>
      <w:numFmt w:val="bullet"/>
      <w:lvlText w:val="•"/>
      <w:lvlJc w:val="left"/>
      <w:pPr>
        <w:ind w:left="3278" w:hanging="240"/>
      </w:pPr>
      <w:rPr>
        <w:rFonts w:hint="default"/>
        <w:lang w:val="en-US" w:eastAsia="en-US" w:bidi="ar-SA"/>
      </w:rPr>
    </w:lvl>
  </w:abstractNum>
  <w:abstractNum w:abstractNumId="25">
    <w:multiLevelType w:val="hybridMultilevel"/>
    <w:lvl w:ilvl="0">
      <w:start w:val="1"/>
      <w:numFmt w:val="lowerLetter"/>
      <w:lvlText w:val="(%1)"/>
      <w:lvlJc w:val="left"/>
      <w:pPr>
        <w:ind w:left="401" w:hanging="194"/>
        <w:jc w:val="left"/>
      </w:pPr>
      <w:rPr>
        <w:rFonts w:hint="default" w:ascii="Times New Roman" w:hAnsi="Times New Roman" w:eastAsia="Times New Roman" w:cs="Times New Roman"/>
        <w:color w:val="231F20"/>
        <w:w w:val="100"/>
        <w:sz w:val="12"/>
        <w:szCs w:val="12"/>
        <w:lang w:val="en-US" w:eastAsia="en-US" w:bidi="ar-SA"/>
      </w:rPr>
    </w:lvl>
    <w:lvl w:ilvl="1">
      <w:start w:val="0"/>
      <w:numFmt w:val="bullet"/>
      <w:lvlText w:val="•"/>
      <w:lvlJc w:val="left"/>
      <w:pPr>
        <w:ind w:left="720" w:hanging="194"/>
      </w:pPr>
      <w:rPr>
        <w:rFonts w:hint="default"/>
        <w:lang w:val="en-US" w:eastAsia="en-US" w:bidi="ar-SA"/>
      </w:rPr>
    </w:lvl>
    <w:lvl w:ilvl="2">
      <w:start w:val="0"/>
      <w:numFmt w:val="bullet"/>
      <w:lvlText w:val="•"/>
      <w:lvlJc w:val="left"/>
      <w:pPr>
        <w:ind w:left="1041" w:hanging="194"/>
      </w:pPr>
      <w:rPr>
        <w:rFonts w:hint="default"/>
        <w:lang w:val="en-US" w:eastAsia="en-US" w:bidi="ar-SA"/>
      </w:rPr>
    </w:lvl>
    <w:lvl w:ilvl="3">
      <w:start w:val="0"/>
      <w:numFmt w:val="bullet"/>
      <w:lvlText w:val="•"/>
      <w:lvlJc w:val="left"/>
      <w:pPr>
        <w:ind w:left="1362" w:hanging="194"/>
      </w:pPr>
      <w:rPr>
        <w:rFonts w:hint="default"/>
        <w:lang w:val="en-US" w:eastAsia="en-US" w:bidi="ar-SA"/>
      </w:rPr>
    </w:lvl>
    <w:lvl w:ilvl="4">
      <w:start w:val="0"/>
      <w:numFmt w:val="bullet"/>
      <w:lvlText w:val="•"/>
      <w:lvlJc w:val="left"/>
      <w:pPr>
        <w:ind w:left="1683" w:hanging="194"/>
      </w:pPr>
      <w:rPr>
        <w:rFonts w:hint="default"/>
        <w:lang w:val="en-US" w:eastAsia="en-US" w:bidi="ar-SA"/>
      </w:rPr>
    </w:lvl>
    <w:lvl w:ilvl="5">
      <w:start w:val="0"/>
      <w:numFmt w:val="bullet"/>
      <w:lvlText w:val="•"/>
      <w:lvlJc w:val="left"/>
      <w:pPr>
        <w:ind w:left="2003" w:hanging="194"/>
      </w:pPr>
      <w:rPr>
        <w:rFonts w:hint="default"/>
        <w:lang w:val="en-US" w:eastAsia="en-US" w:bidi="ar-SA"/>
      </w:rPr>
    </w:lvl>
    <w:lvl w:ilvl="6">
      <w:start w:val="0"/>
      <w:numFmt w:val="bullet"/>
      <w:lvlText w:val="•"/>
      <w:lvlJc w:val="left"/>
      <w:pPr>
        <w:ind w:left="2324" w:hanging="194"/>
      </w:pPr>
      <w:rPr>
        <w:rFonts w:hint="default"/>
        <w:lang w:val="en-US" w:eastAsia="en-US" w:bidi="ar-SA"/>
      </w:rPr>
    </w:lvl>
    <w:lvl w:ilvl="7">
      <w:start w:val="0"/>
      <w:numFmt w:val="bullet"/>
      <w:lvlText w:val="•"/>
      <w:lvlJc w:val="left"/>
      <w:pPr>
        <w:ind w:left="2645" w:hanging="194"/>
      </w:pPr>
      <w:rPr>
        <w:rFonts w:hint="default"/>
        <w:lang w:val="en-US" w:eastAsia="en-US" w:bidi="ar-SA"/>
      </w:rPr>
    </w:lvl>
    <w:lvl w:ilvl="8">
      <w:start w:val="0"/>
      <w:numFmt w:val="bullet"/>
      <w:lvlText w:val="•"/>
      <w:lvlJc w:val="left"/>
      <w:pPr>
        <w:ind w:left="2966" w:hanging="194"/>
      </w:pPr>
      <w:rPr>
        <w:rFonts w:hint="default"/>
        <w:lang w:val="en-US" w:eastAsia="en-US" w:bidi="ar-SA"/>
      </w:rPr>
    </w:lvl>
  </w:abstractNum>
  <w:abstractNum w:abstractNumId="24">
    <w:multiLevelType w:val="hybridMultilevel"/>
    <w:lvl w:ilvl="0">
      <w:start w:val="1"/>
      <w:numFmt w:val="lowerLetter"/>
      <w:lvlText w:val="(%1)"/>
      <w:lvlJc w:val="left"/>
      <w:pPr>
        <w:ind w:left="45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1" w:hanging="240"/>
      </w:pPr>
      <w:rPr>
        <w:rFonts w:hint="default"/>
        <w:lang w:val="en-US" w:eastAsia="en-US" w:bidi="ar-SA"/>
      </w:rPr>
    </w:lvl>
    <w:lvl w:ilvl="2">
      <w:start w:val="0"/>
      <w:numFmt w:val="bullet"/>
      <w:lvlText w:val="•"/>
      <w:lvlJc w:val="left"/>
      <w:pPr>
        <w:ind w:left="1242" w:hanging="240"/>
      </w:pPr>
      <w:rPr>
        <w:rFonts w:hint="default"/>
        <w:lang w:val="en-US" w:eastAsia="en-US" w:bidi="ar-SA"/>
      </w:rPr>
    </w:lvl>
    <w:lvl w:ilvl="3">
      <w:start w:val="0"/>
      <w:numFmt w:val="bullet"/>
      <w:lvlText w:val="•"/>
      <w:lvlJc w:val="left"/>
      <w:pPr>
        <w:ind w:left="1634" w:hanging="240"/>
      </w:pPr>
      <w:rPr>
        <w:rFonts w:hint="default"/>
        <w:lang w:val="en-US" w:eastAsia="en-US" w:bidi="ar-SA"/>
      </w:rPr>
    </w:lvl>
    <w:lvl w:ilvl="4">
      <w:start w:val="0"/>
      <w:numFmt w:val="bullet"/>
      <w:lvlText w:val="•"/>
      <w:lvlJc w:val="left"/>
      <w:pPr>
        <w:ind w:left="2025" w:hanging="240"/>
      </w:pPr>
      <w:rPr>
        <w:rFonts w:hint="default"/>
        <w:lang w:val="en-US" w:eastAsia="en-US" w:bidi="ar-SA"/>
      </w:rPr>
    </w:lvl>
    <w:lvl w:ilvl="5">
      <w:start w:val="0"/>
      <w:numFmt w:val="bullet"/>
      <w:lvlText w:val="•"/>
      <w:lvlJc w:val="left"/>
      <w:pPr>
        <w:ind w:left="2417" w:hanging="240"/>
      </w:pPr>
      <w:rPr>
        <w:rFonts w:hint="default"/>
        <w:lang w:val="en-US" w:eastAsia="en-US" w:bidi="ar-SA"/>
      </w:rPr>
    </w:lvl>
    <w:lvl w:ilvl="6">
      <w:start w:val="0"/>
      <w:numFmt w:val="bullet"/>
      <w:lvlText w:val="•"/>
      <w:lvlJc w:val="left"/>
      <w:pPr>
        <w:ind w:left="2808" w:hanging="240"/>
      </w:pPr>
      <w:rPr>
        <w:rFonts w:hint="default"/>
        <w:lang w:val="en-US" w:eastAsia="en-US" w:bidi="ar-SA"/>
      </w:rPr>
    </w:lvl>
    <w:lvl w:ilvl="7">
      <w:start w:val="0"/>
      <w:numFmt w:val="bullet"/>
      <w:lvlText w:val="•"/>
      <w:lvlJc w:val="left"/>
      <w:pPr>
        <w:ind w:left="3200" w:hanging="240"/>
      </w:pPr>
      <w:rPr>
        <w:rFonts w:hint="default"/>
        <w:lang w:val="en-US" w:eastAsia="en-US" w:bidi="ar-SA"/>
      </w:rPr>
    </w:lvl>
    <w:lvl w:ilvl="8">
      <w:start w:val="0"/>
      <w:numFmt w:val="bullet"/>
      <w:lvlText w:val="•"/>
      <w:lvlJc w:val="left"/>
      <w:pPr>
        <w:ind w:left="3591" w:hanging="240"/>
      </w:pPr>
      <w:rPr>
        <w:rFonts w:hint="default"/>
        <w:lang w:val="en-US" w:eastAsia="en-US" w:bidi="ar-SA"/>
      </w:rPr>
    </w:lvl>
  </w:abstractNum>
  <w:abstractNum w:abstractNumId="23">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6" w:hanging="240"/>
      </w:pPr>
      <w:rPr>
        <w:rFonts w:hint="default"/>
        <w:lang w:val="en-US" w:eastAsia="en-US" w:bidi="ar-SA"/>
      </w:rPr>
    </w:lvl>
    <w:lvl w:ilvl="2">
      <w:start w:val="0"/>
      <w:numFmt w:val="bullet"/>
      <w:lvlText w:val="•"/>
      <w:lvlJc w:val="left"/>
      <w:pPr>
        <w:ind w:left="1173" w:hanging="240"/>
      </w:pPr>
      <w:rPr>
        <w:rFonts w:hint="default"/>
        <w:lang w:val="en-US" w:eastAsia="en-US" w:bidi="ar-SA"/>
      </w:rPr>
    </w:lvl>
    <w:lvl w:ilvl="3">
      <w:start w:val="0"/>
      <w:numFmt w:val="bullet"/>
      <w:lvlText w:val="•"/>
      <w:lvlJc w:val="left"/>
      <w:pPr>
        <w:ind w:left="1549" w:hanging="240"/>
      </w:pPr>
      <w:rPr>
        <w:rFonts w:hint="default"/>
        <w:lang w:val="en-US" w:eastAsia="en-US" w:bidi="ar-SA"/>
      </w:rPr>
    </w:lvl>
    <w:lvl w:ilvl="4">
      <w:start w:val="0"/>
      <w:numFmt w:val="bullet"/>
      <w:lvlText w:val="•"/>
      <w:lvlJc w:val="left"/>
      <w:pPr>
        <w:ind w:left="1926" w:hanging="240"/>
      </w:pPr>
      <w:rPr>
        <w:rFonts w:hint="default"/>
        <w:lang w:val="en-US" w:eastAsia="en-US" w:bidi="ar-SA"/>
      </w:rPr>
    </w:lvl>
    <w:lvl w:ilvl="5">
      <w:start w:val="0"/>
      <w:numFmt w:val="bullet"/>
      <w:lvlText w:val="•"/>
      <w:lvlJc w:val="left"/>
      <w:pPr>
        <w:ind w:left="2303" w:hanging="240"/>
      </w:pPr>
      <w:rPr>
        <w:rFonts w:hint="default"/>
        <w:lang w:val="en-US" w:eastAsia="en-US" w:bidi="ar-SA"/>
      </w:rPr>
    </w:lvl>
    <w:lvl w:ilvl="6">
      <w:start w:val="0"/>
      <w:numFmt w:val="bullet"/>
      <w:lvlText w:val="•"/>
      <w:lvlJc w:val="left"/>
      <w:pPr>
        <w:ind w:left="2679" w:hanging="240"/>
      </w:pPr>
      <w:rPr>
        <w:rFonts w:hint="default"/>
        <w:lang w:val="en-US" w:eastAsia="en-US" w:bidi="ar-SA"/>
      </w:rPr>
    </w:lvl>
    <w:lvl w:ilvl="7">
      <w:start w:val="0"/>
      <w:numFmt w:val="bullet"/>
      <w:lvlText w:val="•"/>
      <w:lvlJc w:val="left"/>
      <w:pPr>
        <w:ind w:left="3056" w:hanging="240"/>
      </w:pPr>
      <w:rPr>
        <w:rFonts w:hint="default"/>
        <w:lang w:val="en-US" w:eastAsia="en-US" w:bidi="ar-SA"/>
      </w:rPr>
    </w:lvl>
    <w:lvl w:ilvl="8">
      <w:start w:val="0"/>
      <w:numFmt w:val="bullet"/>
      <w:lvlText w:val="•"/>
      <w:lvlJc w:val="left"/>
      <w:pPr>
        <w:ind w:left="3432" w:hanging="240"/>
      </w:pPr>
      <w:rPr>
        <w:rFonts w:hint="default"/>
        <w:lang w:val="en-US" w:eastAsia="en-US" w:bidi="ar-SA"/>
      </w:rPr>
    </w:lvl>
  </w:abstractNum>
  <w:abstractNum w:abstractNumId="22">
    <w:multiLevelType w:val="hybridMultilevel"/>
    <w:lvl w:ilvl="0">
      <w:start w:val="1"/>
      <w:numFmt w:val="lowerLetter"/>
      <w:lvlText w:val="(%1)"/>
      <w:lvlJc w:val="left"/>
      <w:pPr>
        <w:ind w:left="393" w:hanging="194"/>
        <w:jc w:val="left"/>
      </w:pPr>
      <w:rPr>
        <w:rFonts w:hint="default" w:ascii="Times New Roman" w:hAnsi="Times New Roman" w:eastAsia="Times New Roman" w:cs="Times New Roman"/>
        <w:color w:val="231F20"/>
        <w:w w:val="100"/>
        <w:sz w:val="12"/>
        <w:szCs w:val="12"/>
        <w:lang w:val="en-US" w:eastAsia="en-US" w:bidi="ar-SA"/>
      </w:rPr>
    </w:lvl>
    <w:lvl w:ilvl="1">
      <w:start w:val="0"/>
      <w:numFmt w:val="bullet"/>
      <w:lvlText w:val="•"/>
      <w:lvlJc w:val="left"/>
      <w:pPr>
        <w:ind w:left="778" w:hanging="194"/>
      </w:pPr>
      <w:rPr>
        <w:rFonts w:hint="default"/>
        <w:lang w:val="en-US" w:eastAsia="en-US" w:bidi="ar-SA"/>
      </w:rPr>
    </w:lvl>
    <w:lvl w:ilvl="2">
      <w:start w:val="0"/>
      <w:numFmt w:val="bullet"/>
      <w:lvlText w:val="•"/>
      <w:lvlJc w:val="left"/>
      <w:pPr>
        <w:ind w:left="1157" w:hanging="194"/>
      </w:pPr>
      <w:rPr>
        <w:rFonts w:hint="default"/>
        <w:lang w:val="en-US" w:eastAsia="en-US" w:bidi="ar-SA"/>
      </w:rPr>
    </w:lvl>
    <w:lvl w:ilvl="3">
      <w:start w:val="0"/>
      <w:numFmt w:val="bullet"/>
      <w:lvlText w:val="•"/>
      <w:lvlJc w:val="left"/>
      <w:pPr>
        <w:ind w:left="1535" w:hanging="194"/>
      </w:pPr>
      <w:rPr>
        <w:rFonts w:hint="default"/>
        <w:lang w:val="en-US" w:eastAsia="en-US" w:bidi="ar-SA"/>
      </w:rPr>
    </w:lvl>
    <w:lvl w:ilvl="4">
      <w:start w:val="0"/>
      <w:numFmt w:val="bullet"/>
      <w:lvlText w:val="•"/>
      <w:lvlJc w:val="left"/>
      <w:pPr>
        <w:ind w:left="1914" w:hanging="194"/>
      </w:pPr>
      <w:rPr>
        <w:rFonts w:hint="default"/>
        <w:lang w:val="en-US" w:eastAsia="en-US" w:bidi="ar-SA"/>
      </w:rPr>
    </w:lvl>
    <w:lvl w:ilvl="5">
      <w:start w:val="0"/>
      <w:numFmt w:val="bullet"/>
      <w:lvlText w:val="•"/>
      <w:lvlJc w:val="left"/>
      <w:pPr>
        <w:ind w:left="2293" w:hanging="194"/>
      </w:pPr>
      <w:rPr>
        <w:rFonts w:hint="default"/>
        <w:lang w:val="en-US" w:eastAsia="en-US" w:bidi="ar-SA"/>
      </w:rPr>
    </w:lvl>
    <w:lvl w:ilvl="6">
      <w:start w:val="0"/>
      <w:numFmt w:val="bullet"/>
      <w:lvlText w:val="•"/>
      <w:lvlJc w:val="left"/>
      <w:pPr>
        <w:ind w:left="2671" w:hanging="194"/>
      </w:pPr>
      <w:rPr>
        <w:rFonts w:hint="default"/>
        <w:lang w:val="en-US" w:eastAsia="en-US" w:bidi="ar-SA"/>
      </w:rPr>
    </w:lvl>
    <w:lvl w:ilvl="7">
      <w:start w:val="0"/>
      <w:numFmt w:val="bullet"/>
      <w:lvlText w:val="•"/>
      <w:lvlJc w:val="left"/>
      <w:pPr>
        <w:ind w:left="3050" w:hanging="194"/>
      </w:pPr>
      <w:rPr>
        <w:rFonts w:hint="default"/>
        <w:lang w:val="en-US" w:eastAsia="en-US" w:bidi="ar-SA"/>
      </w:rPr>
    </w:lvl>
    <w:lvl w:ilvl="8">
      <w:start w:val="0"/>
      <w:numFmt w:val="bullet"/>
      <w:lvlText w:val="•"/>
      <w:lvlJc w:val="left"/>
      <w:pPr>
        <w:ind w:left="3428" w:hanging="194"/>
      </w:pPr>
      <w:rPr>
        <w:rFonts w:hint="default"/>
        <w:lang w:val="en-US" w:eastAsia="en-US" w:bidi="ar-SA"/>
      </w:rPr>
    </w:lvl>
  </w:abstractNum>
  <w:abstractNum w:abstractNumId="21">
    <w:multiLevelType w:val="hybridMultilevel"/>
    <w:lvl w:ilvl="0">
      <w:start w:val="4"/>
      <w:numFmt w:val="decimal"/>
      <w:lvlText w:val="%1"/>
      <w:lvlJc w:val="left"/>
      <w:pPr>
        <w:ind w:left="1109" w:hanging="950"/>
        <w:jc w:val="left"/>
      </w:pPr>
      <w:rPr>
        <w:rFonts w:hint="default"/>
        <w:lang w:val="en-US" w:eastAsia="en-US" w:bidi="ar-SA"/>
      </w:rPr>
    </w:lvl>
    <w:lvl w:ilvl="1">
      <w:start w:val="1"/>
      <w:numFmt w:val="decimal"/>
      <w:lvlText w:val="%1.%2"/>
      <w:lvlJc w:val="left"/>
      <w:pPr>
        <w:ind w:left="1109" w:hanging="950"/>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2040" w:hanging="950"/>
      </w:pPr>
      <w:rPr>
        <w:rFonts w:hint="default"/>
        <w:lang w:val="en-US" w:eastAsia="en-US" w:bidi="ar-SA"/>
      </w:rPr>
    </w:lvl>
    <w:lvl w:ilvl="3">
      <w:start w:val="0"/>
      <w:numFmt w:val="bullet"/>
      <w:lvlText w:val="•"/>
      <w:lvlJc w:val="left"/>
      <w:pPr>
        <w:ind w:left="2510" w:hanging="950"/>
      </w:pPr>
      <w:rPr>
        <w:rFonts w:hint="default"/>
        <w:lang w:val="en-US" w:eastAsia="en-US" w:bidi="ar-SA"/>
      </w:rPr>
    </w:lvl>
    <w:lvl w:ilvl="4">
      <w:start w:val="0"/>
      <w:numFmt w:val="bullet"/>
      <w:lvlText w:val="•"/>
      <w:lvlJc w:val="left"/>
      <w:pPr>
        <w:ind w:left="2980" w:hanging="950"/>
      </w:pPr>
      <w:rPr>
        <w:rFonts w:hint="default"/>
        <w:lang w:val="en-US" w:eastAsia="en-US" w:bidi="ar-SA"/>
      </w:rPr>
    </w:lvl>
    <w:lvl w:ilvl="5">
      <w:start w:val="0"/>
      <w:numFmt w:val="bullet"/>
      <w:lvlText w:val="•"/>
      <w:lvlJc w:val="left"/>
      <w:pPr>
        <w:ind w:left="3450" w:hanging="950"/>
      </w:pPr>
      <w:rPr>
        <w:rFonts w:hint="default"/>
        <w:lang w:val="en-US" w:eastAsia="en-US" w:bidi="ar-SA"/>
      </w:rPr>
    </w:lvl>
    <w:lvl w:ilvl="6">
      <w:start w:val="0"/>
      <w:numFmt w:val="bullet"/>
      <w:lvlText w:val="•"/>
      <w:lvlJc w:val="left"/>
      <w:pPr>
        <w:ind w:left="3920" w:hanging="950"/>
      </w:pPr>
      <w:rPr>
        <w:rFonts w:hint="default"/>
        <w:lang w:val="en-US" w:eastAsia="en-US" w:bidi="ar-SA"/>
      </w:rPr>
    </w:lvl>
    <w:lvl w:ilvl="7">
      <w:start w:val="0"/>
      <w:numFmt w:val="bullet"/>
      <w:lvlText w:val="•"/>
      <w:lvlJc w:val="left"/>
      <w:pPr>
        <w:ind w:left="4390" w:hanging="950"/>
      </w:pPr>
      <w:rPr>
        <w:rFonts w:hint="default"/>
        <w:lang w:val="en-US" w:eastAsia="en-US" w:bidi="ar-SA"/>
      </w:rPr>
    </w:lvl>
    <w:lvl w:ilvl="8">
      <w:start w:val="0"/>
      <w:numFmt w:val="bullet"/>
      <w:lvlText w:val="•"/>
      <w:lvlJc w:val="left"/>
      <w:pPr>
        <w:ind w:left="4860" w:hanging="950"/>
      </w:pPr>
      <w:rPr>
        <w:rFonts w:hint="default"/>
        <w:lang w:val="en-US" w:eastAsia="en-US" w:bidi="ar-SA"/>
      </w:rPr>
    </w:lvl>
  </w:abstractNum>
  <w:abstractNum w:abstractNumId="20">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63" w:hanging="240"/>
      </w:pPr>
      <w:rPr>
        <w:rFonts w:hint="default"/>
        <w:lang w:val="en-US" w:eastAsia="en-US" w:bidi="ar-SA"/>
      </w:rPr>
    </w:lvl>
    <w:lvl w:ilvl="2">
      <w:start w:val="0"/>
      <w:numFmt w:val="bullet"/>
      <w:lvlText w:val="•"/>
      <w:lvlJc w:val="left"/>
      <w:pPr>
        <w:ind w:left="907" w:hanging="240"/>
      </w:pPr>
      <w:rPr>
        <w:rFonts w:hint="default"/>
        <w:lang w:val="en-US" w:eastAsia="en-US" w:bidi="ar-SA"/>
      </w:rPr>
    </w:lvl>
    <w:lvl w:ilvl="3">
      <w:start w:val="0"/>
      <w:numFmt w:val="bullet"/>
      <w:lvlText w:val="•"/>
      <w:lvlJc w:val="left"/>
      <w:pPr>
        <w:ind w:left="1150" w:hanging="240"/>
      </w:pPr>
      <w:rPr>
        <w:rFonts w:hint="default"/>
        <w:lang w:val="en-US" w:eastAsia="en-US" w:bidi="ar-SA"/>
      </w:rPr>
    </w:lvl>
    <w:lvl w:ilvl="4">
      <w:start w:val="0"/>
      <w:numFmt w:val="bullet"/>
      <w:lvlText w:val="•"/>
      <w:lvlJc w:val="left"/>
      <w:pPr>
        <w:ind w:left="1394" w:hanging="240"/>
      </w:pPr>
      <w:rPr>
        <w:rFonts w:hint="default"/>
        <w:lang w:val="en-US" w:eastAsia="en-US" w:bidi="ar-SA"/>
      </w:rPr>
    </w:lvl>
    <w:lvl w:ilvl="5">
      <w:start w:val="0"/>
      <w:numFmt w:val="bullet"/>
      <w:lvlText w:val="•"/>
      <w:lvlJc w:val="left"/>
      <w:pPr>
        <w:ind w:left="1638" w:hanging="240"/>
      </w:pPr>
      <w:rPr>
        <w:rFonts w:hint="default"/>
        <w:lang w:val="en-US" w:eastAsia="en-US" w:bidi="ar-SA"/>
      </w:rPr>
    </w:lvl>
    <w:lvl w:ilvl="6">
      <w:start w:val="0"/>
      <w:numFmt w:val="bullet"/>
      <w:lvlText w:val="•"/>
      <w:lvlJc w:val="left"/>
      <w:pPr>
        <w:ind w:left="1881" w:hanging="240"/>
      </w:pPr>
      <w:rPr>
        <w:rFonts w:hint="default"/>
        <w:lang w:val="en-US" w:eastAsia="en-US" w:bidi="ar-SA"/>
      </w:rPr>
    </w:lvl>
    <w:lvl w:ilvl="7">
      <w:start w:val="0"/>
      <w:numFmt w:val="bullet"/>
      <w:lvlText w:val="•"/>
      <w:lvlJc w:val="left"/>
      <w:pPr>
        <w:ind w:left="2125" w:hanging="240"/>
      </w:pPr>
      <w:rPr>
        <w:rFonts w:hint="default"/>
        <w:lang w:val="en-US" w:eastAsia="en-US" w:bidi="ar-SA"/>
      </w:rPr>
    </w:lvl>
    <w:lvl w:ilvl="8">
      <w:start w:val="0"/>
      <w:numFmt w:val="bullet"/>
      <w:lvlText w:val="•"/>
      <w:lvlJc w:val="left"/>
      <w:pPr>
        <w:ind w:left="2368" w:hanging="240"/>
      </w:pPr>
      <w:rPr>
        <w:rFonts w:hint="default"/>
        <w:lang w:val="en-US" w:eastAsia="en-US" w:bidi="ar-SA"/>
      </w:rPr>
    </w:lvl>
  </w:abstractNum>
  <w:abstractNum w:abstractNumId="19">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11" w:hanging="241"/>
      </w:pPr>
      <w:rPr>
        <w:rFonts w:hint="default"/>
        <w:lang w:val="en-US" w:eastAsia="en-US" w:bidi="ar-SA"/>
      </w:rPr>
    </w:lvl>
    <w:lvl w:ilvl="3">
      <w:start w:val="0"/>
      <w:numFmt w:val="bullet"/>
      <w:lvlText w:val="•"/>
      <w:lvlJc w:val="left"/>
      <w:pPr>
        <w:ind w:left="4802" w:hanging="241"/>
      </w:pPr>
      <w:rPr>
        <w:rFonts w:hint="default"/>
        <w:lang w:val="en-US" w:eastAsia="en-US" w:bidi="ar-SA"/>
      </w:rPr>
    </w:lvl>
    <w:lvl w:ilvl="4">
      <w:start w:val="0"/>
      <w:numFmt w:val="bullet"/>
      <w:lvlText w:val="•"/>
      <w:lvlJc w:val="left"/>
      <w:pPr>
        <w:ind w:left="4593" w:hanging="241"/>
      </w:pPr>
      <w:rPr>
        <w:rFonts w:hint="default"/>
        <w:lang w:val="en-US" w:eastAsia="en-US" w:bidi="ar-SA"/>
      </w:rPr>
    </w:lvl>
    <w:lvl w:ilvl="5">
      <w:start w:val="0"/>
      <w:numFmt w:val="bullet"/>
      <w:lvlText w:val="•"/>
      <w:lvlJc w:val="left"/>
      <w:pPr>
        <w:ind w:left="4384" w:hanging="241"/>
      </w:pPr>
      <w:rPr>
        <w:rFonts w:hint="default"/>
        <w:lang w:val="en-US" w:eastAsia="en-US" w:bidi="ar-SA"/>
      </w:rPr>
    </w:lvl>
    <w:lvl w:ilvl="6">
      <w:start w:val="0"/>
      <w:numFmt w:val="bullet"/>
      <w:lvlText w:val="•"/>
      <w:lvlJc w:val="left"/>
      <w:pPr>
        <w:ind w:left="4175" w:hanging="241"/>
      </w:pPr>
      <w:rPr>
        <w:rFonts w:hint="default"/>
        <w:lang w:val="en-US" w:eastAsia="en-US" w:bidi="ar-SA"/>
      </w:rPr>
    </w:lvl>
    <w:lvl w:ilvl="7">
      <w:start w:val="0"/>
      <w:numFmt w:val="bullet"/>
      <w:lvlText w:val="•"/>
      <w:lvlJc w:val="left"/>
      <w:pPr>
        <w:ind w:left="3967" w:hanging="241"/>
      </w:pPr>
      <w:rPr>
        <w:rFonts w:hint="default"/>
        <w:lang w:val="en-US" w:eastAsia="en-US" w:bidi="ar-SA"/>
      </w:rPr>
    </w:lvl>
    <w:lvl w:ilvl="8">
      <w:start w:val="0"/>
      <w:numFmt w:val="bullet"/>
      <w:lvlText w:val="•"/>
      <w:lvlJc w:val="left"/>
      <w:pPr>
        <w:ind w:left="3758" w:hanging="241"/>
      </w:pPr>
      <w:rPr>
        <w:rFonts w:hint="default"/>
        <w:lang w:val="en-US" w:eastAsia="en-US" w:bidi="ar-SA"/>
      </w:rPr>
    </w:lvl>
  </w:abstractNum>
  <w:abstractNum w:abstractNumId="18">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45"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44" w:hanging="241"/>
      </w:pPr>
      <w:rPr>
        <w:rFonts w:hint="default"/>
        <w:lang w:val="en-US" w:eastAsia="en-US" w:bidi="ar-SA"/>
      </w:rPr>
    </w:lvl>
    <w:lvl w:ilvl="3">
      <w:start w:val="0"/>
      <w:numFmt w:val="bullet"/>
      <w:lvlText w:val="•"/>
      <w:lvlJc w:val="left"/>
      <w:pPr>
        <w:ind w:left="-4" w:hanging="241"/>
      </w:pPr>
      <w:rPr>
        <w:rFonts w:hint="default"/>
        <w:lang w:val="en-US" w:eastAsia="en-US" w:bidi="ar-SA"/>
      </w:rPr>
    </w:lvl>
    <w:lvl w:ilvl="4">
      <w:start w:val="0"/>
      <w:numFmt w:val="bullet"/>
      <w:lvlText w:val="•"/>
      <w:lvlJc w:val="left"/>
      <w:pPr>
        <w:ind w:left="-152" w:hanging="241"/>
      </w:pPr>
      <w:rPr>
        <w:rFonts w:hint="default"/>
        <w:lang w:val="en-US" w:eastAsia="en-US" w:bidi="ar-SA"/>
      </w:rPr>
    </w:lvl>
    <w:lvl w:ilvl="5">
      <w:start w:val="0"/>
      <w:numFmt w:val="bullet"/>
      <w:lvlText w:val="•"/>
      <w:lvlJc w:val="left"/>
      <w:pPr>
        <w:ind w:left="-301" w:hanging="241"/>
      </w:pPr>
      <w:rPr>
        <w:rFonts w:hint="default"/>
        <w:lang w:val="en-US" w:eastAsia="en-US" w:bidi="ar-SA"/>
      </w:rPr>
    </w:lvl>
    <w:lvl w:ilvl="6">
      <w:start w:val="0"/>
      <w:numFmt w:val="bullet"/>
      <w:lvlText w:val="•"/>
      <w:lvlJc w:val="left"/>
      <w:pPr>
        <w:ind w:left="-449" w:hanging="241"/>
      </w:pPr>
      <w:rPr>
        <w:rFonts w:hint="default"/>
        <w:lang w:val="en-US" w:eastAsia="en-US" w:bidi="ar-SA"/>
      </w:rPr>
    </w:lvl>
    <w:lvl w:ilvl="7">
      <w:start w:val="0"/>
      <w:numFmt w:val="bullet"/>
      <w:lvlText w:val="•"/>
      <w:lvlJc w:val="left"/>
      <w:pPr>
        <w:ind w:left="-597" w:hanging="241"/>
      </w:pPr>
      <w:rPr>
        <w:rFonts w:hint="default"/>
        <w:lang w:val="en-US" w:eastAsia="en-US" w:bidi="ar-SA"/>
      </w:rPr>
    </w:lvl>
    <w:lvl w:ilvl="8">
      <w:start w:val="0"/>
      <w:numFmt w:val="bullet"/>
      <w:lvlText w:val="•"/>
      <w:lvlJc w:val="left"/>
      <w:pPr>
        <w:ind w:left="-745" w:hanging="241"/>
      </w:pPr>
      <w:rPr>
        <w:rFonts w:hint="default"/>
        <w:lang w:val="en-US" w:eastAsia="en-US" w:bidi="ar-SA"/>
      </w:rPr>
    </w:lvl>
  </w:abstractNum>
  <w:abstractNum w:abstractNumId="17">
    <w:multiLevelType w:val="hybridMultilevel"/>
    <w:lvl w:ilvl="0">
      <w:start w:val="3"/>
      <w:numFmt w:val="decimal"/>
      <w:lvlText w:val="%1"/>
      <w:lvlJc w:val="left"/>
      <w:pPr>
        <w:ind w:left="3350" w:hanging="3161"/>
        <w:jc w:val="left"/>
      </w:pPr>
      <w:rPr>
        <w:rFonts w:hint="default"/>
        <w:lang w:val="en-US" w:eastAsia="en-US" w:bidi="ar-SA"/>
      </w:rPr>
    </w:lvl>
    <w:lvl w:ilvl="1">
      <w:start w:val="1"/>
      <w:numFmt w:val="decimal"/>
      <w:lvlText w:val="%1.%2"/>
      <w:lvlJc w:val="left"/>
      <w:pPr>
        <w:ind w:left="3350" w:hanging="3161"/>
        <w:jc w:val="right"/>
      </w:pPr>
      <w:rPr>
        <w:rFonts w:hint="default"/>
        <w:b/>
        <w:bCs/>
        <w:spacing w:val="-5"/>
        <w:w w:val="100"/>
        <w:lang w:val="en-US" w:eastAsia="en-US" w:bidi="ar-SA"/>
      </w:rPr>
    </w:lvl>
    <w:lvl w:ilvl="2">
      <w:start w:val="0"/>
      <w:numFmt w:val="bullet"/>
      <w:lvlText w:val="•"/>
      <w:lvlJc w:val="left"/>
      <w:pPr>
        <w:ind w:left="3854" w:hanging="3161"/>
      </w:pPr>
      <w:rPr>
        <w:rFonts w:hint="default"/>
        <w:lang w:val="en-US" w:eastAsia="en-US" w:bidi="ar-SA"/>
      </w:rPr>
    </w:lvl>
    <w:lvl w:ilvl="3">
      <w:start w:val="0"/>
      <w:numFmt w:val="bullet"/>
      <w:lvlText w:val="•"/>
      <w:lvlJc w:val="left"/>
      <w:pPr>
        <w:ind w:left="4101" w:hanging="3161"/>
      </w:pPr>
      <w:rPr>
        <w:rFonts w:hint="default"/>
        <w:lang w:val="en-US" w:eastAsia="en-US" w:bidi="ar-SA"/>
      </w:rPr>
    </w:lvl>
    <w:lvl w:ilvl="4">
      <w:start w:val="0"/>
      <w:numFmt w:val="bullet"/>
      <w:lvlText w:val="•"/>
      <w:lvlJc w:val="left"/>
      <w:pPr>
        <w:ind w:left="4348" w:hanging="3161"/>
      </w:pPr>
      <w:rPr>
        <w:rFonts w:hint="default"/>
        <w:lang w:val="en-US" w:eastAsia="en-US" w:bidi="ar-SA"/>
      </w:rPr>
    </w:lvl>
    <w:lvl w:ilvl="5">
      <w:start w:val="0"/>
      <w:numFmt w:val="bullet"/>
      <w:lvlText w:val="•"/>
      <w:lvlJc w:val="left"/>
      <w:pPr>
        <w:ind w:left="4595" w:hanging="3161"/>
      </w:pPr>
      <w:rPr>
        <w:rFonts w:hint="default"/>
        <w:lang w:val="en-US" w:eastAsia="en-US" w:bidi="ar-SA"/>
      </w:rPr>
    </w:lvl>
    <w:lvl w:ilvl="6">
      <w:start w:val="0"/>
      <w:numFmt w:val="bullet"/>
      <w:lvlText w:val="•"/>
      <w:lvlJc w:val="left"/>
      <w:pPr>
        <w:ind w:left="4842" w:hanging="3161"/>
      </w:pPr>
      <w:rPr>
        <w:rFonts w:hint="default"/>
        <w:lang w:val="en-US" w:eastAsia="en-US" w:bidi="ar-SA"/>
      </w:rPr>
    </w:lvl>
    <w:lvl w:ilvl="7">
      <w:start w:val="0"/>
      <w:numFmt w:val="bullet"/>
      <w:lvlText w:val="•"/>
      <w:lvlJc w:val="left"/>
      <w:pPr>
        <w:ind w:left="5089" w:hanging="3161"/>
      </w:pPr>
      <w:rPr>
        <w:rFonts w:hint="default"/>
        <w:lang w:val="en-US" w:eastAsia="en-US" w:bidi="ar-SA"/>
      </w:rPr>
    </w:lvl>
    <w:lvl w:ilvl="8">
      <w:start w:val="0"/>
      <w:numFmt w:val="bullet"/>
      <w:lvlText w:val="•"/>
      <w:lvlJc w:val="left"/>
      <w:pPr>
        <w:ind w:left="5336" w:hanging="3161"/>
      </w:pPr>
      <w:rPr>
        <w:rFonts w:hint="default"/>
        <w:lang w:val="en-US" w:eastAsia="en-US" w:bidi="ar-SA"/>
      </w:rPr>
    </w:lvl>
  </w:abstractNum>
  <w:abstractNum w:abstractNumId="16">
    <w:multiLevelType w:val="hybridMultilevel"/>
    <w:lvl w:ilvl="0">
      <w:start w:val="1"/>
      <w:numFmt w:val="lowerLetter"/>
      <w:lvlText w:val="(%1)"/>
      <w:lvlJc w:val="left"/>
      <w:pPr>
        <w:ind w:left="45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1" w:hanging="240"/>
      </w:pPr>
      <w:rPr>
        <w:rFonts w:hint="default"/>
        <w:lang w:val="en-US" w:eastAsia="en-US" w:bidi="ar-SA"/>
      </w:rPr>
    </w:lvl>
    <w:lvl w:ilvl="2">
      <w:start w:val="0"/>
      <w:numFmt w:val="bullet"/>
      <w:lvlText w:val="•"/>
      <w:lvlJc w:val="left"/>
      <w:pPr>
        <w:ind w:left="1143" w:hanging="240"/>
      </w:pPr>
      <w:rPr>
        <w:rFonts w:hint="default"/>
        <w:lang w:val="en-US" w:eastAsia="en-US" w:bidi="ar-SA"/>
      </w:rPr>
    </w:lvl>
    <w:lvl w:ilvl="3">
      <w:start w:val="0"/>
      <w:numFmt w:val="bullet"/>
      <w:lvlText w:val="•"/>
      <w:lvlJc w:val="left"/>
      <w:pPr>
        <w:ind w:left="1485" w:hanging="240"/>
      </w:pPr>
      <w:rPr>
        <w:rFonts w:hint="default"/>
        <w:lang w:val="en-US" w:eastAsia="en-US" w:bidi="ar-SA"/>
      </w:rPr>
    </w:lvl>
    <w:lvl w:ilvl="4">
      <w:start w:val="0"/>
      <w:numFmt w:val="bullet"/>
      <w:lvlText w:val="•"/>
      <w:lvlJc w:val="left"/>
      <w:pPr>
        <w:ind w:left="1827" w:hanging="240"/>
      </w:pPr>
      <w:rPr>
        <w:rFonts w:hint="default"/>
        <w:lang w:val="en-US" w:eastAsia="en-US" w:bidi="ar-SA"/>
      </w:rPr>
    </w:lvl>
    <w:lvl w:ilvl="5">
      <w:start w:val="0"/>
      <w:numFmt w:val="bullet"/>
      <w:lvlText w:val="•"/>
      <w:lvlJc w:val="left"/>
      <w:pPr>
        <w:ind w:left="2169" w:hanging="240"/>
      </w:pPr>
      <w:rPr>
        <w:rFonts w:hint="default"/>
        <w:lang w:val="en-US" w:eastAsia="en-US" w:bidi="ar-SA"/>
      </w:rPr>
    </w:lvl>
    <w:lvl w:ilvl="6">
      <w:start w:val="0"/>
      <w:numFmt w:val="bullet"/>
      <w:lvlText w:val="•"/>
      <w:lvlJc w:val="left"/>
      <w:pPr>
        <w:ind w:left="2511" w:hanging="240"/>
      </w:pPr>
      <w:rPr>
        <w:rFonts w:hint="default"/>
        <w:lang w:val="en-US" w:eastAsia="en-US" w:bidi="ar-SA"/>
      </w:rPr>
    </w:lvl>
    <w:lvl w:ilvl="7">
      <w:start w:val="0"/>
      <w:numFmt w:val="bullet"/>
      <w:lvlText w:val="•"/>
      <w:lvlJc w:val="left"/>
      <w:pPr>
        <w:ind w:left="2853" w:hanging="240"/>
      </w:pPr>
      <w:rPr>
        <w:rFonts w:hint="default"/>
        <w:lang w:val="en-US" w:eastAsia="en-US" w:bidi="ar-SA"/>
      </w:rPr>
    </w:lvl>
    <w:lvl w:ilvl="8">
      <w:start w:val="0"/>
      <w:numFmt w:val="bullet"/>
      <w:lvlText w:val="•"/>
      <w:lvlJc w:val="left"/>
      <w:pPr>
        <w:ind w:left="3195" w:hanging="240"/>
      </w:pPr>
      <w:rPr>
        <w:rFonts w:hint="default"/>
        <w:lang w:val="en-US" w:eastAsia="en-US" w:bidi="ar-SA"/>
      </w:rPr>
    </w:lvl>
  </w:abstractNum>
  <w:abstractNum w:abstractNumId="15">
    <w:multiLevelType w:val="hybridMultilevel"/>
    <w:lvl w:ilvl="0">
      <w:start w:val="2"/>
      <w:numFmt w:val="decimal"/>
      <w:lvlText w:val="%1"/>
      <w:lvlJc w:val="left"/>
      <w:pPr>
        <w:ind w:left="9394" w:hanging="4409"/>
        <w:jc w:val="left"/>
      </w:pPr>
      <w:rPr>
        <w:rFonts w:hint="default"/>
        <w:lang w:val="en-US" w:eastAsia="en-US" w:bidi="ar-SA"/>
      </w:rPr>
    </w:lvl>
    <w:lvl w:ilvl="1">
      <w:start w:val="3"/>
      <w:numFmt w:val="decimal"/>
      <w:lvlText w:val="%1.%2"/>
      <w:lvlJc w:val="left"/>
      <w:pPr>
        <w:ind w:left="9394" w:hanging="4409"/>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9648" w:hanging="4409"/>
      </w:pPr>
      <w:rPr>
        <w:rFonts w:hint="default"/>
        <w:lang w:val="en-US" w:eastAsia="en-US" w:bidi="ar-SA"/>
      </w:rPr>
    </w:lvl>
    <w:lvl w:ilvl="3">
      <w:start w:val="0"/>
      <w:numFmt w:val="bullet"/>
      <w:lvlText w:val="•"/>
      <w:lvlJc w:val="left"/>
      <w:pPr>
        <w:ind w:left="9772" w:hanging="4409"/>
      </w:pPr>
      <w:rPr>
        <w:rFonts w:hint="default"/>
        <w:lang w:val="en-US" w:eastAsia="en-US" w:bidi="ar-SA"/>
      </w:rPr>
    </w:lvl>
    <w:lvl w:ilvl="4">
      <w:start w:val="0"/>
      <w:numFmt w:val="bullet"/>
      <w:lvlText w:val="•"/>
      <w:lvlJc w:val="left"/>
      <w:pPr>
        <w:ind w:left="9896" w:hanging="4409"/>
      </w:pPr>
      <w:rPr>
        <w:rFonts w:hint="default"/>
        <w:lang w:val="en-US" w:eastAsia="en-US" w:bidi="ar-SA"/>
      </w:rPr>
    </w:lvl>
    <w:lvl w:ilvl="5">
      <w:start w:val="0"/>
      <w:numFmt w:val="bullet"/>
      <w:lvlText w:val="•"/>
      <w:lvlJc w:val="left"/>
      <w:pPr>
        <w:ind w:left="10020" w:hanging="4409"/>
      </w:pPr>
      <w:rPr>
        <w:rFonts w:hint="default"/>
        <w:lang w:val="en-US" w:eastAsia="en-US" w:bidi="ar-SA"/>
      </w:rPr>
    </w:lvl>
    <w:lvl w:ilvl="6">
      <w:start w:val="0"/>
      <w:numFmt w:val="bullet"/>
      <w:lvlText w:val="•"/>
      <w:lvlJc w:val="left"/>
      <w:pPr>
        <w:ind w:left="10144" w:hanging="4409"/>
      </w:pPr>
      <w:rPr>
        <w:rFonts w:hint="default"/>
        <w:lang w:val="en-US" w:eastAsia="en-US" w:bidi="ar-SA"/>
      </w:rPr>
    </w:lvl>
    <w:lvl w:ilvl="7">
      <w:start w:val="0"/>
      <w:numFmt w:val="bullet"/>
      <w:lvlText w:val="•"/>
      <w:lvlJc w:val="left"/>
      <w:pPr>
        <w:ind w:left="10268" w:hanging="4409"/>
      </w:pPr>
      <w:rPr>
        <w:rFonts w:hint="default"/>
        <w:lang w:val="en-US" w:eastAsia="en-US" w:bidi="ar-SA"/>
      </w:rPr>
    </w:lvl>
    <w:lvl w:ilvl="8">
      <w:start w:val="0"/>
      <w:numFmt w:val="bullet"/>
      <w:lvlText w:val="•"/>
      <w:lvlJc w:val="left"/>
      <w:pPr>
        <w:ind w:left="10392" w:hanging="4409"/>
      </w:pPr>
      <w:rPr>
        <w:rFonts w:hint="default"/>
        <w:lang w:val="en-US" w:eastAsia="en-US" w:bidi="ar-SA"/>
      </w:rPr>
    </w:lvl>
  </w:abstractNum>
  <w:abstractNum w:abstractNumId="14">
    <w:multiLevelType w:val="hybridMultilevel"/>
    <w:lvl w:ilvl="0">
      <w:start w:val="1"/>
      <w:numFmt w:val="decimal"/>
      <w:lvlText w:val="(%1)"/>
      <w:lvlJc w:val="left"/>
      <w:pPr>
        <w:ind w:left="430"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32"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158" w:hanging="240"/>
      </w:pPr>
      <w:rPr>
        <w:rFonts w:hint="default"/>
        <w:lang w:val="en-US" w:eastAsia="en-US" w:bidi="ar-SA"/>
      </w:rPr>
    </w:lvl>
    <w:lvl w:ilvl="3">
      <w:start w:val="0"/>
      <w:numFmt w:val="bullet"/>
      <w:lvlText w:val="•"/>
      <w:lvlJc w:val="left"/>
      <w:pPr>
        <w:ind w:left="17" w:hanging="240"/>
      </w:pPr>
      <w:rPr>
        <w:rFonts w:hint="default"/>
        <w:lang w:val="en-US" w:eastAsia="en-US" w:bidi="ar-SA"/>
      </w:rPr>
    </w:lvl>
    <w:lvl w:ilvl="4">
      <w:start w:val="0"/>
      <w:numFmt w:val="bullet"/>
      <w:lvlText w:val="•"/>
      <w:lvlJc w:val="left"/>
      <w:pPr>
        <w:ind w:left="-123" w:hanging="240"/>
      </w:pPr>
      <w:rPr>
        <w:rFonts w:hint="default"/>
        <w:lang w:val="en-US" w:eastAsia="en-US" w:bidi="ar-SA"/>
      </w:rPr>
    </w:lvl>
    <w:lvl w:ilvl="5">
      <w:start w:val="0"/>
      <w:numFmt w:val="bullet"/>
      <w:lvlText w:val="•"/>
      <w:lvlJc w:val="left"/>
      <w:pPr>
        <w:ind w:left="-264" w:hanging="240"/>
      </w:pPr>
      <w:rPr>
        <w:rFonts w:hint="default"/>
        <w:lang w:val="en-US" w:eastAsia="en-US" w:bidi="ar-SA"/>
      </w:rPr>
    </w:lvl>
    <w:lvl w:ilvl="6">
      <w:start w:val="0"/>
      <w:numFmt w:val="bullet"/>
      <w:lvlText w:val="•"/>
      <w:lvlJc w:val="left"/>
      <w:pPr>
        <w:ind w:left="-405" w:hanging="240"/>
      </w:pPr>
      <w:rPr>
        <w:rFonts w:hint="default"/>
        <w:lang w:val="en-US" w:eastAsia="en-US" w:bidi="ar-SA"/>
      </w:rPr>
    </w:lvl>
    <w:lvl w:ilvl="7">
      <w:start w:val="0"/>
      <w:numFmt w:val="bullet"/>
      <w:lvlText w:val="•"/>
      <w:lvlJc w:val="left"/>
      <w:pPr>
        <w:ind w:left="-546" w:hanging="240"/>
      </w:pPr>
      <w:rPr>
        <w:rFonts w:hint="default"/>
        <w:lang w:val="en-US" w:eastAsia="en-US" w:bidi="ar-SA"/>
      </w:rPr>
    </w:lvl>
    <w:lvl w:ilvl="8">
      <w:start w:val="0"/>
      <w:numFmt w:val="bullet"/>
      <w:lvlText w:val="•"/>
      <w:lvlJc w:val="left"/>
      <w:pPr>
        <w:ind w:left="-686" w:hanging="240"/>
      </w:pPr>
      <w:rPr>
        <w:rFonts w:hint="default"/>
        <w:lang w:val="en-US" w:eastAsia="en-US" w:bidi="ar-SA"/>
      </w:rPr>
    </w:lvl>
  </w:abstractNum>
  <w:abstractNum w:abstractNumId="13">
    <w:multiLevelType w:val="hybridMultilevel"/>
    <w:lvl w:ilvl="0">
      <w:start w:val="1"/>
      <w:numFmt w:val="lowerLetter"/>
      <w:lvlText w:val="(%1)"/>
      <w:lvlJc w:val="left"/>
      <w:pPr>
        <w:ind w:left="44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6" w:hanging="240"/>
      </w:pPr>
      <w:rPr>
        <w:rFonts w:hint="default"/>
        <w:lang w:val="en-US" w:eastAsia="en-US" w:bidi="ar-SA"/>
      </w:rPr>
    </w:lvl>
    <w:lvl w:ilvl="2">
      <w:start w:val="0"/>
      <w:numFmt w:val="bullet"/>
      <w:lvlText w:val="•"/>
      <w:lvlJc w:val="left"/>
      <w:pPr>
        <w:ind w:left="1173" w:hanging="240"/>
      </w:pPr>
      <w:rPr>
        <w:rFonts w:hint="default"/>
        <w:lang w:val="en-US" w:eastAsia="en-US" w:bidi="ar-SA"/>
      </w:rPr>
    </w:lvl>
    <w:lvl w:ilvl="3">
      <w:start w:val="0"/>
      <w:numFmt w:val="bullet"/>
      <w:lvlText w:val="•"/>
      <w:lvlJc w:val="left"/>
      <w:pPr>
        <w:ind w:left="1540" w:hanging="240"/>
      </w:pPr>
      <w:rPr>
        <w:rFonts w:hint="default"/>
        <w:lang w:val="en-US" w:eastAsia="en-US" w:bidi="ar-SA"/>
      </w:rPr>
    </w:lvl>
    <w:lvl w:ilvl="4">
      <w:start w:val="0"/>
      <w:numFmt w:val="bullet"/>
      <w:lvlText w:val="•"/>
      <w:lvlJc w:val="left"/>
      <w:pPr>
        <w:ind w:left="1907" w:hanging="240"/>
      </w:pPr>
      <w:rPr>
        <w:rFonts w:hint="default"/>
        <w:lang w:val="en-US" w:eastAsia="en-US" w:bidi="ar-SA"/>
      </w:rPr>
    </w:lvl>
    <w:lvl w:ilvl="5">
      <w:start w:val="0"/>
      <w:numFmt w:val="bullet"/>
      <w:lvlText w:val="•"/>
      <w:lvlJc w:val="left"/>
      <w:pPr>
        <w:ind w:left="2273" w:hanging="240"/>
      </w:pPr>
      <w:rPr>
        <w:rFonts w:hint="default"/>
        <w:lang w:val="en-US" w:eastAsia="en-US" w:bidi="ar-SA"/>
      </w:rPr>
    </w:lvl>
    <w:lvl w:ilvl="6">
      <w:start w:val="0"/>
      <w:numFmt w:val="bullet"/>
      <w:lvlText w:val="•"/>
      <w:lvlJc w:val="left"/>
      <w:pPr>
        <w:ind w:left="2640" w:hanging="240"/>
      </w:pPr>
      <w:rPr>
        <w:rFonts w:hint="default"/>
        <w:lang w:val="en-US" w:eastAsia="en-US" w:bidi="ar-SA"/>
      </w:rPr>
    </w:lvl>
    <w:lvl w:ilvl="7">
      <w:start w:val="0"/>
      <w:numFmt w:val="bullet"/>
      <w:lvlText w:val="•"/>
      <w:lvlJc w:val="left"/>
      <w:pPr>
        <w:ind w:left="3007" w:hanging="240"/>
      </w:pPr>
      <w:rPr>
        <w:rFonts w:hint="default"/>
        <w:lang w:val="en-US" w:eastAsia="en-US" w:bidi="ar-SA"/>
      </w:rPr>
    </w:lvl>
    <w:lvl w:ilvl="8">
      <w:start w:val="0"/>
      <w:numFmt w:val="bullet"/>
      <w:lvlText w:val="•"/>
      <w:lvlJc w:val="left"/>
      <w:pPr>
        <w:ind w:left="3374" w:hanging="240"/>
      </w:pPr>
      <w:rPr>
        <w:rFonts w:hint="default"/>
        <w:lang w:val="en-US" w:eastAsia="en-US" w:bidi="ar-SA"/>
      </w:rPr>
    </w:lvl>
  </w:abstractNum>
  <w:abstractNum w:abstractNumId="12">
    <w:multiLevelType w:val="hybridMultilevel"/>
    <w:lvl w:ilvl="0">
      <w:start w:val="1"/>
      <w:numFmt w:val="lowerLetter"/>
      <w:lvlText w:val="(%1)"/>
      <w:lvlJc w:val="left"/>
      <w:pPr>
        <w:ind w:left="46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146" w:hanging="241"/>
      </w:pPr>
      <w:rPr>
        <w:rFonts w:hint="default"/>
        <w:lang w:val="en-US" w:eastAsia="en-US" w:bidi="ar-SA"/>
      </w:rPr>
    </w:lvl>
    <w:lvl w:ilvl="3">
      <w:start w:val="0"/>
      <w:numFmt w:val="bullet"/>
      <w:lvlText w:val="•"/>
      <w:lvlJc w:val="left"/>
      <w:pPr>
        <w:ind w:left="5073" w:hanging="241"/>
      </w:pPr>
      <w:rPr>
        <w:rFonts w:hint="default"/>
        <w:lang w:val="en-US" w:eastAsia="en-US" w:bidi="ar-SA"/>
      </w:rPr>
    </w:lvl>
    <w:lvl w:ilvl="4">
      <w:start w:val="0"/>
      <w:numFmt w:val="bullet"/>
      <w:lvlText w:val="•"/>
      <w:lvlJc w:val="left"/>
      <w:pPr>
        <w:ind w:left="5000" w:hanging="241"/>
      </w:pPr>
      <w:rPr>
        <w:rFonts w:hint="default"/>
        <w:lang w:val="en-US" w:eastAsia="en-US" w:bidi="ar-SA"/>
      </w:rPr>
    </w:lvl>
    <w:lvl w:ilvl="5">
      <w:start w:val="0"/>
      <w:numFmt w:val="bullet"/>
      <w:lvlText w:val="•"/>
      <w:lvlJc w:val="left"/>
      <w:pPr>
        <w:ind w:left="4926" w:hanging="241"/>
      </w:pPr>
      <w:rPr>
        <w:rFonts w:hint="default"/>
        <w:lang w:val="en-US" w:eastAsia="en-US" w:bidi="ar-SA"/>
      </w:rPr>
    </w:lvl>
    <w:lvl w:ilvl="6">
      <w:start w:val="0"/>
      <w:numFmt w:val="bullet"/>
      <w:lvlText w:val="•"/>
      <w:lvlJc w:val="left"/>
      <w:pPr>
        <w:ind w:left="4853" w:hanging="241"/>
      </w:pPr>
      <w:rPr>
        <w:rFonts w:hint="default"/>
        <w:lang w:val="en-US" w:eastAsia="en-US" w:bidi="ar-SA"/>
      </w:rPr>
    </w:lvl>
    <w:lvl w:ilvl="7">
      <w:start w:val="0"/>
      <w:numFmt w:val="bullet"/>
      <w:lvlText w:val="•"/>
      <w:lvlJc w:val="left"/>
      <w:pPr>
        <w:ind w:left="4780" w:hanging="241"/>
      </w:pPr>
      <w:rPr>
        <w:rFonts w:hint="default"/>
        <w:lang w:val="en-US" w:eastAsia="en-US" w:bidi="ar-SA"/>
      </w:rPr>
    </w:lvl>
    <w:lvl w:ilvl="8">
      <w:start w:val="0"/>
      <w:numFmt w:val="bullet"/>
      <w:lvlText w:val="•"/>
      <w:lvlJc w:val="left"/>
      <w:pPr>
        <w:ind w:left="4706" w:hanging="241"/>
      </w:pPr>
      <w:rPr>
        <w:rFonts w:hint="default"/>
        <w:lang w:val="en-US" w:eastAsia="en-US" w:bidi="ar-SA"/>
      </w:rPr>
    </w:lvl>
  </w:abstractNum>
  <w:abstractNum w:abstractNumId="11">
    <w:multiLevelType w:val="hybridMultilevel"/>
    <w:lvl w:ilvl="0">
      <w:start w:val="1"/>
      <w:numFmt w:val="lowerLetter"/>
      <w:lvlText w:val="(%1)"/>
      <w:lvlJc w:val="left"/>
      <w:pPr>
        <w:ind w:left="45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99" w:hanging="240"/>
      </w:pPr>
      <w:rPr>
        <w:rFonts w:hint="default"/>
        <w:lang w:val="en-US" w:eastAsia="en-US" w:bidi="ar-SA"/>
      </w:rPr>
    </w:lvl>
    <w:lvl w:ilvl="2">
      <w:start w:val="0"/>
      <w:numFmt w:val="bullet"/>
      <w:lvlText w:val="•"/>
      <w:lvlJc w:val="left"/>
      <w:pPr>
        <w:ind w:left="1139" w:hanging="240"/>
      </w:pPr>
      <w:rPr>
        <w:rFonts w:hint="default"/>
        <w:lang w:val="en-US" w:eastAsia="en-US" w:bidi="ar-SA"/>
      </w:rPr>
    </w:lvl>
    <w:lvl w:ilvl="3">
      <w:start w:val="0"/>
      <w:numFmt w:val="bullet"/>
      <w:lvlText w:val="•"/>
      <w:lvlJc w:val="left"/>
      <w:pPr>
        <w:ind w:left="1478" w:hanging="240"/>
      </w:pPr>
      <w:rPr>
        <w:rFonts w:hint="default"/>
        <w:lang w:val="en-US" w:eastAsia="en-US" w:bidi="ar-SA"/>
      </w:rPr>
    </w:lvl>
    <w:lvl w:ilvl="4">
      <w:start w:val="0"/>
      <w:numFmt w:val="bullet"/>
      <w:lvlText w:val="•"/>
      <w:lvlJc w:val="left"/>
      <w:pPr>
        <w:ind w:left="1818" w:hanging="240"/>
      </w:pPr>
      <w:rPr>
        <w:rFonts w:hint="default"/>
        <w:lang w:val="en-US" w:eastAsia="en-US" w:bidi="ar-SA"/>
      </w:rPr>
    </w:lvl>
    <w:lvl w:ilvl="5">
      <w:start w:val="0"/>
      <w:numFmt w:val="bullet"/>
      <w:lvlText w:val="•"/>
      <w:lvlJc w:val="left"/>
      <w:pPr>
        <w:ind w:left="2157" w:hanging="240"/>
      </w:pPr>
      <w:rPr>
        <w:rFonts w:hint="default"/>
        <w:lang w:val="en-US" w:eastAsia="en-US" w:bidi="ar-SA"/>
      </w:rPr>
    </w:lvl>
    <w:lvl w:ilvl="6">
      <w:start w:val="0"/>
      <w:numFmt w:val="bullet"/>
      <w:lvlText w:val="•"/>
      <w:lvlJc w:val="left"/>
      <w:pPr>
        <w:ind w:left="2497" w:hanging="240"/>
      </w:pPr>
      <w:rPr>
        <w:rFonts w:hint="default"/>
        <w:lang w:val="en-US" w:eastAsia="en-US" w:bidi="ar-SA"/>
      </w:rPr>
    </w:lvl>
    <w:lvl w:ilvl="7">
      <w:start w:val="0"/>
      <w:numFmt w:val="bullet"/>
      <w:lvlText w:val="•"/>
      <w:lvlJc w:val="left"/>
      <w:pPr>
        <w:ind w:left="2836" w:hanging="240"/>
      </w:pPr>
      <w:rPr>
        <w:rFonts w:hint="default"/>
        <w:lang w:val="en-US" w:eastAsia="en-US" w:bidi="ar-SA"/>
      </w:rPr>
    </w:lvl>
    <w:lvl w:ilvl="8">
      <w:start w:val="0"/>
      <w:numFmt w:val="bullet"/>
      <w:lvlText w:val="•"/>
      <w:lvlJc w:val="left"/>
      <w:pPr>
        <w:ind w:left="3176" w:hanging="240"/>
      </w:pPr>
      <w:rPr>
        <w:rFonts w:hint="default"/>
        <w:lang w:val="en-US" w:eastAsia="en-US" w:bidi="ar-SA"/>
      </w:rPr>
    </w:lvl>
  </w:abstractNum>
  <w:abstractNum w:abstractNumId="10">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8" w:hanging="240"/>
      </w:pPr>
      <w:rPr>
        <w:rFonts w:hint="default"/>
        <w:lang w:val="en-US" w:eastAsia="en-US" w:bidi="ar-SA"/>
      </w:rPr>
    </w:lvl>
    <w:lvl w:ilvl="2">
      <w:start w:val="0"/>
      <w:numFmt w:val="bullet"/>
      <w:lvlText w:val="•"/>
      <w:lvlJc w:val="left"/>
      <w:pPr>
        <w:ind w:left="1216" w:hanging="240"/>
      </w:pPr>
      <w:rPr>
        <w:rFonts w:hint="default"/>
        <w:lang w:val="en-US" w:eastAsia="en-US" w:bidi="ar-SA"/>
      </w:rPr>
    </w:lvl>
    <w:lvl w:ilvl="3">
      <w:start w:val="0"/>
      <w:numFmt w:val="bullet"/>
      <w:lvlText w:val="•"/>
      <w:lvlJc w:val="left"/>
      <w:pPr>
        <w:ind w:left="1614" w:hanging="240"/>
      </w:pPr>
      <w:rPr>
        <w:rFonts w:hint="default"/>
        <w:lang w:val="en-US" w:eastAsia="en-US" w:bidi="ar-SA"/>
      </w:rPr>
    </w:lvl>
    <w:lvl w:ilvl="4">
      <w:start w:val="0"/>
      <w:numFmt w:val="bullet"/>
      <w:lvlText w:val="•"/>
      <w:lvlJc w:val="left"/>
      <w:pPr>
        <w:ind w:left="2012" w:hanging="240"/>
      </w:pPr>
      <w:rPr>
        <w:rFonts w:hint="default"/>
        <w:lang w:val="en-US" w:eastAsia="en-US" w:bidi="ar-SA"/>
      </w:rPr>
    </w:lvl>
    <w:lvl w:ilvl="5">
      <w:start w:val="0"/>
      <w:numFmt w:val="bullet"/>
      <w:lvlText w:val="•"/>
      <w:lvlJc w:val="left"/>
      <w:pPr>
        <w:ind w:left="2410" w:hanging="240"/>
      </w:pPr>
      <w:rPr>
        <w:rFonts w:hint="default"/>
        <w:lang w:val="en-US" w:eastAsia="en-US" w:bidi="ar-SA"/>
      </w:rPr>
    </w:lvl>
    <w:lvl w:ilvl="6">
      <w:start w:val="0"/>
      <w:numFmt w:val="bullet"/>
      <w:lvlText w:val="•"/>
      <w:lvlJc w:val="left"/>
      <w:pPr>
        <w:ind w:left="2808" w:hanging="240"/>
      </w:pPr>
      <w:rPr>
        <w:rFonts w:hint="default"/>
        <w:lang w:val="en-US" w:eastAsia="en-US" w:bidi="ar-SA"/>
      </w:rPr>
    </w:lvl>
    <w:lvl w:ilvl="7">
      <w:start w:val="0"/>
      <w:numFmt w:val="bullet"/>
      <w:lvlText w:val="•"/>
      <w:lvlJc w:val="left"/>
      <w:pPr>
        <w:ind w:left="3206" w:hanging="240"/>
      </w:pPr>
      <w:rPr>
        <w:rFonts w:hint="default"/>
        <w:lang w:val="en-US" w:eastAsia="en-US" w:bidi="ar-SA"/>
      </w:rPr>
    </w:lvl>
    <w:lvl w:ilvl="8">
      <w:start w:val="0"/>
      <w:numFmt w:val="bullet"/>
      <w:lvlText w:val="•"/>
      <w:lvlJc w:val="left"/>
      <w:pPr>
        <w:ind w:left="3604" w:hanging="240"/>
      </w:pPr>
      <w:rPr>
        <w:rFonts w:hint="default"/>
        <w:lang w:val="en-US" w:eastAsia="en-US" w:bidi="ar-SA"/>
      </w:rPr>
    </w:lvl>
  </w:abstractNum>
  <w:abstractNum w:abstractNumId="9">
    <w:multiLevelType w:val="hybridMultilevel"/>
    <w:lvl w:ilvl="0">
      <w:start w:val="1"/>
      <w:numFmt w:val="decimal"/>
      <w:lvlText w:val="(%1)"/>
      <w:lvlJc w:val="left"/>
      <w:pPr>
        <w:ind w:left="662" w:hanging="241"/>
        <w:jc w:val="left"/>
      </w:pPr>
      <w:rPr>
        <w:rFonts w:hint="default" w:ascii="Times New Roman" w:hAnsi="Times New Roman" w:eastAsia="Times New Roman" w:cs="Times New Roman"/>
        <w:color w:val="231F20"/>
        <w:spacing w:val="-6"/>
        <w:w w:val="100"/>
        <w:sz w:val="12"/>
        <w:szCs w:val="12"/>
        <w:lang w:val="en-US" w:eastAsia="en-US" w:bidi="ar-SA"/>
      </w:rPr>
    </w:lvl>
    <w:lvl w:ilvl="1">
      <w:start w:val="0"/>
      <w:numFmt w:val="bullet"/>
      <w:lvlText w:val="•"/>
      <w:lvlJc w:val="left"/>
      <w:pPr>
        <w:ind w:left="1658" w:hanging="241"/>
      </w:pPr>
      <w:rPr>
        <w:rFonts w:hint="default"/>
        <w:lang w:val="en-US" w:eastAsia="en-US" w:bidi="ar-SA"/>
      </w:rPr>
    </w:lvl>
    <w:lvl w:ilvl="2">
      <w:start w:val="0"/>
      <w:numFmt w:val="bullet"/>
      <w:lvlText w:val="•"/>
      <w:lvlJc w:val="left"/>
      <w:pPr>
        <w:ind w:left="2656" w:hanging="241"/>
      </w:pPr>
      <w:rPr>
        <w:rFonts w:hint="default"/>
        <w:lang w:val="en-US" w:eastAsia="en-US" w:bidi="ar-SA"/>
      </w:rPr>
    </w:lvl>
    <w:lvl w:ilvl="3">
      <w:start w:val="0"/>
      <w:numFmt w:val="bullet"/>
      <w:lvlText w:val="•"/>
      <w:lvlJc w:val="left"/>
      <w:pPr>
        <w:ind w:left="3654" w:hanging="241"/>
      </w:pPr>
      <w:rPr>
        <w:rFonts w:hint="default"/>
        <w:lang w:val="en-US" w:eastAsia="en-US" w:bidi="ar-SA"/>
      </w:rPr>
    </w:lvl>
    <w:lvl w:ilvl="4">
      <w:start w:val="0"/>
      <w:numFmt w:val="bullet"/>
      <w:lvlText w:val="•"/>
      <w:lvlJc w:val="left"/>
      <w:pPr>
        <w:ind w:left="4652" w:hanging="241"/>
      </w:pPr>
      <w:rPr>
        <w:rFonts w:hint="default"/>
        <w:lang w:val="en-US" w:eastAsia="en-US" w:bidi="ar-SA"/>
      </w:rPr>
    </w:lvl>
    <w:lvl w:ilvl="5">
      <w:start w:val="0"/>
      <w:numFmt w:val="bullet"/>
      <w:lvlText w:val="•"/>
      <w:lvlJc w:val="left"/>
      <w:pPr>
        <w:ind w:left="5650" w:hanging="241"/>
      </w:pPr>
      <w:rPr>
        <w:rFonts w:hint="default"/>
        <w:lang w:val="en-US" w:eastAsia="en-US" w:bidi="ar-SA"/>
      </w:rPr>
    </w:lvl>
    <w:lvl w:ilvl="6">
      <w:start w:val="0"/>
      <w:numFmt w:val="bullet"/>
      <w:lvlText w:val="•"/>
      <w:lvlJc w:val="left"/>
      <w:pPr>
        <w:ind w:left="6648" w:hanging="241"/>
      </w:pPr>
      <w:rPr>
        <w:rFonts w:hint="default"/>
        <w:lang w:val="en-US" w:eastAsia="en-US" w:bidi="ar-SA"/>
      </w:rPr>
    </w:lvl>
    <w:lvl w:ilvl="7">
      <w:start w:val="0"/>
      <w:numFmt w:val="bullet"/>
      <w:lvlText w:val="•"/>
      <w:lvlJc w:val="left"/>
      <w:pPr>
        <w:ind w:left="7646" w:hanging="241"/>
      </w:pPr>
      <w:rPr>
        <w:rFonts w:hint="default"/>
        <w:lang w:val="en-US" w:eastAsia="en-US" w:bidi="ar-SA"/>
      </w:rPr>
    </w:lvl>
    <w:lvl w:ilvl="8">
      <w:start w:val="0"/>
      <w:numFmt w:val="bullet"/>
      <w:lvlText w:val="•"/>
      <w:lvlJc w:val="left"/>
      <w:pPr>
        <w:ind w:left="8644" w:hanging="241"/>
      </w:pPr>
      <w:rPr>
        <w:rFonts w:hint="default"/>
        <w:lang w:val="en-US" w:eastAsia="en-US" w:bidi="ar-SA"/>
      </w:rPr>
    </w:lvl>
  </w:abstractNum>
  <w:abstractNum w:abstractNumId="7">
    <w:multiLevelType w:val="hybridMultilevel"/>
    <w:lvl w:ilvl="0">
      <w:start w:val="2"/>
      <w:numFmt w:val="decimal"/>
      <w:lvlText w:val="%1"/>
      <w:lvlJc w:val="left"/>
      <w:pPr>
        <w:ind w:left="8210" w:hanging="3208"/>
        <w:jc w:val="left"/>
      </w:pPr>
      <w:rPr>
        <w:rFonts w:hint="default"/>
        <w:lang w:val="en-US" w:eastAsia="en-US" w:bidi="ar-SA"/>
      </w:rPr>
    </w:lvl>
    <w:lvl w:ilvl="1">
      <w:start w:val="1"/>
      <w:numFmt w:val="decimal"/>
      <w:lvlText w:val="%1.%2"/>
      <w:lvlJc w:val="left"/>
      <w:pPr>
        <w:ind w:left="8210" w:hanging="3208"/>
        <w:jc w:val="right"/>
      </w:pPr>
      <w:rPr>
        <w:rFonts w:hint="default" w:ascii="Times New Roman" w:hAnsi="Times New Roman" w:eastAsia="Times New Roman" w:cs="Times New Roman"/>
        <w:b/>
        <w:bCs/>
        <w:color w:val="009483"/>
        <w:spacing w:val="-4"/>
        <w:w w:val="100"/>
        <w:sz w:val="28"/>
        <w:szCs w:val="28"/>
        <w:u w:val="thick" w:color="0093C1"/>
        <w:lang w:val="en-US" w:eastAsia="en-US" w:bidi="ar-SA"/>
      </w:rPr>
    </w:lvl>
    <w:lvl w:ilvl="2">
      <w:start w:val="0"/>
      <w:numFmt w:val="bullet"/>
      <w:lvlText w:val="•"/>
      <w:lvlJc w:val="left"/>
      <w:pPr>
        <w:ind w:left="8704" w:hanging="3208"/>
      </w:pPr>
      <w:rPr>
        <w:rFonts w:hint="default"/>
        <w:lang w:val="en-US" w:eastAsia="en-US" w:bidi="ar-SA"/>
      </w:rPr>
    </w:lvl>
    <w:lvl w:ilvl="3">
      <w:start w:val="0"/>
      <w:numFmt w:val="bullet"/>
      <w:lvlText w:val="•"/>
      <w:lvlJc w:val="left"/>
      <w:pPr>
        <w:ind w:left="8946" w:hanging="3208"/>
      </w:pPr>
      <w:rPr>
        <w:rFonts w:hint="default"/>
        <w:lang w:val="en-US" w:eastAsia="en-US" w:bidi="ar-SA"/>
      </w:rPr>
    </w:lvl>
    <w:lvl w:ilvl="4">
      <w:start w:val="0"/>
      <w:numFmt w:val="bullet"/>
      <w:lvlText w:val="•"/>
      <w:lvlJc w:val="left"/>
      <w:pPr>
        <w:ind w:left="9188" w:hanging="3208"/>
      </w:pPr>
      <w:rPr>
        <w:rFonts w:hint="default"/>
        <w:lang w:val="en-US" w:eastAsia="en-US" w:bidi="ar-SA"/>
      </w:rPr>
    </w:lvl>
    <w:lvl w:ilvl="5">
      <w:start w:val="0"/>
      <w:numFmt w:val="bullet"/>
      <w:lvlText w:val="•"/>
      <w:lvlJc w:val="left"/>
      <w:pPr>
        <w:ind w:left="9430" w:hanging="3208"/>
      </w:pPr>
      <w:rPr>
        <w:rFonts w:hint="default"/>
        <w:lang w:val="en-US" w:eastAsia="en-US" w:bidi="ar-SA"/>
      </w:rPr>
    </w:lvl>
    <w:lvl w:ilvl="6">
      <w:start w:val="0"/>
      <w:numFmt w:val="bullet"/>
      <w:lvlText w:val="•"/>
      <w:lvlJc w:val="left"/>
      <w:pPr>
        <w:ind w:left="9672" w:hanging="3208"/>
      </w:pPr>
      <w:rPr>
        <w:rFonts w:hint="default"/>
        <w:lang w:val="en-US" w:eastAsia="en-US" w:bidi="ar-SA"/>
      </w:rPr>
    </w:lvl>
    <w:lvl w:ilvl="7">
      <w:start w:val="0"/>
      <w:numFmt w:val="bullet"/>
      <w:lvlText w:val="•"/>
      <w:lvlJc w:val="left"/>
      <w:pPr>
        <w:ind w:left="9914" w:hanging="3208"/>
      </w:pPr>
      <w:rPr>
        <w:rFonts w:hint="default"/>
        <w:lang w:val="en-US" w:eastAsia="en-US" w:bidi="ar-SA"/>
      </w:rPr>
    </w:lvl>
    <w:lvl w:ilvl="8">
      <w:start w:val="0"/>
      <w:numFmt w:val="bullet"/>
      <w:lvlText w:val="•"/>
      <w:lvlJc w:val="left"/>
      <w:pPr>
        <w:ind w:left="10156" w:hanging="3208"/>
      </w:pPr>
      <w:rPr>
        <w:rFonts w:hint="default"/>
        <w:lang w:val="en-US" w:eastAsia="en-US" w:bidi="ar-SA"/>
      </w:rPr>
    </w:lvl>
  </w:abstractNum>
  <w:abstractNum w:abstractNumId="6">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3" w:hanging="240"/>
      </w:pPr>
      <w:rPr>
        <w:rFonts w:hint="default"/>
        <w:lang w:val="en-US" w:eastAsia="en-US" w:bidi="ar-SA"/>
      </w:rPr>
    </w:lvl>
    <w:lvl w:ilvl="2">
      <w:start w:val="0"/>
      <w:numFmt w:val="bullet"/>
      <w:lvlText w:val="•"/>
      <w:lvlJc w:val="left"/>
      <w:pPr>
        <w:ind w:left="1126" w:hanging="240"/>
      </w:pPr>
      <w:rPr>
        <w:rFonts w:hint="default"/>
        <w:lang w:val="en-US" w:eastAsia="en-US" w:bidi="ar-SA"/>
      </w:rPr>
    </w:lvl>
    <w:lvl w:ilvl="3">
      <w:start w:val="0"/>
      <w:numFmt w:val="bullet"/>
      <w:lvlText w:val="•"/>
      <w:lvlJc w:val="left"/>
      <w:pPr>
        <w:ind w:left="1479" w:hanging="240"/>
      </w:pPr>
      <w:rPr>
        <w:rFonts w:hint="default"/>
        <w:lang w:val="en-US" w:eastAsia="en-US" w:bidi="ar-SA"/>
      </w:rPr>
    </w:lvl>
    <w:lvl w:ilvl="4">
      <w:start w:val="0"/>
      <w:numFmt w:val="bullet"/>
      <w:lvlText w:val="•"/>
      <w:lvlJc w:val="left"/>
      <w:pPr>
        <w:ind w:left="1832" w:hanging="240"/>
      </w:pPr>
      <w:rPr>
        <w:rFonts w:hint="default"/>
        <w:lang w:val="en-US" w:eastAsia="en-US" w:bidi="ar-SA"/>
      </w:rPr>
    </w:lvl>
    <w:lvl w:ilvl="5">
      <w:start w:val="0"/>
      <w:numFmt w:val="bullet"/>
      <w:lvlText w:val="•"/>
      <w:lvlJc w:val="left"/>
      <w:pPr>
        <w:ind w:left="2185" w:hanging="240"/>
      </w:pPr>
      <w:rPr>
        <w:rFonts w:hint="default"/>
        <w:lang w:val="en-US" w:eastAsia="en-US" w:bidi="ar-SA"/>
      </w:rPr>
    </w:lvl>
    <w:lvl w:ilvl="6">
      <w:start w:val="0"/>
      <w:numFmt w:val="bullet"/>
      <w:lvlText w:val="•"/>
      <w:lvlJc w:val="left"/>
      <w:pPr>
        <w:ind w:left="2539" w:hanging="240"/>
      </w:pPr>
      <w:rPr>
        <w:rFonts w:hint="default"/>
        <w:lang w:val="en-US" w:eastAsia="en-US" w:bidi="ar-SA"/>
      </w:rPr>
    </w:lvl>
    <w:lvl w:ilvl="7">
      <w:start w:val="0"/>
      <w:numFmt w:val="bullet"/>
      <w:lvlText w:val="•"/>
      <w:lvlJc w:val="left"/>
      <w:pPr>
        <w:ind w:left="2892" w:hanging="240"/>
      </w:pPr>
      <w:rPr>
        <w:rFonts w:hint="default"/>
        <w:lang w:val="en-US" w:eastAsia="en-US" w:bidi="ar-SA"/>
      </w:rPr>
    </w:lvl>
    <w:lvl w:ilvl="8">
      <w:start w:val="0"/>
      <w:numFmt w:val="bullet"/>
      <w:lvlText w:val="•"/>
      <w:lvlJc w:val="left"/>
      <w:pPr>
        <w:ind w:left="3245" w:hanging="240"/>
      </w:pPr>
      <w:rPr>
        <w:rFonts w:hint="default"/>
        <w:lang w:val="en-US" w:eastAsia="en-US" w:bidi="ar-SA"/>
      </w:rPr>
    </w:lvl>
  </w:abstractNum>
  <w:abstractNum w:abstractNumId="5">
    <w:multiLevelType w:val="hybridMultilevel"/>
    <w:lvl w:ilvl="0">
      <w:start w:val="1"/>
      <w:numFmt w:val="decimal"/>
      <w:lvlText w:val="(%1)"/>
      <w:lvlJc w:val="left"/>
      <w:pPr>
        <w:ind w:left="1770" w:hanging="241"/>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2303" w:hanging="241"/>
      </w:pPr>
      <w:rPr>
        <w:rFonts w:hint="default"/>
        <w:lang w:val="en-US" w:eastAsia="en-US" w:bidi="ar-SA"/>
      </w:rPr>
    </w:lvl>
    <w:lvl w:ilvl="2">
      <w:start w:val="0"/>
      <w:numFmt w:val="bullet"/>
      <w:lvlText w:val="•"/>
      <w:lvlJc w:val="left"/>
      <w:pPr>
        <w:ind w:left="2846" w:hanging="241"/>
      </w:pPr>
      <w:rPr>
        <w:rFonts w:hint="default"/>
        <w:lang w:val="en-US" w:eastAsia="en-US" w:bidi="ar-SA"/>
      </w:rPr>
    </w:lvl>
    <w:lvl w:ilvl="3">
      <w:start w:val="0"/>
      <w:numFmt w:val="bullet"/>
      <w:lvlText w:val="•"/>
      <w:lvlJc w:val="left"/>
      <w:pPr>
        <w:ind w:left="3389" w:hanging="241"/>
      </w:pPr>
      <w:rPr>
        <w:rFonts w:hint="default"/>
        <w:lang w:val="en-US" w:eastAsia="en-US" w:bidi="ar-SA"/>
      </w:rPr>
    </w:lvl>
    <w:lvl w:ilvl="4">
      <w:start w:val="0"/>
      <w:numFmt w:val="bullet"/>
      <w:lvlText w:val="•"/>
      <w:lvlJc w:val="left"/>
      <w:pPr>
        <w:ind w:left="3932" w:hanging="241"/>
      </w:pPr>
      <w:rPr>
        <w:rFonts w:hint="default"/>
        <w:lang w:val="en-US" w:eastAsia="en-US" w:bidi="ar-SA"/>
      </w:rPr>
    </w:lvl>
    <w:lvl w:ilvl="5">
      <w:start w:val="0"/>
      <w:numFmt w:val="bullet"/>
      <w:lvlText w:val="•"/>
      <w:lvlJc w:val="left"/>
      <w:pPr>
        <w:ind w:left="4475" w:hanging="241"/>
      </w:pPr>
      <w:rPr>
        <w:rFonts w:hint="default"/>
        <w:lang w:val="en-US" w:eastAsia="en-US" w:bidi="ar-SA"/>
      </w:rPr>
    </w:lvl>
    <w:lvl w:ilvl="6">
      <w:start w:val="0"/>
      <w:numFmt w:val="bullet"/>
      <w:lvlText w:val="•"/>
      <w:lvlJc w:val="left"/>
      <w:pPr>
        <w:ind w:left="5018" w:hanging="241"/>
      </w:pPr>
      <w:rPr>
        <w:rFonts w:hint="default"/>
        <w:lang w:val="en-US" w:eastAsia="en-US" w:bidi="ar-SA"/>
      </w:rPr>
    </w:lvl>
    <w:lvl w:ilvl="7">
      <w:start w:val="0"/>
      <w:numFmt w:val="bullet"/>
      <w:lvlText w:val="•"/>
      <w:lvlJc w:val="left"/>
      <w:pPr>
        <w:ind w:left="5561" w:hanging="241"/>
      </w:pPr>
      <w:rPr>
        <w:rFonts w:hint="default"/>
        <w:lang w:val="en-US" w:eastAsia="en-US" w:bidi="ar-SA"/>
      </w:rPr>
    </w:lvl>
    <w:lvl w:ilvl="8">
      <w:start w:val="0"/>
      <w:numFmt w:val="bullet"/>
      <w:lvlText w:val="•"/>
      <w:lvlJc w:val="left"/>
      <w:pPr>
        <w:ind w:left="6104" w:hanging="241"/>
      </w:pPr>
      <w:rPr>
        <w:rFonts w:hint="default"/>
        <w:lang w:val="en-US" w:eastAsia="en-US" w:bidi="ar-SA"/>
      </w:rPr>
    </w:lvl>
  </w:abstractNum>
  <w:abstractNum w:abstractNumId="4">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74" w:hanging="240"/>
      </w:pPr>
      <w:rPr>
        <w:rFonts w:hint="default"/>
        <w:lang w:val="en-US" w:eastAsia="en-US" w:bidi="ar-SA"/>
      </w:rPr>
    </w:lvl>
    <w:lvl w:ilvl="2">
      <w:start w:val="0"/>
      <w:numFmt w:val="bullet"/>
      <w:lvlText w:val="•"/>
      <w:lvlJc w:val="left"/>
      <w:pPr>
        <w:ind w:left="949" w:hanging="240"/>
      </w:pPr>
      <w:rPr>
        <w:rFonts w:hint="default"/>
        <w:lang w:val="en-US" w:eastAsia="en-US" w:bidi="ar-SA"/>
      </w:rPr>
    </w:lvl>
    <w:lvl w:ilvl="3">
      <w:start w:val="0"/>
      <w:numFmt w:val="bullet"/>
      <w:lvlText w:val="•"/>
      <w:lvlJc w:val="left"/>
      <w:pPr>
        <w:ind w:left="1223" w:hanging="240"/>
      </w:pPr>
      <w:rPr>
        <w:rFonts w:hint="default"/>
        <w:lang w:val="en-US" w:eastAsia="en-US" w:bidi="ar-SA"/>
      </w:rPr>
    </w:lvl>
    <w:lvl w:ilvl="4">
      <w:start w:val="0"/>
      <w:numFmt w:val="bullet"/>
      <w:lvlText w:val="•"/>
      <w:lvlJc w:val="left"/>
      <w:pPr>
        <w:ind w:left="1498" w:hanging="240"/>
      </w:pPr>
      <w:rPr>
        <w:rFonts w:hint="default"/>
        <w:lang w:val="en-US" w:eastAsia="en-US" w:bidi="ar-SA"/>
      </w:rPr>
    </w:lvl>
    <w:lvl w:ilvl="5">
      <w:start w:val="0"/>
      <w:numFmt w:val="bullet"/>
      <w:lvlText w:val="•"/>
      <w:lvlJc w:val="left"/>
      <w:pPr>
        <w:ind w:left="1772" w:hanging="240"/>
      </w:pPr>
      <w:rPr>
        <w:rFonts w:hint="default"/>
        <w:lang w:val="en-US" w:eastAsia="en-US" w:bidi="ar-SA"/>
      </w:rPr>
    </w:lvl>
    <w:lvl w:ilvl="6">
      <w:start w:val="0"/>
      <w:numFmt w:val="bullet"/>
      <w:lvlText w:val="•"/>
      <w:lvlJc w:val="left"/>
      <w:pPr>
        <w:ind w:left="2047" w:hanging="240"/>
      </w:pPr>
      <w:rPr>
        <w:rFonts w:hint="default"/>
        <w:lang w:val="en-US" w:eastAsia="en-US" w:bidi="ar-SA"/>
      </w:rPr>
    </w:lvl>
    <w:lvl w:ilvl="7">
      <w:start w:val="0"/>
      <w:numFmt w:val="bullet"/>
      <w:lvlText w:val="•"/>
      <w:lvlJc w:val="left"/>
      <w:pPr>
        <w:ind w:left="2321" w:hanging="240"/>
      </w:pPr>
      <w:rPr>
        <w:rFonts w:hint="default"/>
        <w:lang w:val="en-US" w:eastAsia="en-US" w:bidi="ar-SA"/>
      </w:rPr>
    </w:lvl>
    <w:lvl w:ilvl="8">
      <w:start w:val="0"/>
      <w:numFmt w:val="bullet"/>
      <w:lvlText w:val="•"/>
      <w:lvlJc w:val="left"/>
      <w:pPr>
        <w:ind w:left="2596" w:hanging="240"/>
      </w:pPr>
      <w:rPr>
        <w:rFonts w:hint="default"/>
        <w:lang w:val="en-US" w:eastAsia="en-US" w:bidi="ar-SA"/>
      </w:rPr>
    </w:lvl>
  </w:abstractNum>
  <w:abstractNum w:abstractNumId="3">
    <w:multiLevelType w:val="hybridMultilevel"/>
    <w:lvl w:ilvl="0">
      <w:start w:val="1"/>
      <w:numFmt w:val="decimal"/>
      <w:lvlText w:val="(%1)"/>
      <w:lvlJc w:val="left"/>
      <w:pPr>
        <w:ind w:left="440"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1"/>
      <w:numFmt w:val="decimal"/>
      <w:lvlText w:val="(%3)"/>
      <w:lvlJc w:val="left"/>
      <w:pPr>
        <w:ind w:left="524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4454" w:hanging="241"/>
      </w:pPr>
      <w:rPr>
        <w:rFonts w:hint="default"/>
        <w:lang w:val="en-US" w:eastAsia="en-US" w:bidi="ar-SA"/>
      </w:rPr>
    </w:lvl>
    <w:lvl w:ilvl="4">
      <w:start w:val="0"/>
      <w:numFmt w:val="bullet"/>
      <w:lvlText w:val="•"/>
      <w:lvlJc w:val="left"/>
      <w:pPr>
        <w:ind w:left="3668" w:hanging="241"/>
      </w:pPr>
      <w:rPr>
        <w:rFonts w:hint="default"/>
        <w:lang w:val="en-US" w:eastAsia="en-US" w:bidi="ar-SA"/>
      </w:rPr>
    </w:lvl>
    <w:lvl w:ilvl="5">
      <w:start w:val="0"/>
      <w:numFmt w:val="bullet"/>
      <w:lvlText w:val="•"/>
      <w:lvlJc w:val="left"/>
      <w:pPr>
        <w:ind w:left="2882" w:hanging="241"/>
      </w:pPr>
      <w:rPr>
        <w:rFonts w:hint="default"/>
        <w:lang w:val="en-US" w:eastAsia="en-US" w:bidi="ar-SA"/>
      </w:rPr>
    </w:lvl>
    <w:lvl w:ilvl="6">
      <w:start w:val="0"/>
      <w:numFmt w:val="bullet"/>
      <w:lvlText w:val="•"/>
      <w:lvlJc w:val="left"/>
      <w:pPr>
        <w:ind w:left="2096" w:hanging="241"/>
      </w:pPr>
      <w:rPr>
        <w:rFonts w:hint="default"/>
        <w:lang w:val="en-US" w:eastAsia="en-US" w:bidi="ar-SA"/>
      </w:rPr>
    </w:lvl>
    <w:lvl w:ilvl="7">
      <w:start w:val="0"/>
      <w:numFmt w:val="bullet"/>
      <w:lvlText w:val="•"/>
      <w:lvlJc w:val="left"/>
      <w:pPr>
        <w:ind w:left="1310" w:hanging="241"/>
      </w:pPr>
      <w:rPr>
        <w:rFonts w:hint="default"/>
        <w:lang w:val="en-US" w:eastAsia="en-US" w:bidi="ar-SA"/>
      </w:rPr>
    </w:lvl>
    <w:lvl w:ilvl="8">
      <w:start w:val="0"/>
      <w:numFmt w:val="bullet"/>
      <w:lvlText w:val="•"/>
      <w:lvlJc w:val="left"/>
      <w:pPr>
        <w:ind w:left="524" w:hanging="241"/>
      </w:pPr>
      <w:rPr>
        <w:rFonts w:hint="default"/>
        <w:lang w:val="en-US" w:eastAsia="en-US" w:bidi="ar-SA"/>
      </w:rPr>
    </w:lvl>
  </w:abstractNum>
  <w:abstractNum w:abstractNumId="2">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42" w:hanging="240"/>
      </w:pPr>
      <w:rPr>
        <w:rFonts w:hint="default"/>
        <w:lang w:val="en-US" w:eastAsia="en-US" w:bidi="ar-SA"/>
      </w:rPr>
    </w:lvl>
    <w:lvl w:ilvl="2">
      <w:start w:val="0"/>
      <w:numFmt w:val="bullet"/>
      <w:lvlText w:val="•"/>
      <w:lvlJc w:val="left"/>
      <w:pPr>
        <w:ind w:left="1044" w:hanging="240"/>
      </w:pPr>
      <w:rPr>
        <w:rFonts w:hint="default"/>
        <w:lang w:val="en-US" w:eastAsia="en-US" w:bidi="ar-SA"/>
      </w:rPr>
    </w:lvl>
    <w:lvl w:ilvl="3">
      <w:start w:val="0"/>
      <w:numFmt w:val="bullet"/>
      <w:lvlText w:val="•"/>
      <w:lvlJc w:val="left"/>
      <w:pPr>
        <w:ind w:left="1346" w:hanging="240"/>
      </w:pPr>
      <w:rPr>
        <w:rFonts w:hint="default"/>
        <w:lang w:val="en-US" w:eastAsia="en-US" w:bidi="ar-SA"/>
      </w:rPr>
    </w:lvl>
    <w:lvl w:ilvl="4">
      <w:start w:val="0"/>
      <w:numFmt w:val="bullet"/>
      <w:lvlText w:val="•"/>
      <w:lvlJc w:val="left"/>
      <w:pPr>
        <w:ind w:left="1648" w:hanging="240"/>
      </w:pPr>
      <w:rPr>
        <w:rFonts w:hint="default"/>
        <w:lang w:val="en-US" w:eastAsia="en-US" w:bidi="ar-SA"/>
      </w:rPr>
    </w:lvl>
    <w:lvl w:ilvl="5">
      <w:start w:val="0"/>
      <w:numFmt w:val="bullet"/>
      <w:lvlText w:val="•"/>
      <w:lvlJc w:val="left"/>
      <w:pPr>
        <w:ind w:left="1950" w:hanging="240"/>
      </w:pPr>
      <w:rPr>
        <w:rFonts w:hint="default"/>
        <w:lang w:val="en-US" w:eastAsia="en-US" w:bidi="ar-SA"/>
      </w:rPr>
    </w:lvl>
    <w:lvl w:ilvl="6">
      <w:start w:val="0"/>
      <w:numFmt w:val="bullet"/>
      <w:lvlText w:val="•"/>
      <w:lvlJc w:val="left"/>
      <w:pPr>
        <w:ind w:left="2252" w:hanging="240"/>
      </w:pPr>
      <w:rPr>
        <w:rFonts w:hint="default"/>
        <w:lang w:val="en-US" w:eastAsia="en-US" w:bidi="ar-SA"/>
      </w:rPr>
    </w:lvl>
    <w:lvl w:ilvl="7">
      <w:start w:val="0"/>
      <w:numFmt w:val="bullet"/>
      <w:lvlText w:val="•"/>
      <w:lvlJc w:val="left"/>
      <w:pPr>
        <w:ind w:left="2554" w:hanging="240"/>
      </w:pPr>
      <w:rPr>
        <w:rFonts w:hint="default"/>
        <w:lang w:val="en-US" w:eastAsia="en-US" w:bidi="ar-SA"/>
      </w:rPr>
    </w:lvl>
    <w:lvl w:ilvl="8">
      <w:start w:val="0"/>
      <w:numFmt w:val="bullet"/>
      <w:lvlText w:val="•"/>
      <w:lvlJc w:val="left"/>
      <w:pPr>
        <w:ind w:left="2857" w:hanging="240"/>
      </w:pPr>
      <w:rPr>
        <w:rFonts w:hint="default"/>
        <w:lang w:val="en-US" w:eastAsia="en-US" w:bidi="ar-SA"/>
      </w:rPr>
    </w:lvl>
  </w:abstractNum>
  <w:abstractNum w:abstractNumId="1">
    <w:multiLevelType w:val="hybridMultilevel"/>
    <w:lvl w:ilvl="0">
      <w:start w:val="1"/>
      <w:numFmt w:val="decimal"/>
      <w:lvlText w:val="%1"/>
      <w:lvlJc w:val="left"/>
      <w:pPr>
        <w:ind w:left="9475" w:hanging="4456"/>
        <w:jc w:val="left"/>
      </w:pPr>
      <w:rPr>
        <w:rFonts w:hint="default"/>
        <w:lang w:val="en-US" w:eastAsia="en-US" w:bidi="ar-SA"/>
      </w:rPr>
    </w:lvl>
    <w:lvl w:ilvl="1">
      <w:start w:val="1"/>
      <w:numFmt w:val="decimal"/>
      <w:lvlText w:val="%1.%2"/>
      <w:lvlJc w:val="left"/>
      <w:pPr>
        <w:ind w:left="9475" w:hanging="4456"/>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1"/>
      <w:numFmt w:val="decimal"/>
      <w:lvlText w:val="(%3)"/>
      <w:lvlJc w:val="left"/>
      <w:pPr>
        <w:ind w:left="522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9737" w:hanging="241"/>
      </w:pPr>
      <w:rPr>
        <w:rFonts w:hint="default"/>
        <w:lang w:val="en-US" w:eastAsia="en-US" w:bidi="ar-SA"/>
      </w:rPr>
    </w:lvl>
    <w:lvl w:ilvl="4">
      <w:start w:val="0"/>
      <w:numFmt w:val="bullet"/>
      <w:lvlText w:val="•"/>
      <w:lvlJc w:val="left"/>
      <w:pPr>
        <w:ind w:left="9866" w:hanging="241"/>
      </w:pPr>
      <w:rPr>
        <w:rFonts w:hint="default"/>
        <w:lang w:val="en-US" w:eastAsia="en-US" w:bidi="ar-SA"/>
      </w:rPr>
    </w:lvl>
    <w:lvl w:ilvl="5">
      <w:start w:val="0"/>
      <w:numFmt w:val="bullet"/>
      <w:lvlText w:val="•"/>
      <w:lvlJc w:val="left"/>
      <w:pPr>
        <w:ind w:left="9995" w:hanging="241"/>
      </w:pPr>
      <w:rPr>
        <w:rFonts w:hint="default"/>
        <w:lang w:val="en-US" w:eastAsia="en-US" w:bidi="ar-SA"/>
      </w:rPr>
    </w:lvl>
    <w:lvl w:ilvl="6">
      <w:start w:val="0"/>
      <w:numFmt w:val="bullet"/>
      <w:lvlText w:val="•"/>
      <w:lvlJc w:val="left"/>
      <w:pPr>
        <w:ind w:left="10124" w:hanging="241"/>
      </w:pPr>
      <w:rPr>
        <w:rFonts w:hint="default"/>
        <w:lang w:val="en-US" w:eastAsia="en-US" w:bidi="ar-SA"/>
      </w:rPr>
    </w:lvl>
    <w:lvl w:ilvl="7">
      <w:start w:val="0"/>
      <w:numFmt w:val="bullet"/>
      <w:lvlText w:val="•"/>
      <w:lvlJc w:val="left"/>
      <w:pPr>
        <w:ind w:left="10253" w:hanging="241"/>
      </w:pPr>
      <w:rPr>
        <w:rFonts w:hint="default"/>
        <w:lang w:val="en-US" w:eastAsia="en-US" w:bidi="ar-SA"/>
      </w:rPr>
    </w:lvl>
    <w:lvl w:ilvl="8">
      <w:start w:val="0"/>
      <w:numFmt w:val="bullet"/>
      <w:lvlText w:val="•"/>
      <w:lvlJc w:val="left"/>
      <w:pPr>
        <w:ind w:left="10382" w:hanging="241"/>
      </w:pPr>
      <w:rPr>
        <w:rFonts w:hint="default"/>
        <w:lang w:val="en-US" w:eastAsia="en-US" w:bidi="ar-SA"/>
      </w:rPr>
    </w:lvl>
  </w:abstractNum>
  <w:abstractNum w:abstractNumId="0">
    <w:multiLevelType w:val="hybridMultilevel"/>
    <w:lvl w:ilvl="0">
      <w:start w:val="1"/>
      <w:numFmt w:val="decimal"/>
      <w:lvlText w:val="%1"/>
      <w:lvlJc w:val="left"/>
      <w:pPr>
        <w:ind w:left="5389" w:hanging="380"/>
        <w:jc w:val="left"/>
      </w:pPr>
      <w:rPr>
        <w:rFonts w:hint="default" w:ascii="Times New Roman" w:hAnsi="Times New Roman" w:eastAsia="Times New Roman" w:cs="Times New Roman"/>
        <w:b/>
        <w:bCs/>
        <w:color w:val="0093C1"/>
        <w:spacing w:val="-14"/>
        <w:w w:val="100"/>
        <w:sz w:val="24"/>
        <w:szCs w:val="24"/>
        <w:lang w:val="en-US" w:eastAsia="en-US" w:bidi="ar-SA"/>
      </w:rPr>
    </w:lvl>
    <w:lvl w:ilvl="1">
      <w:start w:val="1"/>
      <w:numFmt w:val="decimal"/>
      <w:lvlText w:val="%1.%2"/>
      <w:lvlJc w:val="left"/>
      <w:pPr>
        <w:ind w:left="5949" w:hanging="560"/>
        <w:jc w:val="left"/>
      </w:pPr>
      <w:rPr>
        <w:rFonts w:hint="default" w:ascii="Times New Roman" w:hAnsi="Times New Roman" w:eastAsia="Times New Roman" w:cs="Times New Roman"/>
        <w:b/>
        <w:bCs/>
        <w:color w:val="231F20"/>
        <w:w w:val="100"/>
        <w:sz w:val="24"/>
        <w:szCs w:val="24"/>
        <w:lang w:val="en-US" w:eastAsia="en-US" w:bidi="ar-SA"/>
      </w:rPr>
    </w:lvl>
    <w:lvl w:ilvl="2">
      <w:start w:val="0"/>
      <w:numFmt w:val="bullet"/>
      <w:lvlText w:val="•"/>
      <w:lvlJc w:val="left"/>
      <w:pPr>
        <w:ind w:left="6462" w:hanging="560"/>
      </w:pPr>
      <w:rPr>
        <w:rFonts w:hint="default"/>
        <w:lang w:val="en-US" w:eastAsia="en-US" w:bidi="ar-SA"/>
      </w:rPr>
    </w:lvl>
    <w:lvl w:ilvl="3">
      <w:start w:val="0"/>
      <w:numFmt w:val="bullet"/>
      <w:lvlText w:val="•"/>
      <w:lvlJc w:val="left"/>
      <w:pPr>
        <w:ind w:left="6984" w:hanging="560"/>
      </w:pPr>
      <w:rPr>
        <w:rFonts w:hint="default"/>
        <w:lang w:val="en-US" w:eastAsia="en-US" w:bidi="ar-SA"/>
      </w:rPr>
    </w:lvl>
    <w:lvl w:ilvl="4">
      <w:start w:val="0"/>
      <w:numFmt w:val="bullet"/>
      <w:lvlText w:val="•"/>
      <w:lvlJc w:val="left"/>
      <w:pPr>
        <w:ind w:left="7506" w:hanging="560"/>
      </w:pPr>
      <w:rPr>
        <w:rFonts w:hint="default"/>
        <w:lang w:val="en-US" w:eastAsia="en-US" w:bidi="ar-SA"/>
      </w:rPr>
    </w:lvl>
    <w:lvl w:ilvl="5">
      <w:start w:val="0"/>
      <w:numFmt w:val="bullet"/>
      <w:lvlText w:val="•"/>
      <w:lvlJc w:val="left"/>
      <w:pPr>
        <w:ind w:left="8028" w:hanging="560"/>
      </w:pPr>
      <w:rPr>
        <w:rFonts w:hint="default"/>
        <w:lang w:val="en-US" w:eastAsia="en-US" w:bidi="ar-SA"/>
      </w:rPr>
    </w:lvl>
    <w:lvl w:ilvl="6">
      <w:start w:val="0"/>
      <w:numFmt w:val="bullet"/>
      <w:lvlText w:val="•"/>
      <w:lvlJc w:val="left"/>
      <w:pPr>
        <w:ind w:left="8551" w:hanging="560"/>
      </w:pPr>
      <w:rPr>
        <w:rFonts w:hint="default"/>
        <w:lang w:val="en-US" w:eastAsia="en-US" w:bidi="ar-SA"/>
      </w:rPr>
    </w:lvl>
    <w:lvl w:ilvl="7">
      <w:start w:val="0"/>
      <w:numFmt w:val="bullet"/>
      <w:lvlText w:val="•"/>
      <w:lvlJc w:val="left"/>
      <w:pPr>
        <w:ind w:left="9073" w:hanging="560"/>
      </w:pPr>
      <w:rPr>
        <w:rFonts w:hint="default"/>
        <w:lang w:val="en-US" w:eastAsia="en-US" w:bidi="ar-SA"/>
      </w:rPr>
    </w:lvl>
    <w:lvl w:ilvl="8">
      <w:start w:val="0"/>
      <w:numFmt w:val="bullet"/>
      <w:lvlText w:val="•"/>
      <w:lvlJc w:val="left"/>
      <w:pPr>
        <w:ind w:left="9595" w:hanging="560"/>
      </w:pPr>
      <w:rPr>
        <w:rFonts w:hint="default"/>
        <w:lang w:val="en-US" w:eastAsia="en-US" w:bidi="ar-SA"/>
      </w:rPr>
    </w:lvl>
  </w:abstractNum>
  <w:num w:numId="9">
    <w:abstractNumId w:val="8"/>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73"/>
      <w:ind w:left="538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4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4"/>
      <w:ind w:left="6369" w:right="348" w:hanging="980"/>
    </w:pPr>
    <w:rPr>
      <w:rFonts w:ascii="Times New Roman" w:hAnsi="Times New Roman" w:eastAsia="Times New Roman" w:cs="Times New Roman"/>
      <w:i/>
      <w:sz w:val="24"/>
      <w:szCs w:val="24"/>
      <w:lang w:val="en-US" w:eastAsia="en-US" w:bidi="ar-SA"/>
    </w:rPr>
  </w:style>
  <w:style w:styleId="TOC4" w:type="paragraph">
    <w:name w:val="TOC 4"/>
    <w:basedOn w:val="Normal"/>
    <w:uiPriority w:val="1"/>
    <w:qFormat/>
    <w:pPr>
      <w:spacing w:before="44"/>
      <w:ind w:left="5949" w:hanging="561"/>
    </w:pPr>
    <w:rPr>
      <w:rFonts w:ascii="Times New Roman" w:hAnsi="Times New Roman" w:eastAsia="Times New Roman" w:cs="Times New Roman"/>
      <w:b/>
      <w:bCs/>
      <w:i/>
      <w:lang w:val="en-US" w:eastAsia="en-US" w:bidi="ar-SA"/>
    </w:rPr>
  </w:style>
  <w:style w:styleId="TOC5" w:type="paragraph">
    <w:name w:val="TOC 5"/>
    <w:basedOn w:val="Normal"/>
    <w:uiPriority w:val="1"/>
    <w:qFormat/>
    <w:pPr>
      <w:spacing w:before="44"/>
      <w:ind w:left="6249"/>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spacing w:line="274" w:lineRule="exact"/>
      <w:ind w:left="6249"/>
    </w:pPr>
    <w:rPr>
      <w:rFonts w:ascii="Times New Roman" w:hAnsi="Times New Roman" w:eastAsia="Times New Roman" w:cs="Times New Roman"/>
      <w:i/>
      <w:sz w:val="24"/>
      <w:szCs w:val="24"/>
      <w:lang w:val="en-US" w:eastAsia="en-US" w:bidi="ar-SA"/>
    </w:rPr>
  </w:style>
  <w:style w:styleId="TOC7" w:type="paragraph">
    <w:name w:val="TOC 7"/>
    <w:basedOn w:val="Normal"/>
    <w:uiPriority w:val="1"/>
    <w:qFormat/>
    <w:pPr>
      <w:spacing w:before="24"/>
      <w:ind w:left="6369"/>
    </w:pPr>
    <w:rPr>
      <w:rFonts w:ascii="Times New Roman" w:hAnsi="Times New Roman" w:eastAsia="Times New Roman" w:cs="Times New Roman"/>
      <w:b/>
      <w:bCs/>
      <w:i/>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408" w:right="1272"/>
      <w:jc w:val="center"/>
      <w:outlineLvl w:val="1"/>
    </w:pPr>
    <w:rPr>
      <w:rFonts w:ascii="Times New Roman" w:hAnsi="Times New Roman" w:eastAsia="Times New Roman" w:cs="Times New Roman"/>
      <w:b/>
      <w:bCs/>
      <w:sz w:val="60"/>
      <w:szCs w:val="60"/>
      <w:lang w:val="en-US" w:eastAsia="en-US" w:bidi="ar-SA"/>
    </w:rPr>
  </w:style>
  <w:style w:styleId="Heading2" w:type="paragraph">
    <w:name w:val="Heading 2"/>
    <w:basedOn w:val="Normal"/>
    <w:uiPriority w:val="1"/>
    <w:qFormat/>
    <w:pPr>
      <w:spacing w:before="86"/>
      <w:ind w:left="125"/>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spacing w:before="88"/>
      <w:ind w:left="1408"/>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329"/>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5000"/>
      <w:outlineLvl w:val="5"/>
    </w:pPr>
    <w:rPr>
      <w:rFonts w:ascii="Times New Roman" w:hAnsi="Times New Roman" w:eastAsia="Times New Roman" w:cs="Times New Roman"/>
      <w:sz w:val="24"/>
      <w:szCs w:val="24"/>
      <w:lang w:val="en-US" w:eastAsia="en-US" w:bidi="ar-SA"/>
    </w:rPr>
  </w:style>
  <w:style w:styleId="Heading6" w:type="paragraph">
    <w:name w:val="Heading 6"/>
    <w:basedOn w:val="Normal"/>
    <w:uiPriority w:val="1"/>
    <w:qFormat/>
    <w:pPr>
      <w:ind w:left="170"/>
      <w:outlineLvl w:val="6"/>
    </w:pPr>
    <w:rPr>
      <w:rFonts w:ascii="Times New Roman" w:hAnsi="Times New Roman" w:eastAsia="Times New Roman" w:cs="Times New Roman"/>
      <w:i/>
      <w:sz w:val="24"/>
      <w:szCs w:val="24"/>
      <w:lang w:val="en-US" w:eastAsia="en-US" w:bidi="ar-SA"/>
    </w:rPr>
  </w:style>
  <w:style w:styleId="Heading7" w:type="paragraph">
    <w:name w:val="Heading 7"/>
    <w:basedOn w:val="Normal"/>
    <w:uiPriority w:val="1"/>
    <w:qFormat/>
    <w:pPr>
      <w:ind w:left="120"/>
      <w:outlineLvl w:val="7"/>
    </w:pPr>
    <w:rPr>
      <w:rFonts w:ascii="Times New Roman" w:hAnsi="Times New Roman" w:eastAsia="Times New Roman" w:cs="Times New Roman"/>
      <w:b/>
      <w:bCs/>
      <w:sz w:val="22"/>
      <w:szCs w:val="22"/>
      <w:lang w:val="en-US" w:eastAsia="en-US" w:bidi="ar-SA"/>
    </w:rPr>
  </w:style>
  <w:style w:styleId="Heading8" w:type="paragraph">
    <w:name w:val="Heading 8"/>
    <w:basedOn w:val="Normal"/>
    <w:uiPriority w:val="1"/>
    <w:qFormat/>
    <w:pPr>
      <w:ind w:left="419" w:right="513"/>
      <w:outlineLvl w:val="8"/>
    </w:pPr>
    <w:rPr>
      <w:rFonts w:ascii="Times New Roman" w:hAnsi="Times New Roman" w:eastAsia="Times New Roman" w:cs="Times New Roman"/>
      <w:sz w:val="22"/>
      <w:szCs w:val="22"/>
      <w:lang w:val="en-US" w:eastAsia="en-US" w:bidi="ar-SA"/>
    </w:rPr>
  </w:style>
  <w:style w:styleId="Heading9" w:type="paragraph">
    <w:name w:val="Heading 9"/>
    <w:basedOn w:val="Normal"/>
    <w:uiPriority w:val="1"/>
    <w:qFormat/>
    <w:pPr>
      <w:spacing w:before="10"/>
      <w:ind w:left="200"/>
      <w:outlineLvl w:val="9"/>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9"/>
      <w:ind w:left="500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eader" Target="header5.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image" Target="media/image3.pn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eader" Target="header9.xml"/><Relationship Id="rId33" Type="http://schemas.openxmlformats.org/officeDocument/2006/relationships/header" Target="header10.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header" Target="header11.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footer" Target="footer21.xml"/><Relationship Id="rId55" Type="http://schemas.openxmlformats.org/officeDocument/2006/relationships/footer" Target="footer22.xml"/><Relationship Id="rId56" Type="http://schemas.openxmlformats.org/officeDocument/2006/relationships/image" Target="media/image15.png"/><Relationship Id="rId57" Type="http://schemas.openxmlformats.org/officeDocument/2006/relationships/header" Target="header16.xml"/><Relationship Id="rId58" Type="http://schemas.openxmlformats.org/officeDocument/2006/relationships/footer" Target="footer23.xml"/><Relationship Id="rId59" Type="http://schemas.openxmlformats.org/officeDocument/2006/relationships/footer" Target="footer24.xml"/><Relationship Id="rId60" Type="http://schemas.openxmlformats.org/officeDocument/2006/relationships/header" Target="header17.xml"/><Relationship Id="rId61" Type="http://schemas.openxmlformats.org/officeDocument/2006/relationships/header" Target="header18.xml"/><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footer" Target="footer25.xml"/><Relationship Id="rId70" Type="http://schemas.openxmlformats.org/officeDocument/2006/relationships/footer" Target="footer26.xml"/><Relationship Id="rId71" Type="http://schemas.openxmlformats.org/officeDocument/2006/relationships/header" Target="header19.xml"/><Relationship Id="rId72" Type="http://schemas.openxmlformats.org/officeDocument/2006/relationships/header" Target="header20.xml"/><Relationship Id="rId73" Type="http://schemas.openxmlformats.org/officeDocument/2006/relationships/image" Target="media/image23.png"/><Relationship Id="rId74" Type="http://schemas.openxmlformats.org/officeDocument/2006/relationships/image" Target="media/image24.png"/><Relationship Id="rId75" Type="http://schemas.openxmlformats.org/officeDocument/2006/relationships/image" Target="media/image25.png"/><Relationship Id="rId76" Type="http://schemas.openxmlformats.org/officeDocument/2006/relationships/image" Target="media/image26.png"/><Relationship Id="rId77" Type="http://schemas.openxmlformats.org/officeDocument/2006/relationships/image" Target="media/image27.png"/><Relationship Id="rId78" Type="http://schemas.openxmlformats.org/officeDocument/2006/relationships/image" Target="media/image28.png"/><Relationship Id="rId79" Type="http://schemas.openxmlformats.org/officeDocument/2006/relationships/image" Target="media/image29.png"/><Relationship Id="rId80" Type="http://schemas.openxmlformats.org/officeDocument/2006/relationships/header" Target="header21.xml"/><Relationship Id="rId81" Type="http://schemas.openxmlformats.org/officeDocument/2006/relationships/footer" Target="footer27.xml"/><Relationship Id="rId82" Type="http://schemas.openxmlformats.org/officeDocument/2006/relationships/footer" Target="footer28.xml"/><Relationship Id="rId83" Type="http://schemas.openxmlformats.org/officeDocument/2006/relationships/header" Target="header22.xml"/><Relationship Id="rId84" Type="http://schemas.openxmlformats.org/officeDocument/2006/relationships/header" Target="header23.xml"/><Relationship Id="rId85" Type="http://schemas.openxmlformats.org/officeDocument/2006/relationships/footer" Target="footer29.xml"/><Relationship Id="rId86" Type="http://schemas.openxmlformats.org/officeDocument/2006/relationships/footer" Target="footer30.xml"/><Relationship Id="rId87" Type="http://schemas.openxmlformats.org/officeDocument/2006/relationships/header" Target="header24.xml"/><Relationship Id="rId88" Type="http://schemas.openxmlformats.org/officeDocument/2006/relationships/footer" Target="footer31.xml"/><Relationship Id="rId89" Type="http://schemas.openxmlformats.org/officeDocument/2006/relationships/footer" Target="footer32.xml"/><Relationship Id="rId90" Type="http://schemas.openxmlformats.org/officeDocument/2006/relationships/header" Target="header25.xml"/><Relationship Id="rId91" Type="http://schemas.openxmlformats.org/officeDocument/2006/relationships/header" Target="header26.xml"/><Relationship Id="rId92" Type="http://schemas.openxmlformats.org/officeDocument/2006/relationships/footer" Target="footer33.xml"/><Relationship Id="rId93" Type="http://schemas.openxmlformats.org/officeDocument/2006/relationships/footer" Target="footer34.xml"/><Relationship Id="rId94" Type="http://schemas.openxmlformats.org/officeDocument/2006/relationships/header" Target="header27.xml"/><Relationship Id="rId95" Type="http://schemas.openxmlformats.org/officeDocument/2006/relationships/header" Target="header28.xml"/><Relationship Id="rId96" Type="http://schemas.openxmlformats.org/officeDocument/2006/relationships/footer" Target="footer35.xml"/><Relationship Id="rId97" Type="http://schemas.openxmlformats.org/officeDocument/2006/relationships/footer" Target="footer36.xml"/><Relationship Id="rId98" Type="http://schemas.openxmlformats.org/officeDocument/2006/relationships/header" Target="header29.xml"/><Relationship Id="rId99" Type="http://schemas.openxmlformats.org/officeDocument/2006/relationships/footer" Target="footer37.xml"/><Relationship Id="rId100" Type="http://schemas.openxmlformats.org/officeDocument/2006/relationships/footer" Target="footer38.xml"/><Relationship Id="rId101" Type="http://schemas.openxmlformats.org/officeDocument/2006/relationships/image" Target="media/image30.png"/><Relationship Id="rId102" Type="http://schemas.openxmlformats.org/officeDocument/2006/relationships/header" Target="header30.xml"/><Relationship Id="rId103" Type="http://schemas.openxmlformats.org/officeDocument/2006/relationships/header" Target="header31.xml"/><Relationship Id="rId104" Type="http://schemas.openxmlformats.org/officeDocument/2006/relationships/footer" Target="footer39.xml"/><Relationship Id="rId105" Type="http://schemas.openxmlformats.org/officeDocument/2006/relationships/footer" Target="footer40.xml"/><Relationship Id="rId106" Type="http://schemas.openxmlformats.org/officeDocument/2006/relationships/header" Target="header32.xml"/><Relationship Id="rId107" Type="http://schemas.openxmlformats.org/officeDocument/2006/relationships/footer" Target="footer41.xml"/><Relationship Id="rId108" Type="http://schemas.openxmlformats.org/officeDocument/2006/relationships/header" Target="header33.xml"/><Relationship Id="rId109" Type="http://schemas.openxmlformats.org/officeDocument/2006/relationships/header" Target="header34.xml"/><Relationship Id="rId110" Type="http://schemas.openxmlformats.org/officeDocument/2006/relationships/footer" Target="footer42.xml"/><Relationship Id="rId111" Type="http://schemas.openxmlformats.org/officeDocument/2006/relationships/footer" Target="footer43.xml"/><Relationship Id="rId112" Type="http://schemas.openxmlformats.org/officeDocument/2006/relationships/header" Target="header35.xml"/><Relationship Id="rId113" Type="http://schemas.openxmlformats.org/officeDocument/2006/relationships/footer" Target="footer44.xml"/><Relationship Id="rId114" Type="http://schemas.openxmlformats.org/officeDocument/2006/relationships/hyperlink" Target="mailto:mapublications@bankofengland.co.uk" TargetMode="External"/><Relationship Id="rId115" Type="http://schemas.openxmlformats.org/officeDocument/2006/relationships/hyperlink" Target="http://www.bankofengland.co.uk/" TargetMode="External"/><Relationship Id="rId116" Type="http://schemas.openxmlformats.org/officeDocument/2006/relationships/header" Target="header36.xml"/><Relationship Id="rId117" Type="http://schemas.openxmlformats.org/officeDocument/2006/relationships/footer" Target="footer45.xml"/><Relationship Id="rId1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Pompilii</dc:creator>
  <dc:title>New contents 2</dc:title>
  <dcterms:created xsi:type="dcterms:W3CDTF">2020-06-02T23:02:11Z</dcterms:created>
  <dcterms:modified xsi:type="dcterms:W3CDTF">2020-06-02T23:02:11Z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1998-02-10T00:00:00Z</vt:filetime>
  </property>
  <property fmtid="{D5CDD505-2E9C-101B-9397-08002B2CF9AE}" pid="3" name="Creator">
    <vt:lpwstr>QuarkXPressª: PSPrinter 8.3.1</vt:lpwstr>
  </property>
  <property fmtid="{D5CDD505-2E9C-101B-9397-08002B2CF9AE}" pid="4" name="LastSaved">
    <vt:filetime>2020-06-02T00:00:00Z</vt:filetime>
  </property>
</Properties>
</file>