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Default Extension="png" ContentType="image/png"/>
  <Override PartName="/word/header3.xml" ContentType="application/vnd.openxmlformats-officedocument.wordprocessingml.header+xml"/>
  <Override PartName="/word/header4.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14.xml" ContentType="application/vnd.openxmlformats-officedocument.wordprocessingml.footer+xml"/>
  <Override PartName="/word/footer15.xml" ContentType="application/vnd.openxmlformats-officedocument.wordprocessingml.footer+xml"/>
  <Override PartName="/word/header9.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8.xml" ContentType="application/vnd.openxmlformats-officedocument.wordprocessingml.footer+xml"/>
  <Override PartName="/word/footer19.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oter20.xml" ContentType="application/vnd.openxmlformats-officedocument.wordprocessingml.footer+xml"/>
  <Override PartName="/word/footer21.xml" ContentType="application/vnd.openxmlformats-officedocument.wordprocessingml.footer+xml"/>
  <Override PartName="/word/header16.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word/header17.xml" ContentType="application/vnd.openxmlformats-officedocument.wordprocessingml.header+xml"/>
  <Override PartName="/word/header18.xml" ContentType="application/vnd.openxmlformats-officedocument.wordprocessingml.header+xml"/>
  <Override PartName="/word/footer24.xml" ContentType="application/vnd.openxmlformats-officedocument.wordprocessingml.footer+xml"/>
  <Override PartName="/word/footer25.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26.xml" ContentType="application/vnd.openxmlformats-officedocument.wordprocessingml.footer+xml"/>
  <Override PartName="/word/footer27.xml" ContentType="application/vnd.openxmlformats-officedocument.wordprocessingml.footer+xml"/>
  <Override PartName="/word/header21.xml" ContentType="application/vnd.openxmlformats-officedocument.wordprocessingml.header+xml"/>
  <Override PartName="/word/header22.xml" ContentType="application/vnd.openxmlformats-officedocument.wordprocessingml.header+xml"/>
  <Override PartName="/word/footer28.xml" ContentType="application/vnd.openxmlformats-officedocument.wordprocessingml.footer+xml"/>
  <Override PartName="/word/footer29.xml" ContentType="application/vnd.openxmlformats-officedocument.wordprocessingml.footer+xml"/>
  <Override PartName="/word/header23.xml" ContentType="application/vnd.openxmlformats-officedocument.wordprocessingml.header+xml"/>
  <Override PartName="/word/footer30.xml" ContentType="application/vnd.openxmlformats-officedocument.wordprocessingml.footer+xml"/>
  <Override PartName="/word/footer31.xml" ContentType="application/vnd.openxmlformats-officedocument.wordprocessingml.footer+xml"/>
  <Override PartName="/word/header24.xml" ContentType="application/vnd.openxmlformats-officedocument.wordprocessingml.header+xml"/>
  <Override PartName="/word/header25.xml" ContentType="application/vnd.openxmlformats-officedocument.wordprocessingml.header+xml"/>
  <Override PartName="/word/footer32.xml" ContentType="application/vnd.openxmlformats-officedocument.wordprocessingml.footer+xml"/>
  <Override PartName="/word/footer33.xml" ContentType="application/vnd.openxmlformats-officedocument.wordprocessingml.footer+xml"/>
  <Override PartName="/word/header26.xml" ContentType="application/vnd.openxmlformats-officedocument.wordprocessingml.header+xml"/>
  <Override PartName="/word/footer34.xml" ContentType="application/vnd.openxmlformats-officedocument.wordprocessingml.footer+xml"/>
  <Override PartName="/word/footer35.xml" ContentType="application/vnd.openxmlformats-officedocument.wordprocessingml.footer+xml"/>
  <Override PartName="/word/header27.xml" ContentType="application/vnd.openxmlformats-officedocument.wordprocessingml.header+xml"/>
  <Override PartName="/word/header28.xml" ContentType="application/vnd.openxmlformats-officedocument.wordprocessingml.header+xml"/>
  <Override PartName="/word/footer36.xml" ContentType="application/vnd.openxmlformats-officedocument.wordprocessingml.footer+xml"/>
  <Override PartName="/word/footer37.xml" ContentType="application/vnd.openxmlformats-officedocument.wordprocessingml.foot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footer38.xml" ContentType="application/vnd.openxmlformats-officedocument.wordprocessingml.footer+xml"/>
  <Override PartName="/word/footer39.xml" ContentType="application/vnd.openxmlformats-officedocument.wordprocessingml.footer+xml"/>
  <Override PartName="/word/header32.xml" ContentType="application/vnd.openxmlformats-officedocument.wordprocessingml.header+xml"/>
  <Override PartName="/word/header33.xml" ContentType="application/vnd.openxmlformats-officedocument.wordprocessingml.header+xml"/>
  <Override PartName="/word/footer40.xml" ContentType="application/vnd.openxmlformats-officedocument.wordprocessingml.footer+xml"/>
  <Override PartName="/word/footer41.xml" ContentType="application/vnd.openxmlformats-officedocument.wordprocessingml.footer+xml"/>
  <Override PartName="/word/header34.xml" ContentType="application/vnd.openxmlformats-officedocument.wordprocessingml.header+xml"/>
  <Override PartName="/word/footer42.xml" ContentType="application/vnd.openxmlformats-officedocument.wordprocessingml.footer+xml"/>
  <Override PartName="/word/header35.xml" ContentType="application/vnd.openxmlformats-officedocument.wordprocessingml.header+xml"/>
  <Override PartName="/word/header36.xml" ContentType="application/vnd.openxmlformats-officedocument.wordprocessingml.header+xml"/>
  <Override PartName="/word/footer43.xml" ContentType="application/vnd.openxmlformats-officedocument.wordprocessingml.footer+xml"/>
  <Override PartName="/word/footer44.xml" ContentType="application/vnd.openxmlformats-officedocument.wordprocessingml.footer+xml"/>
  <Override PartName="/word/header37.xml" ContentType="application/vnd.openxmlformats-officedocument.wordprocessingml.header+xml"/>
  <Override PartName="/word/footer45.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bookmarkStart w:name="Introduction" w:id="1"/>
      <w:bookmarkEnd w:id="1"/>
      <w:r>
        <w:rPr>
          <w:b w:val="0"/>
        </w:rPr>
      </w:r>
      <w:r>
        <w:rPr>
          <w:color w:val="009483"/>
        </w:rPr>
        <w:t>Inflation Report</w:t>
      </w:r>
    </w:p>
    <w:p>
      <w:pPr>
        <w:spacing w:before="711"/>
        <w:ind w:left="3780" w:right="0" w:firstLine="0"/>
        <w:jc w:val="left"/>
        <w:rPr>
          <w:b/>
          <w:sz w:val="40"/>
        </w:rPr>
      </w:pPr>
      <w:r>
        <w:rPr>
          <w:b/>
          <w:color w:val="009483"/>
          <w:sz w:val="40"/>
        </w:rPr>
        <w:t>February 1999</w:t>
      </w:r>
    </w:p>
    <w:p>
      <w:pPr>
        <w:pStyle w:val="BodyText"/>
        <w:spacing w:before="9"/>
        <w:rPr>
          <w:b/>
          <w:sz w:val="40"/>
        </w:rPr>
      </w:pPr>
    </w:p>
    <w:p>
      <w:pPr>
        <w:pStyle w:val="Heading4"/>
        <w:spacing w:line="249" w:lineRule="auto"/>
        <w:ind w:left="3779" w:right="1342"/>
      </w:pPr>
      <w:r>
        <w:rPr>
          <w:color w:val="231F20"/>
        </w:rPr>
        <w:t>The </w:t>
      </w:r>
      <w:r>
        <w:rPr>
          <w:i/>
          <w:color w:val="231F20"/>
        </w:rPr>
        <w:t>Inflation Report </w:t>
      </w:r>
      <w:r>
        <w:rPr>
          <w:color w:val="231F20"/>
        </w:rPr>
        <w:t>is produced quarterly by Bank </w:t>
      </w:r>
      <w:r>
        <w:rPr>
          <w:color w:val="231F20"/>
          <w:spacing w:val="-6"/>
        </w:rPr>
        <w:t>staff </w:t>
      </w:r>
      <w:r>
        <w:rPr>
          <w:color w:val="231F20"/>
        </w:rPr>
        <w:t>under the guidance of the members of the Monetary Policy Committee. It serves two purposes.</w:t>
      </w:r>
      <w:r>
        <w:rPr>
          <w:color w:val="231F20"/>
          <w:spacing w:val="55"/>
        </w:rPr>
        <w:t> </w:t>
      </w:r>
      <w:r>
        <w:rPr>
          <w:color w:val="231F20"/>
        </w:rPr>
        <w:t>First,</w:t>
      </w:r>
    </w:p>
    <w:p>
      <w:pPr>
        <w:spacing w:before="3"/>
        <w:ind w:left="3779" w:right="0" w:firstLine="0"/>
        <w:jc w:val="left"/>
        <w:rPr>
          <w:sz w:val="24"/>
        </w:rPr>
      </w:pPr>
      <w:r>
        <w:rPr>
          <w:color w:val="231F20"/>
          <w:sz w:val="24"/>
        </w:rPr>
        <w:t>its preparation provides a comprehensive and</w:t>
      </w:r>
    </w:p>
    <w:p>
      <w:pPr>
        <w:spacing w:line="249" w:lineRule="auto" w:before="12"/>
        <w:ind w:left="3779" w:right="1342" w:firstLine="0"/>
        <w:jc w:val="left"/>
        <w:rPr>
          <w:sz w:val="24"/>
        </w:rPr>
      </w:pPr>
      <w:r>
        <w:rPr>
          <w:color w:val="231F20"/>
          <w:sz w:val="24"/>
        </w:rPr>
        <w:t>forward-looking framework for discussion among MPC members as an aid to our decision making. Second, its publication allows us to share our thinking and explain the reasons for our decisions to those whom they affect.</w:t>
      </w:r>
    </w:p>
    <w:p>
      <w:pPr>
        <w:pStyle w:val="BodyText"/>
        <w:spacing w:before="4"/>
        <w:rPr>
          <w:sz w:val="25"/>
        </w:rPr>
      </w:pPr>
    </w:p>
    <w:p>
      <w:pPr>
        <w:spacing w:line="249" w:lineRule="auto" w:before="1"/>
        <w:ind w:left="3779" w:right="1575" w:firstLine="0"/>
        <w:jc w:val="left"/>
        <w:rPr>
          <w:sz w:val="24"/>
        </w:rPr>
      </w:pPr>
      <w:r>
        <w:rPr>
          <w:color w:val="231F20"/>
          <w:sz w:val="24"/>
        </w:rPr>
        <w:t>Although not every member will agree with every assumption on which our projections are based, the fan charts represent the MPC’s best collective judgment</w:t>
      </w:r>
    </w:p>
    <w:p>
      <w:pPr>
        <w:spacing w:line="249" w:lineRule="auto" w:before="3"/>
        <w:ind w:left="3779" w:right="1255" w:firstLine="0"/>
        <w:jc w:val="left"/>
        <w:rPr>
          <w:sz w:val="24"/>
        </w:rPr>
      </w:pPr>
      <w:r>
        <w:rPr>
          <w:color w:val="231F20"/>
          <w:sz w:val="24"/>
        </w:rPr>
        <w:t>about the most likely path for inflation and output, and the uncertainties surrounding those central projections.</w:t>
      </w:r>
    </w:p>
    <w:p>
      <w:pPr>
        <w:pStyle w:val="BodyText"/>
        <w:spacing w:before="2"/>
        <w:rPr>
          <w:sz w:val="25"/>
        </w:rPr>
      </w:pPr>
    </w:p>
    <w:p>
      <w:pPr>
        <w:spacing w:line="249" w:lineRule="auto" w:before="0"/>
        <w:ind w:left="3780" w:right="1708" w:firstLine="0"/>
        <w:jc w:val="left"/>
        <w:rPr>
          <w:sz w:val="24"/>
        </w:rPr>
      </w:pPr>
      <w:r>
        <w:rPr>
          <w:color w:val="231F20"/>
          <w:sz w:val="24"/>
        </w:rPr>
        <w:t>The </w:t>
      </w:r>
      <w:r>
        <w:rPr>
          <w:i/>
          <w:color w:val="231F20"/>
          <w:sz w:val="24"/>
        </w:rPr>
        <w:t>Report </w:t>
      </w:r>
      <w:r>
        <w:rPr>
          <w:color w:val="231F20"/>
          <w:sz w:val="24"/>
        </w:rPr>
        <w:t>has been prepared and published by the Bank of England in accordance with section 18 of the Bank of England Act 1998.</w:t>
      </w:r>
    </w:p>
    <w:p>
      <w:pPr>
        <w:pStyle w:val="BodyText"/>
        <w:spacing w:before="3"/>
        <w:rPr>
          <w:sz w:val="25"/>
        </w:rPr>
      </w:pPr>
    </w:p>
    <w:p>
      <w:pPr>
        <w:spacing w:before="1"/>
        <w:ind w:left="3780" w:right="0" w:firstLine="0"/>
        <w:jc w:val="left"/>
        <w:rPr>
          <w:sz w:val="24"/>
        </w:rPr>
      </w:pPr>
      <w:r>
        <w:rPr>
          <w:b/>
          <w:color w:val="231F20"/>
          <w:sz w:val="24"/>
        </w:rPr>
        <w:t>The Monetary Policy Committee</w:t>
      </w:r>
      <w:r>
        <w:rPr>
          <w:color w:val="231F20"/>
          <w:sz w:val="24"/>
        </w:rPr>
        <w:t>:</w:t>
      </w:r>
    </w:p>
    <w:p>
      <w:pPr>
        <w:spacing w:before="12"/>
        <w:ind w:left="3780" w:right="0" w:firstLine="0"/>
        <w:jc w:val="left"/>
        <w:rPr>
          <w:sz w:val="24"/>
        </w:rPr>
      </w:pPr>
      <w:r>
        <w:rPr>
          <w:color w:val="231F20"/>
          <w:sz w:val="24"/>
        </w:rPr>
        <w:t>Eddie George, Governor</w:t>
      </w:r>
    </w:p>
    <w:p>
      <w:pPr>
        <w:spacing w:line="249" w:lineRule="auto" w:before="12"/>
        <w:ind w:left="3780" w:right="261" w:firstLine="0"/>
        <w:jc w:val="left"/>
        <w:rPr>
          <w:sz w:val="24"/>
        </w:rPr>
      </w:pPr>
      <w:r>
        <w:rPr>
          <w:color w:val="231F20"/>
          <w:sz w:val="24"/>
        </w:rPr>
        <w:t>Mervyn King, Deputy Governor responsible for monetary policy David Clementi, Deputy Governor responsible for financial stability Alan Budd</w:t>
      </w:r>
    </w:p>
    <w:p>
      <w:pPr>
        <w:spacing w:line="249" w:lineRule="auto" w:before="3"/>
        <w:ind w:left="3780" w:right="5160" w:firstLine="0"/>
        <w:jc w:val="left"/>
        <w:rPr>
          <w:sz w:val="24"/>
        </w:rPr>
      </w:pPr>
      <w:r>
        <w:rPr>
          <w:color w:val="231F20"/>
          <w:sz w:val="24"/>
        </w:rPr>
        <w:t>Willem Buiter Charles Goodhart DeAnne Julius Ian Plenderleith John Vickers</w:t>
      </w:r>
    </w:p>
    <w:p>
      <w:pPr>
        <w:pStyle w:val="BodyText"/>
        <w:rPr>
          <w:sz w:val="26"/>
        </w:rPr>
      </w:pPr>
    </w:p>
    <w:p>
      <w:pPr>
        <w:pStyle w:val="BodyText"/>
        <w:rPr>
          <w:sz w:val="26"/>
        </w:rPr>
      </w:pPr>
    </w:p>
    <w:p>
      <w:pPr>
        <w:pStyle w:val="BodyText"/>
        <w:rPr>
          <w:sz w:val="26"/>
        </w:rPr>
      </w:pPr>
    </w:p>
    <w:p>
      <w:pPr>
        <w:pStyle w:val="BodyText"/>
        <w:spacing w:before="9"/>
        <w:rPr>
          <w:sz w:val="25"/>
        </w:rPr>
      </w:pPr>
    </w:p>
    <w:p>
      <w:pPr>
        <w:pStyle w:val="Heading8"/>
        <w:spacing w:line="249" w:lineRule="auto" w:before="0"/>
        <w:ind w:left="3779" w:right="261"/>
      </w:pPr>
      <w:r>
        <w:rPr>
          <w:color w:val="231F20"/>
        </w:rPr>
        <w:t>The Overview of this </w:t>
      </w:r>
      <w:r>
        <w:rPr>
          <w:i/>
          <w:color w:val="231F20"/>
        </w:rPr>
        <w:t>Inflation Report </w:t>
      </w:r>
      <w:r>
        <w:rPr>
          <w:color w:val="231F20"/>
        </w:rPr>
        <w:t>is available on the Bank’s web site: </w:t>
      </w:r>
      <w:hyperlink r:id="rId5">
        <w:r>
          <w:rPr>
            <w:color w:val="231F20"/>
          </w:rPr>
          <w:t>www.bankofengland.co.uk/infrep.htm.</w:t>
        </w:r>
      </w:hyperlink>
      <w:r>
        <w:rPr>
          <w:color w:val="231F20"/>
        </w:rPr>
        <w:t> The entire </w:t>
      </w:r>
      <w:r>
        <w:rPr>
          <w:i/>
          <w:color w:val="231F20"/>
        </w:rPr>
        <w:t>Report </w:t>
      </w:r>
      <w:r>
        <w:rPr>
          <w:color w:val="231F20"/>
        </w:rPr>
        <w:t>is available in PDF format on </w:t>
      </w:r>
      <w:hyperlink r:id="rId6">
        <w:r>
          <w:rPr>
            <w:color w:val="231F20"/>
          </w:rPr>
          <w:t>www.bankofengland.co.uk/ir.htm.</w:t>
        </w:r>
      </w:hyperlink>
    </w:p>
    <w:p>
      <w:pPr>
        <w:pStyle w:val="BodyText"/>
        <w:rPr>
          <w:sz w:val="22"/>
        </w:rPr>
      </w:pPr>
    </w:p>
    <w:p>
      <w:pPr>
        <w:pStyle w:val="BodyText"/>
        <w:rPr>
          <w:sz w:val="22"/>
        </w:rPr>
      </w:pPr>
    </w:p>
    <w:p>
      <w:pPr>
        <w:spacing w:line="182" w:lineRule="exact" w:before="194"/>
        <w:ind w:left="3780" w:right="0" w:firstLine="0"/>
        <w:jc w:val="left"/>
        <w:rPr>
          <w:sz w:val="16"/>
        </w:rPr>
      </w:pPr>
      <w:r>
        <w:rPr>
          <w:color w:val="231F20"/>
          <w:sz w:val="16"/>
        </w:rPr>
        <w:t>Printed by Park Communications Ltd</w:t>
      </w:r>
    </w:p>
    <w:p>
      <w:pPr>
        <w:spacing w:line="235" w:lineRule="auto" w:before="1"/>
        <w:ind w:left="3780" w:right="5254" w:firstLine="0"/>
        <w:jc w:val="left"/>
        <w:rPr>
          <w:sz w:val="16"/>
        </w:rPr>
      </w:pPr>
      <w:r>
        <w:rPr>
          <w:color w:val="231F20"/>
          <w:sz w:val="16"/>
        </w:rPr>
        <w:t>© Bank of England 1999 ISBN 1 85730 191 9</w:t>
      </w:r>
    </w:p>
    <w:p>
      <w:pPr>
        <w:spacing w:line="180" w:lineRule="exact" w:before="0"/>
        <w:ind w:left="3780" w:right="0" w:firstLine="0"/>
        <w:jc w:val="left"/>
        <w:rPr>
          <w:sz w:val="16"/>
        </w:rPr>
      </w:pPr>
      <w:r>
        <w:rPr>
          <w:color w:val="231F20"/>
          <w:sz w:val="16"/>
        </w:rPr>
        <w:t>ISSN 1353–6737</w:t>
      </w:r>
    </w:p>
    <w:p>
      <w:pPr>
        <w:spacing w:after="0" w:line="180" w:lineRule="exact"/>
        <w:jc w:val="left"/>
        <w:rPr>
          <w:sz w:val="16"/>
        </w:rPr>
        <w:sectPr>
          <w:type w:val="continuous"/>
          <w:pgSz w:w="11900" w:h="16840"/>
          <w:pgMar w:top="1220" w:bottom="280" w:left="640" w:right="600"/>
        </w:sectPr>
      </w:pPr>
    </w:p>
    <w:p>
      <w:pPr>
        <w:pStyle w:val="BodyText"/>
        <w:spacing w:line="20" w:lineRule="exact"/>
        <w:ind w:left="138"/>
        <w:rPr>
          <w:sz w:val="2"/>
        </w:rPr>
      </w:pPr>
      <w:r>
        <w:rPr>
          <w:sz w:val="2"/>
        </w:rPr>
        <w:pict>
          <v:group style="width:517pt;height:.15pt;mso-position-horizontal-relative:char;mso-position-vertical-relative:line" coordorigin="0,0" coordsize="10340,3">
            <v:line style="position:absolute" from="0,1" to="10340,1" stroked="true" strokeweight=".125pt" strokecolor="#231f20">
              <v:stroke dashstyle="solid"/>
            </v:line>
          </v:group>
        </w:pict>
      </w:r>
      <w:r>
        <w:rPr>
          <w:sz w:val="2"/>
        </w:rPr>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rPr>
          <w:sz w:val="21"/>
        </w:rPr>
      </w:pPr>
    </w:p>
    <w:p>
      <w:pPr>
        <w:spacing w:before="84"/>
        <w:ind w:left="4980" w:right="0" w:firstLine="0"/>
        <w:jc w:val="left"/>
        <w:rPr>
          <w:b/>
          <w:sz w:val="40"/>
        </w:rPr>
      </w:pPr>
      <w:bookmarkStart w:name="Overview" w:id="2"/>
      <w:bookmarkEnd w:id="2"/>
      <w:r>
        <w:rPr/>
      </w:r>
      <w:bookmarkStart w:name="_bookmark0" w:id="3"/>
      <w:bookmarkEnd w:id="3"/>
      <w:r>
        <w:rPr/>
      </w:r>
      <w:r>
        <w:rPr>
          <w:b/>
          <w:color w:val="009483"/>
          <w:sz w:val="40"/>
        </w:rPr>
        <w:t>Overview</w:t>
      </w:r>
    </w:p>
    <w:p>
      <w:pPr>
        <w:pStyle w:val="Heading4"/>
        <w:spacing w:line="242" w:lineRule="auto" w:before="377"/>
        <w:ind w:left="4980" w:right="261"/>
      </w:pPr>
      <w:r>
        <w:rPr>
          <w:color w:val="231F20"/>
        </w:rPr>
        <w:t>Inflation on the RPIX measure was close to the 2</w:t>
      </w:r>
      <w:r>
        <w:rPr>
          <w:color w:val="231F20"/>
          <w:position w:val="8"/>
          <w:sz w:val="12"/>
        </w:rPr>
        <w:t>1</w:t>
      </w:r>
      <w:r>
        <w:rPr>
          <w:color w:val="231F20"/>
        </w:rPr>
        <w:t>/</w:t>
      </w:r>
      <w:r>
        <w:rPr>
          <w:color w:val="231F20"/>
          <w:sz w:val="12"/>
        </w:rPr>
        <w:t>2</w:t>
      </w:r>
      <w:r>
        <w:rPr>
          <w:color w:val="231F20"/>
        </w:rPr>
        <w:t>% target level for most of last year. Since the summer, however, economic developments both internationally and in the UK have substantially shifted the balance of risks to future inflation. This sharp deterioration in prospects for the world economy has worsened the outlook for UK exports, and domestic consumption growth has weakened. Moreover, the available evidence from the labour market and international price developments suggest that, in relation to demand, inflationary pressures have eased, at least for the time being. The Monetary Policy Committee has therefore reduced interest rates in recent months with the aim of keeping inflation on track to meet the target.</w:t>
      </w:r>
    </w:p>
    <w:p>
      <w:pPr>
        <w:pStyle w:val="BodyText"/>
        <w:spacing w:before="2"/>
        <w:rPr>
          <w:sz w:val="24"/>
        </w:rPr>
      </w:pPr>
    </w:p>
    <w:p>
      <w:pPr>
        <w:spacing w:line="242" w:lineRule="auto" w:before="0"/>
        <w:ind w:left="4980" w:right="0" w:firstLine="0"/>
        <w:jc w:val="left"/>
        <w:rPr>
          <w:sz w:val="24"/>
        </w:rPr>
      </w:pPr>
      <w:r>
        <w:rPr>
          <w:color w:val="231F20"/>
          <w:sz w:val="24"/>
        </w:rPr>
        <w:t>Growth in the world economy in 1998 is likely to have been broadly as expected at the time of the November </w:t>
      </w:r>
      <w:r>
        <w:rPr>
          <w:i/>
          <w:color w:val="231F20"/>
          <w:sz w:val="24"/>
        </w:rPr>
        <w:t>Inflation Report</w:t>
      </w:r>
      <w:r>
        <w:rPr>
          <w:color w:val="231F20"/>
          <w:sz w:val="24"/>
        </w:rPr>
        <w:t>, but prospects for the period ahead have worsened. The difficulties facing some emerging market economies were highlighted by the collapse in</w:t>
      </w:r>
    </w:p>
    <w:p>
      <w:pPr>
        <w:spacing w:line="242" w:lineRule="auto" w:before="6"/>
        <w:ind w:left="4980" w:right="153" w:firstLine="0"/>
        <w:jc w:val="left"/>
        <w:rPr>
          <w:sz w:val="24"/>
        </w:rPr>
      </w:pPr>
      <w:r>
        <w:rPr>
          <w:color w:val="231F20"/>
          <w:sz w:val="24"/>
        </w:rPr>
        <w:t>mid January of the exchange rate regime in Brazil. Net capital flows to emerging market economies are likely to fall further, which entails weaker net exports for industrialised countries as a whole. If world demand growth is not to decline, higher domestic demand growth in those countries will be needed to offset weaker net trade.</w:t>
      </w:r>
    </w:p>
    <w:p>
      <w:pPr>
        <w:pStyle w:val="BodyText"/>
        <w:spacing w:before="5"/>
        <w:rPr>
          <w:sz w:val="23"/>
        </w:rPr>
      </w:pPr>
    </w:p>
    <w:p>
      <w:pPr>
        <w:spacing w:line="242" w:lineRule="auto" w:before="0"/>
        <w:ind w:left="4980" w:right="312" w:firstLine="0"/>
        <w:jc w:val="left"/>
        <w:rPr>
          <w:sz w:val="24"/>
        </w:rPr>
      </w:pPr>
      <w:r>
        <w:rPr>
          <w:color w:val="231F20"/>
          <w:sz w:val="24"/>
        </w:rPr>
        <w:t>The recession in Japan appears likely to be more protracted than previously anticipated. Prospects for growth this year have weakened in the euro area. And there are downside risks to the remarkable buoyancy of domestic demand and output growth in the United States, where large external imbalances have been accumulating for some time. The probable consequences of these international developments and risks for the UK are weaker export growth, and even lower imported inflation.</w:t>
      </w:r>
    </w:p>
    <w:p>
      <w:pPr>
        <w:pStyle w:val="BodyText"/>
        <w:spacing w:before="8"/>
        <w:rPr>
          <w:sz w:val="23"/>
        </w:rPr>
      </w:pPr>
    </w:p>
    <w:p>
      <w:pPr>
        <w:spacing w:line="242" w:lineRule="auto" w:before="0"/>
        <w:ind w:left="4980" w:right="261" w:firstLine="0"/>
        <w:jc w:val="left"/>
        <w:rPr>
          <w:i/>
          <w:sz w:val="24"/>
        </w:rPr>
      </w:pPr>
      <w:r>
        <w:rPr>
          <w:color w:val="231F20"/>
          <w:sz w:val="24"/>
        </w:rPr>
        <w:t>Aggregate output growth in the UK has slowed broadly as expected at the time of the November </w:t>
      </w:r>
      <w:r>
        <w:rPr>
          <w:i/>
          <w:color w:val="231F20"/>
          <w:sz w:val="24"/>
        </w:rPr>
        <w:t>Inflation</w:t>
      </w:r>
    </w:p>
    <w:p>
      <w:pPr>
        <w:spacing w:after="0" w:line="242" w:lineRule="auto"/>
        <w:jc w:val="left"/>
        <w:rPr>
          <w:sz w:val="24"/>
        </w:rPr>
        <w:sectPr>
          <w:footerReference w:type="even" r:id="rId7"/>
          <w:pgSz w:w="11900" w:h="16840"/>
          <w:pgMar w:footer="597" w:header="0" w:top="760" w:bottom="780" w:left="640" w:right="600"/>
        </w:sectPr>
      </w:pPr>
    </w:p>
    <w:p>
      <w:pPr>
        <w:tabs>
          <w:tab w:pos="10464" w:val="left" w:leader="none"/>
        </w:tabs>
        <w:spacing w:before="82"/>
        <w:ind w:left="125" w:right="0" w:firstLine="0"/>
        <w:jc w:val="left"/>
        <w:rPr>
          <w:sz w:val="16"/>
        </w:rPr>
      </w:pPr>
      <w:r>
        <w:rPr>
          <w:color w:val="231F20"/>
          <w:spacing w:val="-20"/>
          <w:sz w:val="16"/>
          <w:u w:val="single" w:color="231F20"/>
        </w:rPr>
        <w:t> </w:t>
      </w:r>
      <w:r>
        <w:rPr>
          <w:color w:val="231F20"/>
          <w:sz w:val="16"/>
          <w:u w:val="single" w:color="231F20"/>
        </w:rPr>
        <w:t>Inflation Report:  February 1999</w:t>
        <w:tab/>
      </w:r>
    </w:p>
    <w:p>
      <w:pPr>
        <w:pStyle w:val="BodyText"/>
        <w:rPr>
          <w:sz w:val="20"/>
        </w:rPr>
      </w:pPr>
    </w:p>
    <w:p>
      <w:pPr>
        <w:pStyle w:val="Heading4"/>
        <w:spacing w:line="242" w:lineRule="auto" w:before="227"/>
        <w:ind w:left="4960" w:right="261"/>
      </w:pPr>
      <w:r>
        <w:rPr>
          <w:i/>
          <w:color w:val="231F20"/>
        </w:rPr>
        <w:t>Report</w:t>
      </w:r>
      <w:r>
        <w:rPr>
          <w:color w:val="231F20"/>
        </w:rPr>
        <w:t>. Growth in the third quarter of last year was revised down slightly to 0.4%, and the preliminary estimate of fourth-quarter growth was 0.2%. Survey measures of business and consumer confidence have stabilised since the autumn, albeit at low levels, and there is now somewhat less of a contrast between indications from official and survey data. But the sharp contrast remains between output growth in the manufacturing and service sectors.</w:t>
      </w:r>
    </w:p>
    <w:p>
      <w:pPr>
        <w:pStyle w:val="BodyText"/>
        <w:spacing w:before="4"/>
        <w:rPr>
          <w:sz w:val="25"/>
        </w:rPr>
      </w:pPr>
    </w:p>
    <w:p>
      <w:pPr>
        <w:spacing w:line="242" w:lineRule="auto" w:before="0"/>
        <w:ind w:left="4960" w:right="207" w:firstLine="0"/>
        <w:jc w:val="left"/>
        <w:rPr>
          <w:sz w:val="24"/>
        </w:rPr>
      </w:pPr>
      <w:r>
        <w:rPr>
          <w:color w:val="231F20"/>
          <w:sz w:val="24"/>
        </w:rPr>
        <w:t>Household expenditure has been weaker than expected in relation to income and wealth, and part of this weakness is expected to persist. Inventories </w:t>
      </w:r>
      <w:r>
        <w:rPr>
          <w:color w:val="231F20"/>
          <w:spacing w:val="-3"/>
          <w:sz w:val="24"/>
        </w:rPr>
        <w:t>have </w:t>
      </w:r>
      <w:r>
        <w:rPr>
          <w:color w:val="231F20"/>
          <w:sz w:val="24"/>
        </w:rPr>
        <w:t>grown more than anticipated, perhaps in large part </w:t>
      </w:r>
      <w:r>
        <w:rPr>
          <w:color w:val="231F20"/>
          <w:spacing w:val="-5"/>
          <w:sz w:val="24"/>
        </w:rPr>
        <w:t>involuntarily, </w:t>
      </w:r>
      <w:r>
        <w:rPr>
          <w:color w:val="231F20"/>
          <w:sz w:val="24"/>
        </w:rPr>
        <w:t>and a substantial unwinding of stocks remains likely in the period ahead. Public expenditure is set to grow significantly, particularly for investment. But business investment growth, which has so far remained robust in the service sector, will probably slow sharply despite falls in the cost of</w:t>
      </w:r>
      <w:r>
        <w:rPr>
          <w:color w:val="231F20"/>
          <w:spacing w:val="-1"/>
          <w:sz w:val="24"/>
        </w:rPr>
        <w:t> </w:t>
      </w:r>
      <w:r>
        <w:rPr>
          <w:color w:val="231F20"/>
          <w:sz w:val="24"/>
        </w:rPr>
        <w:t>capital.</w:t>
      </w:r>
    </w:p>
    <w:p>
      <w:pPr>
        <w:pStyle w:val="BodyText"/>
        <w:spacing w:before="5"/>
        <w:rPr>
          <w:sz w:val="25"/>
        </w:rPr>
      </w:pPr>
    </w:p>
    <w:p>
      <w:pPr>
        <w:spacing w:line="242" w:lineRule="auto" w:before="1"/>
        <w:ind w:left="4960" w:right="181" w:firstLine="0"/>
        <w:jc w:val="left"/>
        <w:rPr>
          <w:sz w:val="24"/>
        </w:rPr>
      </w:pPr>
      <w:r>
        <w:rPr>
          <w:color w:val="231F20"/>
          <w:sz w:val="24"/>
        </w:rPr>
        <w:t>Annual broad money growth has continued to ease, in line with slowing nominal demand growth. Total credit growth has also moderated. Within this, unsecured lending to the personal sector continues to grow fast, but there is evidence that this is partly displacing other forms of household borrowing. The financial positions of both the personal and company sectors appear reasonably sound overall.</w:t>
      </w:r>
    </w:p>
    <w:p>
      <w:pPr>
        <w:pStyle w:val="BodyText"/>
        <w:spacing w:before="2"/>
        <w:rPr>
          <w:sz w:val="25"/>
        </w:rPr>
      </w:pPr>
    </w:p>
    <w:p>
      <w:pPr>
        <w:spacing w:line="242" w:lineRule="auto" w:before="0"/>
        <w:ind w:left="4960" w:right="153" w:firstLine="0"/>
        <w:jc w:val="left"/>
        <w:rPr>
          <w:sz w:val="24"/>
        </w:rPr>
      </w:pPr>
      <w:r>
        <w:rPr>
          <w:color w:val="231F20"/>
          <w:sz w:val="24"/>
        </w:rPr>
        <w:t>Unemployment has declined slightly over the past three months, and the claimant count is at its lowest level since 1980. Employment growth has been strong, despite the slowdown in output growth, though hours worked have grown more moderately. But recent evidence on vacancies, recruitment intentions and reported skill shortages indicates that the labour market is no longer tightening.</w:t>
      </w:r>
    </w:p>
    <w:p>
      <w:pPr>
        <w:pStyle w:val="BodyText"/>
        <w:spacing w:before="3"/>
        <w:rPr>
          <w:sz w:val="25"/>
        </w:rPr>
      </w:pPr>
    </w:p>
    <w:p>
      <w:pPr>
        <w:spacing w:line="242" w:lineRule="auto" w:before="0"/>
        <w:ind w:left="4960" w:right="207" w:firstLine="0"/>
        <w:jc w:val="left"/>
        <w:rPr>
          <w:sz w:val="24"/>
        </w:rPr>
      </w:pPr>
      <w:r>
        <w:rPr>
          <w:color w:val="231F20"/>
          <w:sz w:val="24"/>
        </w:rPr>
        <w:t>The degree of inflationary pressure in the labour market is especially hard to gauge given the continued suspension of the official </w:t>
      </w:r>
      <w:r>
        <w:rPr>
          <w:color w:val="231F20"/>
          <w:spacing w:val="-4"/>
          <w:sz w:val="24"/>
        </w:rPr>
        <w:t>Average </w:t>
      </w:r>
      <w:r>
        <w:rPr>
          <w:color w:val="231F20"/>
          <w:sz w:val="24"/>
        </w:rPr>
        <w:t>Earnings Index pending the independent review commissioned by the Chancellor. The available evidence, including information from the </w:t>
      </w:r>
      <w:r>
        <w:rPr>
          <w:color w:val="231F20"/>
          <w:spacing w:val="-3"/>
          <w:sz w:val="24"/>
        </w:rPr>
        <w:t>Bank’s </w:t>
      </w:r>
      <w:r>
        <w:rPr>
          <w:color w:val="231F20"/>
          <w:sz w:val="24"/>
        </w:rPr>
        <w:t>regional Agents, suggests that private sector wage settlements </w:t>
      </w:r>
      <w:r>
        <w:rPr>
          <w:color w:val="231F20"/>
          <w:spacing w:val="-3"/>
          <w:sz w:val="24"/>
        </w:rPr>
        <w:t>have </w:t>
      </w:r>
      <w:r>
        <w:rPr>
          <w:color w:val="231F20"/>
          <w:sz w:val="24"/>
        </w:rPr>
        <w:t>stabilised over the past nine months, despite the cumulative tightening of the labour market. </w:t>
      </w:r>
      <w:r>
        <w:rPr>
          <w:color w:val="231F20"/>
          <w:spacing w:val="-5"/>
          <w:sz w:val="24"/>
        </w:rPr>
        <w:t>Wage </w:t>
      </w:r>
      <w:r>
        <w:rPr>
          <w:color w:val="231F20"/>
          <w:sz w:val="24"/>
        </w:rPr>
        <w:t>drift—the difference between earnings growth and settlements—is likely to </w:t>
      </w:r>
      <w:r>
        <w:rPr>
          <w:color w:val="231F20"/>
          <w:spacing w:val="-9"/>
          <w:sz w:val="24"/>
        </w:rPr>
        <w:t>be </w:t>
      </w:r>
      <w:r>
        <w:rPr>
          <w:color w:val="231F20"/>
          <w:sz w:val="24"/>
        </w:rPr>
        <w:t>decreasing at the current stage of the cycle. Although recent public sector pay settlements were higher than a</w:t>
      </w:r>
    </w:p>
    <w:p>
      <w:pPr>
        <w:pStyle w:val="BodyText"/>
        <w:rPr>
          <w:sz w:val="20"/>
        </w:rPr>
      </w:pPr>
    </w:p>
    <w:p>
      <w:pPr>
        <w:pStyle w:val="BodyText"/>
        <w:spacing w:before="5"/>
        <w:rPr>
          <w:sz w:val="19"/>
        </w:rPr>
      </w:pPr>
    </w:p>
    <w:p>
      <w:pPr>
        <w:spacing w:before="94"/>
        <w:ind w:left="165" w:right="0" w:firstLine="0"/>
        <w:jc w:val="left"/>
        <w:rPr>
          <w:sz w:val="16"/>
        </w:rPr>
      </w:pPr>
      <w:r>
        <w:rPr>
          <w:color w:val="231F20"/>
          <w:sz w:val="16"/>
        </w:rPr>
        <w:t>ii</w:t>
      </w:r>
    </w:p>
    <w:p>
      <w:pPr>
        <w:spacing w:after="0"/>
        <w:jc w:val="left"/>
        <w:rPr>
          <w:sz w:val="16"/>
        </w:rPr>
        <w:sectPr>
          <w:footerReference w:type="default" r:id="rId8"/>
          <w:pgSz w:w="11900" w:h="16840"/>
          <w:pgMar w:footer="0" w:header="0" w:top="500" w:bottom="280" w:left="640" w:right="600"/>
        </w:sectPr>
      </w:pPr>
    </w:p>
    <w:p>
      <w:pPr>
        <w:spacing w:before="82"/>
        <w:ind w:left="0" w:right="197" w:firstLine="0"/>
        <w:jc w:val="right"/>
        <w:rPr>
          <w:i/>
          <w:sz w:val="16"/>
        </w:rPr>
      </w:pPr>
      <w:r>
        <w:rPr>
          <w:i/>
          <w:color w:val="231F20"/>
          <w:sz w:val="16"/>
        </w:rPr>
        <w:t>Overview</w:t>
      </w:r>
    </w:p>
    <w:p>
      <w:pPr>
        <w:pStyle w:val="BodyText"/>
        <w:spacing w:line="20" w:lineRule="exact"/>
        <w:ind w:left="138"/>
        <w:rPr>
          <w:sz w:val="2"/>
        </w:rPr>
      </w:pPr>
      <w:r>
        <w:rPr>
          <w:sz w:val="2"/>
        </w:rPr>
        <w:pict>
          <v:group style="width:517pt;height:.15pt;mso-position-horizontal-relative:char;mso-position-vertical-relative:line" coordorigin="0,0" coordsize="10340,3">
            <v:line style="position:absolute" from="0,1" to="10340,1" stroked="true" strokeweight=".125pt" strokecolor="#231f20">
              <v:stroke dashstyle="solid"/>
            </v:line>
          </v:group>
        </w:pict>
      </w:r>
      <w:r>
        <w:rPr>
          <w:sz w:val="2"/>
        </w:rPr>
      </w:r>
    </w:p>
    <w:p>
      <w:pPr>
        <w:pStyle w:val="BodyText"/>
        <w:rPr>
          <w:i/>
          <w:sz w:val="20"/>
        </w:rPr>
      </w:pPr>
    </w:p>
    <w:p>
      <w:pPr>
        <w:spacing w:after="0"/>
        <w:rPr>
          <w:sz w:val="20"/>
        </w:rPr>
        <w:sectPr>
          <w:footerReference w:type="even" r:id="rId9"/>
          <w:pgSz w:w="11900" w:h="16840"/>
          <w:pgMar w:footer="597" w:header="0" w:top="500" w:bottom="780" w:left="640" w:right="600"/>
        </w:sectPr>
      </w:pPr>
    </w:p>
    <w:p>
      <w:pPr>
        <w:pStyle w:val="BodyText"/>
        <w:rPr>
          <w:i/>
        </w:rPr>
      </w:pPr>
    </w:p>
    <w:p>
      <w:pPr>
        <w:pStyle w:val="Heading7"/>
        <w:spacing w:before="0"/>
        <w:ind w:left="170"/>
      </w:pPr>
      <w:r>
        <w:rPr>
          <w:color w:val="0093C1"/>
        </w:rPr>
        <w:t>Chart 1</w:t>
      </w:r>
    </w:p>
    <w:p>
      <w:pPr>
        <w:spacing w:line="249" w:lineRule="auto" w:before="10"/>
        <w:ind w:left="170" w:right="20" w:firstLine="0"/>
        <w:jc w:val="left"/>
        <w:rPr>
          <w:b/>
          <w:sz w:val="20"/>
        </w:rPr>
      </w:pPr>
      <w:r>
        <w:rPr>
          <w:b/>
          <w:color w:val="0093C1"/>
          <w:sz w:val="20"/>
        </w:rPr>
        <w:t>Current GDP projection based on constant nominal interest rates at 5.5%</w:t>
      </w:r>
    </w:p>
    <w:p>
      <w:pPr>
        <w:spacing w:before="137"/>
        <w:ind w:left="1201" w:right="0" w:firstLine="0"/>
        <w:jc w:val="left"/>
        <w:rPr>
          <w:sz w:val="12"/>
        </w:rPr>
      </w:pPr>
      <w:r>
        <w:rPr>
          <w:color w:val="231F20"/>
          <w:sz w:val="12"/>
        </w:rPr>
        <w:t>Percentage increase in output on a year earlier</w:t>
      </w:r>
    </w:p>
    <w:p>
      <w:pPr>
        <w:spacing w:before="11"/>
        <w:ind w:left="3467" w:right="0" w:firstLine="0"/>
        <w:jc w:val="left"/>
        <w:rPr>
          <w:sz w:val="12"/>
        </w:rPr>
      </w:pPr>
      <w:r>
        <w:rPr/>
        <w:pict>
          <v:line style="position:absolute;mso-position-horizontal-relative:page;mso-position-vertical-relative:paragraph;z-index:15736832" from="47.964pt,3.548741pt" to="44.264pt,3.548741pt" stroked="true" strokeweight=".5pt" strokecolor="#000000">
            <v:stroke dashstyle="solid"/>
            <w10:wrap type="none"/>
          </v:line>
        </w:pict>
      </w:r>
      <w:r>
        <w:rPr/>
        <w:pict>
          <v:line style="position:absolute;mso-position-horizontal-relative:page;mso-position-vertical-relative:paragraph;z-index:15741440" from="203.076007pt,3.548741pt" to="199.376007pt,3.548741pt" stroked="true" strokeweight=".5pt" strokecolor="#231f20">
            <v:stroke dashstyle="solid"/>
            <w10:wrap type="none"/>
          </v:line>
        </w:pict>
      </w:r>
      <w:r>
        <w:rPr>
          <w:color w:val="231F20"/>
          <w:sz w:val="12"/>
        </w:rPr>
        <w:t>6</w:t>
      </w:r>
    </w:p>
    <w:p>
      <w:pPr>
        <w:pStyle w:val="BodyText"/>
        <w:rPr>
          <w:sz w:val="12"/>
        </w:rPr>
      </w:pPr>
    </w:p>
    <w:p>
      <w:pPr>
        <w:spacing w:before="94"/>
        <w:ind w:left="3467" w:right="0" w:firstLine="0"/>
        <w:jc w:val="left"/>
        <w:rPr>
          <w:sz w:val="12"/>
        </w:rPr>
      </w:pPr>
      <w:r>
        <w:rPr/>
        <w:pict>
          <v:group style="position:absolute;margin-left:44.264pt;margin-top:7.448986pt;width:149.6pt;height:102.9pt;mso-position-horizontal-relative:page;mso-position-vertical-relative:paragraph;z-index:15735296" coordorigin="885,149" coordsize="2992,2058">
            <v:shape style="position:absolute;left:2954;top:167;width:919;height:2039" coordorigin="2954,168" coordsize="919,2039" path="m3873,168l3771,279,3669,479,3567,693,3465,915,3363,1230,3260,1404,3158,1485,3056,1459,2954,1407,3056,1703,3158,1974,3260,2136,3363,2207,3465,2136,3567,2033,3669,1959,3771,1900,3873,1859,3873,168xe" filled="true" fillcolor="#dbeae4" stroked="false">
              <v:path arrowok="t"/>
              <v:fill type="solid"/>
            </v:shape>
            <v:shape style="position:absolute;left:2954;top:340;width:919;height:1751" coordorigin="2954,340" coordsize="919,1751" path="m3873,340l3771,444,3669,629,3567,832,3465,1043,3363,1332,3260,1480,3158,1535,3056,1483,2954,1406,3056,1676,3158,1916,3260,2050,3363,2090,3465,1994,3567,1876,3669,1783,3771,1709,3873,1657,3873,340xe" filled="true" fillcolor="#bfdbcf" stroked="false">
              <v:path arrowok="t"/>
              <v:fill type="solid"/>
            </v:shape>
            <v:shape style="position:absolute;left:2954;top:456;width:919;height:1558" coordorigin="2954,456" coordsize="919,1558" path="m3873,456l3771,556,3669,734,3567,926,3465,1130,3363,1400,3260,1529,3158,1570,3056,1500,2954,1404,3056,1655,3158,1877,3260,1992,3363,2014,3465,1899,3567,1770,3669,1666,3771,1577,3873,1522,3873,456xe" filled="true" fillcolor="#a4cdbd" stroked="false">
              <v:path arrowok="t"/>
              <v:fill type="solid"/>
            </v:shape>
            <v:shape style="position:absolute;left:2954;top:547;width:919;height:1406" coordorigin="2954,547" coordsize="919,1406" path="m3873,547l3771,643,3669,814,3567,1002,3465,1198,3363,1454,3260,1568,3158,1598,3056,1513,2954,1402,3056,1639,3158,1846,3260,1946,3363,1953,3465,1824,3567,1687,3669,1572,3771,1476,3873,1413,3873,547xe" filled="true" fillcolor="#8abfab" stroked="false">
              <v:path arrowok="t"/>
              <v:fill type="solid"/>
            </v:shape>
            <v:shape style="position:absolute;left:2954;top:632;width:919;height:1281" coordorigin="2954,633" coordsize="919,1281" path="m3873,633l3771,725,3669,888,3567,1069,3465,1262,3363,1506,3260,1609,3158,1624,3056,1528,2954,1406,3056,1628,3158,1824,3260,1913,3363,1909,3567,1621,3669,1498,3771,1395,3873,1328,3873,633xe" filled="true" fillcolor="#6fb39a" stroked="false">
              <v:path arrowok="t"/>
              <v:fill type="solid"/>
            </v:shape>
            <v:shape style="position:absolute;left:2954;top:705;width:919;height:1170" coordorigin="2954,706" coordsize="919,1170" path="m3873,706l3771,798,3669,954,3567,1127,3465,1312,3363,1546,3260,1638,3158,1645,3056,1538,2954,1405,3056,1616,3158,1801,3260,1875,3363,1860,3465,1705,3567,1557,3669,1427,3771,1316,3873,1246,3873,706xe" filled="true" fillcolor="#53a78b" stroked="false">
              <v:path arrowok="t"/>
              <v:fill type="solid"/>
            </v:shape>
            <v:shape style="position:absolute;left:2954;top:770;width:919;height:1070" coordorigin="2954,771" coordsize="919,1070" path="m3873,771l3771,859,3669,1007,3567,1178,3465,1359,3363,1585,3260,1666,3158,1662,3056,1544,2954,1403,3056,1603,3158,1777,3260,1840,3363,1814,3465,1647,3567,1492,3669,1355,3771,1237,3873,1166,3873,771xe" filled="true" fillcolor="#309d7d" stroked="false">
              <v:path arrowok="t"/>
              <v:fill type="solid"/>
            </v:shape>
            <v:shape style="position:absolute;left:2954;top:834;width:919;height:977" coordorigin="2954,834" coordsize="919,977" path="m3873,834l3771,919,3669,1067,3567,1230,3465,1408,3363,1622,3260,1696,3158,1682,3056,1556,2954,1404,3056,1593,3158,1756,3260,1811,3363,1774,3465,1597,3567,1437,3669,1297,3771,1171,3873,1097,3873,834xe" filled="true" fillcolor="#00936f" stroked="false">
              <v:path arrowok="t"/>
              <v:fill type="solid"/>
            </v:shape>
            <v:shape style="position:absolute;left:2954;top:901;width:919;height:885" coordorigin="2954,902" coordsize="919,885" path="m3873,902l3771,983,3669,1124,3567,1283,3465,1457,3363,1664,3260,1727,3158,1705,3056,1568,2954,1409,3056,1590,3158,1742,3260,1786,3363,1738,3465,1553,3567,1387,3669,1239,3771,1109,3873,1031,3873,902xe" filled="true" fillcolor="#008256" stroked="false">
              <v:path arrowok="t"/>
              <v:fill type="solid"/>
            </v:shape>
            <v:line style="position:absolute" from="3877,2004" to="1018,2004" stroked="true" strokeweight=".5pt" strokecolor="#231f20">
              <v:stroke dashstyle="solid"/>
            </v:line>
            <v:shape style="position:absolute;left:885;top:153;width:74;height:1850" coordorigin="885,154" coordsize="74,1850" path="m956,2004l885,2004m885,1634l959,1634m885,1264l959,1264m885,894l959,894m959,524l885,524m959,154l885,154e" filled="false" stroked="true" strokeweight=".5pt" strokecolor="#000000">
              <v:path arrowok="t"/>
              <v:stroke dashstyle="solid"/>
            </v:shape>
            <v:shape style="position:absolute;left:1012;top:213;width:817;height:1077" coordorigin="1013,213" coordsize="817,1077" path="m1013,631l1115,376m1217,213l1115,376m1319,302l1217,213m1421,517l1319,302m1421,517l1523,850m1625,1208l1523,850m1625,1208l1727,1290m1727,1290l1829,1072e" filled="false" stroked="true" strokeweight="1pt" strokecolor="#008256">
              <v:path arrowok="t"/>
              <v:stroke dashstyle="solid"/>
            </v:shape>
            <v:line style="position:absolute" from="1819,1077" to="1941,1077" stroked="true" strokeweight="1.555pt" strokecolor="#008256">
              <v:stroke dashstyle="solid"/>
            </v:line>
            <v:shape style="position:absolute;left:1931;top:527;width:1021;height:877" coordorigin="1931,528" coordsize="1021,877" path="m2033,1046l1931,1083m2033,1046l2135,1031m2135,1031l2237,1005m2237,1005l2339,742m2442,613l2339,742m2544,528l2442,613m2544,528l2646,764m2646,764l2748,968m2850,1157l2748,968m2850,1157l2952,1405e" filled="false" stroked="true" strokeweight="1pt" strokecolor="#008256">
              <v:path arrowok="t"/>
              <v:stroke dashstyle="solid"/>
            </v:shape>
            <v:shape style="position:absolute;left:2951;top:956;width:919;height:796" coordorigin="2952,957" coordsize="919,796" path="m3054,1575l2952,1405m3156,1719l3054,1575m3258,1752l3156,1719m3360,1697l3258,1752m3462,1501l3360,1697m3564,1331l3462,1501m3666,1175l3564,1331m3768,1038l3666,1175m3871,957l3768,1038e" filled="false" stroked="true" strokeweight=".5pt" strokecolor="#008256">
              <v:path arrowok="t"/>
              <v:stroke dashstyle="solid"/>
            </v:shape>
            <w10:wrap type="none"/>
          </v:group>
        </w:pict>
      </w:r>
      <w:r>
        <w:rPr/>
        <w:pict>
          <v:line style="position:absolute;mso-position-horizontal-relative:page;mso-position-vertical-relative:paragraph;z-index:15740928" from="203.076007pt,7.698986pt" to="199.376007pt,7.698986pt" stroked="true" strokeweight=".5pt" strokecolor="#231f20">
            <v:stroke dashstyle="solid"/>
            <w10:wrap type="none"/>
          </v:line>
        </w:pict>
      </w:r>
      <w:r>
        <w:rPr>
          <w:color w:val="231F20"/>
          <w:sz w:val="12"/>
        </w:rPr>
        <w:t>5</w:t>
      </w:r>
    </w:p>
    <w:p>
      <w:pPr>
        <w:pStyle w:val="BodyText"/>
        <w:rPr>
          <w:sz w:val="12"/>
        </w:rPr>
      </w:pPr>
    </w:p>
    <w:p>
      <w:pPr>
        <w:spacing w:before="94"/>
        <w:ind w:left="3467" w:right="0" w:firstLine="0"/>
        <w:jc w:val="left"/>
        <w:rPr>
          <w:sz w:val="12"/>
        </w:rPr>
      </w:pPr>
      <w:r>
        <w:rPr/>
        <w:pict>
          <v:line style="position:absolute;mso-position-horizontal-relative:page;mso-position-vertical-relative:paragraph;z-index:15740416" from="202.076007pt,7.699169pt" to="198.376007pt,7.699169pt" stroked="true" strokeweight=".5pt" strokecolor="#231f20">
            <v:stroke dashstyle="solid"/>
            <w10:wrap type="none"/>
          </v:line>
        </w:pict>
      </w:r>
      <w:r>
        <w:rPr>
          <w:color w:val="231F20"/>
          <w:sz w:val="12"/>
        </w:rPr>
        <w:t>4</w:t>
      </w:r>
    </w:p>
    <w:p>
      <w:pPr>
        <w:pStyle w:val="BodyText"/>
        <w:rPr>
          <w:sz w:val="12"/>
        </w:rPr>
      </w:pPr>
    </w:p>
    <w:p>
      <w:pPr>
        <w:spacing w:before="94"/>
        <w:ind w:left="3467" w:right="0" w:firstLine="0"/>
        <w:jc w:val="left"/>
        <w:rPr>
          <w:sz w:val="12"/>
        </w:rPr>
      </w:pPr>
      <w:r>
        <w:rPr/>
        <w:pict>
          <v:line style="position:absolute;mso-position-horizontal-relative:page;mso-position-vertical-relative:paragraph;z-index:15739904" from="198.376007pt,7.699352pt" to="202.076007pt,7.699352pt" stroked="true" strokeweight=".5pt" strokecolor="#231f20">
            <v:stroke dashstyle="solid"/>
            <w10:wrap type="none"/>
          </v:line>
        </w:pict>
      </w:r>
      <w:r>
        <w:rPr>
          <w:color w:val="231F20"/>
          <w:sz w:val="12"/>
        </w:rPr>
        <w:t>3</w:t>
      </w:r>
    </w:p>
    <w:p>
      <w:pPr>
        <w:pStyle w:val="BodyText"/>
        <w:rPr>
          <w:sz w:val="12"/>
        </w:rPr>
      </w:pPr>
    </w:p>
    <w:p>
      <w:pPr>
        <w:spacing w:before="94"/>
        <w:ind w:left="3467" w:right="0" w:firstLine="0"/>
        <w:jc w:val="left"/>
        <w:rPr>
          <w:sz w:val="12"/>
        </w:rPr>
      </w:pPr>
      <w:r>
        <w:rPr/>
        <w:pict>
          <v:line style="position:absolute;mso-position-horizontal-relative:page;mso-position-vertical-relative:paragraph;z-index:15739392" from="198.376007pt,7.699535pt" to="202.076007pt,7.699535pt" stroked="true" strokeweight=".5pt" strokecolor="#231f20">
            <v:stroke dashstyle="solid"/>
            <w10:wrap type="none"/>
          </v:line>
        </w:pict>
      </w:r>
      <w:r>
        <w:rPr>
          <w:color w:val="231F20"/>
          <w:sz w:val="12"/>
        </w:rPr>
        <w:t>2</w:t>
      </w:r>
    </w:p>
    <w:p>
      <w:pPr>
        <w:pStyle w:val="BodyText"/>
        <w:rPr>
          <w:sz w:val="12"/>
        </w:rPr>
      </w:pPr>
    </w:p>
    <w:p>
      <w:pPr>
        <w:spacing w:line="136" w:lineRule="exact" w:before="94"/>
        <w:ind w:left="3467" w:right="0" w:firstLine="0"/>
        <w:jc w:val="left"/>
        <w:rPr>
          <w:sz w:val="12"/>
        </w:rPr>
      </w:pPr>
      <w:r>
        <w:rPr/>
        <w:pict>
          <v:line style="position:absolute;mso-position-horizontal-relative:page;mso-position-vertical-relative:paragraph;z-index:15738880" from="198.376007pt,7.699779pt" to="202.076007pt,7.699779pt" stroked="true" strokeweight=".5pt" strokecolor="#231f20">
            <v:stroke dashstyle="solid"/>
            <w10:wrap type="none"/>
          </v:line>
        </w:pict>
      </w:r>
      <w:r>
        <w:rPr>
          <w:color w:val="231F20"/>
          <w:sz w:val="12"/>
        </w:rPr>
        <w:t>1</w:t>
      </w:r>
    </w:p>
    <w:p>
      <w:pPr>
        <w:spacing w:line="182" w:lineRule="exact" w:before="0"/>
        <w:ind w:left="3404" w:right="0" w:firstLine="0"/>
        <w:jc w:val="left"/>
        <w:rPr>
          <w:sz w:val="16"/>
        </w:rPr>
      </w:pPr>
      <w:r>
        <w:rPr>
          <w:color w:val="231F20"/>
          <w:sz w:val="16"/>
        </w:rPr>
        <w:t>+</w:t>
      </w:r>
    </w:p>
    <w:p>
      <w:pPr>
        <w:spacing w:before="52"/>
        <w:ind w:left="3467" w:right="0" w:firstLine="0"/>
        <w:jc w:val="left"/>
        <w:rPr>
          <w:sz w:val="12"/>
        </w:rPr>
      </w:pPr>
      <w:r>
        <w:rPr/>
        <w:pict>
          <v:line style="position:absolute;mso-position-horizontal-relative:page;mso-position-vertical-relative:paragraph;z-index:15738368" from="198.117996pt,5.599962pt" to="202.075996pt,5.599962pt" stroked="true" strokeweight=".5pt" strokecolor="#231f20">
            <v:stroke dashstyle="solid"/>
            <w10:wrap type="none"/>
          </v:line>
        </w:pict>
      </w:r>
      <w:r>
        <w:rPr>
          <w:color w:val="231F20"/>
          <w:sz w:val="12"/>
        </w:rPr>
        <w:t>0</w:t>
      </w:r>
    </w:p>
    <w:p>
      <w:pPr>
        <w:spacing w:before="46"/>
        <w:ind w:left="3404" w:right="0" w:firstLine="0"/>
        <w:jc w:val="left"/>
        <w:rPr>
          <w:sz w:val="16"/>
        </w:rPr>
      </w:pPr>
      <w:r>
        <w:rPr>
          <w:color w:val="231F20"/>
          <w:sz w:val="16"/>
        </w:rPr>
        <w:t>–</w:t>
      </w:r>
    </w:p>
    <w:p>
      <w:pPr>
        <w:spacing w:before="2"/>
        <w:ind w:left="3467" w:right="0" w:firstLine="0"/>
        <w:jc w:val="left"/>
        <w:rPr>
          <w:sz w:val="12"/>
        </w:rPr>
      </w:pPr>
      <w:r>
        <w:rPr/>
        <w:pict>
          <v:line style="position:absolute;mso-position-horizontal-relative:page;mso-position-vertical-relative:paragraph;z-index:15736320" from="47.964pt,3.100145pt" to="44.264pt,3.100145pt" stroked="true" strokeweight=".5pt" strokecolor="#000000">
            <v:stroke dashstyle="solid"/>
            <w10:wrap type="none"/>
          </v:line>
        </w:pict>
      </w:r>
      <w:r>
        <w:rPr/>
        <w:pict>
          <v:line style="position:absolute;mso-position-horizontal-relative:page;mso-position-vertical-relative:paragraph;z-index:15737856" from="199.376007pt,3.100145pt" to="203.076007pt,3.100145pt" stroked="true" strokeweight=".5pt" strokecolor="#231f20">
            <v:stroke dashstyle="solid"/>
            <w10:wrap type="none"/>
          </v:line>
        </w:pict>
      </w:r>
      <w:r>
        <w:rPr>
          <w:color w:val="231F20"/>
          <w:sz w:val="12"/>
        </w:rPr>
        <w:t>1</w:t>
      </w:r>
    </w:p>
    <w:p>
      <w:pPr>
        <w:pStyle w:val="Heading4"/>
        <w:spacing w:line="242" w:lineRule="auto" w:before="207"/>
        <w:ind w:right="287"/>
      </w:pPr>
      <w:r>
        <w:rPr/>
        <w:br w:type="column"/>
      </w:r>
      <w:r>
        <w:rPr>
          <w:color w:val="231F20"/>
        </w:rPr>
        <w:t>year ago, and both the Working Time Directive and the National Minimum Wage are likely to increase labour costs to some degree, upward pressure on overall pay growth appears to be easing. This has led the Committee to lower significantly its profile for nominal earnings growth.</w:t>
      </w:r>
    </w:p>
    <w:p>
      <w:pPr>
        <w:pStyle w:val="BodyText"/>
        <w:rPr>
          <w:sz w:val="25"/>
        </w:rPr>
      </w:pPr>
    </w:p>
    <w:p>
      <w:pPr>
        <w:spacing w:line="242" w:lineRule="auto" w:before="1"/>
        <w:ind w:left="170" w:right="298" w:firstLine="0"/>
        <w:jc w:val="left"/>
        <w:rPr>
          <w:sz w:val="24"/>
        </w:rPr>
      </w:pPr>
      <w:r>
        <w:rPr>
          <w:color w:val="231F20"/>
          <w:sz w:val="24"/>
        </w:rPr>
        <w:t>This is consistent with lower inflation expectations. Measures of expected inflation—whether based on surveys or on the difference between nominal and index-linked bond yields—have fallen steadily over the past year, in many cases to levels around the 2</w:t>
      </w:r>
      <w:r>
        <w:rPr>
          <w:color w:val="231F20"/>
          <w:position w:val="8"/>
          <w:sz w:val="12"/>
        </w:rPr>
        <w:t>1</w:t>
      </w:r>
      <w:r>
        <w:rPr>
          <w:color w:val="231F20"/>
          <w:sz w:val="24"/>
        </w:rPr>
        <w:t>/</w:t>
      </w:r>
      <w:r>
        <w:rPr>
          <w:color w:val="231F20"/>
          <w:sz w:val="12"/>
        </w:rPr>
        <w:t>2</w:t>
      </w:r>
      <w:r>
        <w:rPr>
          <w:color w:val="231F20"/>
          <w:sz w:val="24"/>
        </w:rPr>
        <w:t>% inflation target. And headline RPI inflation is likely soon to fall below RPIX inflation for a period as recent</w:t>
      </w:r>
    </w:p>
    <w:p>
      <w:pPr>
        <w:spacing w:after="0" w:line="242" w:lineRule="auto"/>
        <w:jc w:val="left"/>
        <w:rPr>
          <w:sz w:val="24"/>
        </w:rPr>
        <w:sectPr>
          <w:type w:val="continuous"/>
          <w:pgSz w:w="11900" w:h="16840"/>
          <w:pgMar w:top="1220" w:bottom="280" w:left="640" w:right="600"/>
          <w:cols w:num="2" w:equalWidth="0">
            <w:col w:w="3883" w:space="947"/>
            <w:col w:w="5830"/>
          </w:cols>
        </w:sectPr>
      </w:pPr>
    </w:p>
    <w:p>
      <w:pPr>
        <w:pStyle w:val="BodyText"/>
        <w:spacing w:before="7"/>
        <w:rPr>
          <w:sz w:val="13"/>
        </w:rPr>
      </w:pPr>
    </w:p>
    <w:p>
      <w:pPr>
        <w:tabs>
          <w:tab w:pos="966" w:val="left" w:leader="none"/>
        </w:tabs>
        <w:spacing w:before="0"/>
        <w:ind w:left="467" w:right="0" w:firstLine="0"/>
        <w:jc w:val="left"/>
        <w:rPr>
          <w:sz w:val="12"/>
        </w:rPr>
      </w:pPr>
      <w:r>
        <w:rPr>
          <w:color w:val="231F20"/>
          <w:sz w:val="12"/>
        </w:rPr>
        <w:t>1994</w:t>
        <w:tab/>
      </w:r>
      <w:r>
        <w:rPr>
          <w:color w:val="231F20"/>
          <w:spacing w:val="-10"/>
          <w:sz w:val="12"/>
        </w:rPr>
        <w:t>95</w:t>
      </w:r>
    </w:p>
    <w:p>
      <w:pPr>
        <w:pStyle w:val="BodyText"/>
        <w:spacing w:before="7"/>
        <w:rPr>
          <w:sz w:val="13"/>
        </w:rPr>
      </w:pPr>
      <w:r>
        <w:rPr/>
        <w:br w:type="column"/>
      </w:r>
      <w:r>
        <w:rPr>
          <w:sz w:val="13"/>
        </w:rPr>
      </w:r>
    </w:p>
    <w:p>
      <w:pPr>
        <w:tabs>
          <w:tab w:pos="634" w:val="left" w:leader="none"/>
        </w:tabs>
        <w:spacing w:before="0"/>
        <w:ind w:left="239" w:right="0" w:firstLine="0"/>
        <w:jc w:val="left"/>
        <w:rPr>
          <w:sz w:val="12"/>
        </w:rPr>
      </w:pPr>
      <w:r>
        <w:rPr>
          <w:color w:val="231F20"/>
          <w:sz w:val="12"/>
        </w:rPr>
        <w:t>96</w:t>
        <w:tab/>
      </w:r>
      <w:r>
        <w:rPr>
          <w:color w:val="231F20"/>
          <w:spacing w:val="-10"/>
          <w:sz w:val="12"/>
        </w:rPr>
        <w:t>97</w:t>
      </w:r>
    </w:p>
    <w:p>
      <w:pPr>
        <w:pStyle w:val="BodyText"/>
        <w:spacing w:before="7"/>
        <w:rPr>
          <w:sz w:val="13"/>
        </w:rPr>
      </w:pPr>
      <w:r>
        <w:rPr/>
        <w:br w:type="column"/>
      </w:r>
      <w:r>
        <w:rPr>
          <w:sz w:val="13"/>
        </w:rPr>
      </w:r>
    </w:p>
    <w:p>
      <w:pPr>
        <w:tabs>
          <w:tab w:pos="615" w:val="left" w:leader="none"/>
        </w:tabs>
        <w:spacing w:before="0"/>
        <w:ind w:left="239" w:right="0" w:firstLine="0"/>
        <w:jc w:val="left"/>
        <w:rPr>
          <w:sz w:val="12"/>
        </w:rPr>
      </w:pPr>
      <w:r>
        <w:rPr>
          <w:color w:val="231F20"/>
          <w:sz w:val="12"/>
        </w:rPr>
        <w:t>98</w:t>
        <w:tab/>
      </w:r>
      <w:r>
        <w:rPr>
          <w:color w:val="231F20"/>
          <w:spacing w:val="-10"/>
          <w:sz w:val="12"/>
        </w:rPr>
        <w:t>99</w:t>
      </w:r>
    </w:p>
    <w:p>
      <w:pPr>
        <w:spacing w:line="134" w:lineRule="exact" w:before="26"/>
        <w:ind w:left="771" w:right="0" w:firstLine="0"/>
        <w:jc w:val="left"/>
        <w:rPr>
          <w:sz w:val="12"/>
        </w:rPr>
      </w:pPr>
      <w:r>
        <w:rPr/>
        <w:br w:type="column"/>
      </w:r>
      <w:r>
        <w:rPr>
          <w:color w:val="231F20"/>
          <w:sz w:val="12"/>
        </w:rPr>
        <w:t>2</w:t>
      </w:r>
    </w:p>
    <w:p>
      <w:pPr>
        <w:spacing w:line="134" w:lineRule="exact" w:before="0"/>
        <w:ind w:left="199" w:right="0" w:firstLine="0"/>
        <w:jc w:val="left"/>
        <w:rPr>
          <w:sz w:val="12"/>
        </w:rPr>
      </w:pPr>
      <w:r>
        <w:rPr/>
        <w:pict>
          <v:group style="position:absolute;margin-left:44.264pt;margin-top:-6.952144pt;width:149.9pt;height:4.2pt;mso-position-horizontal-relative:page;mso-position-vertical-relative:paragraph;z-index:15735808" coordorigin="885,-139" coordsize="2998,84">
            <v:shape style="position:absolute;left:885;top:-140;width:2888;height:79" coordorigin="885,-139" coordsize="2888,79" path="m1012,-139l1012,-65m885,-60l959,-60m1112,-64l1112,-101m1217,-64l1217,-101m1319,-101l1319,-64m1422,-63l1422,-137m1522,-64l1522,-101m1623,-101l1623,-64m1726,-101l1726,-64m1829,-65l1829,-139m1932,-101l1932,-64m2038,-101l2038,-64m2137,-62l2137,-99m2238,-139l2238,-65m2339,-65l2339,-102m2443,-64l2443,-101m2548,-101l2548,-64m2642,-139l2642,-65m2749,-64l2749,-101m2848,-101l2848,-64m2952,-101l2952,-64m3052,-65l3052,-139m3157,-101l3157,-64m3259,-65l3259,-102m3464,-137l3464,-63m3564,-64l3564,-101m3667,-62l3667,-99m3773,-101l3773,-64e" filled="false" stroked="true" strokeweight=".5pt" strokecolor="#231f20">
              <v:path arrowok="t"/>
              <v:stroke dashstyle="solid"/>
            </v:shape>
            <v:shape style="position:absolute;left:1015;top:-105;width:2860;height:43" coordorigin="1015,-105" coordsize="2860,43" path="m1015,-62l3875,-62m3358,-68l3358,-105e" filled="false" stroked="true" strokeweight=".5pt" strokecolor="#000000">
              <v:path arrowok="t"/>
              <v:stroke dashstyle="solid"/>
            </v:shape>
            <v:line style="position:absolute" from="3878,-136" to="3878,-62" stroked="true" strokeweight=".5pt" strokecolor="#231f20">
              <v:stroke dashstyle="solid"/>
            </v:line>
            <w10:wrap type="none"/>
          </v:group>
        </w:pict>
      </w:r>
      <w:r>
        <w:rPr/>
        <w:pict>
          <v:line style="position:absolute;mso-position-horizontal-relative:page;mso-position-vertical-relative:paragraph;z-index:15737344" from="199.376007pt,-3.044144pt" to="203.076007pt,-3.044144pt" stroked="true" strokeweight=".5pt" strokecolor="#231f20">
            <v:stroke dashstyle="solid"/>
            <w10:wrap type="none"/>
          </v:line>
        </w:pict>
      </w:r>
      <w:r>
        <w:rPr>
          <w:color w:val="231F20"/>
          <w:sz w:val="12"/>
        </w:rPr>
        <w:t>2000 01</w:t>
      </w:r>
    </w:p>
    <w:p>
      <w:pPr>
        <w:pStyle w:val="Heading4"/>
        <w:spacing w:before="8"/>
        <w:ind w:left="467"/>
      </w:pPr>
      <w:r>
        <w:rPr/>
        <w:br w:type="column"/>
      </w:r>
      <w:r>
        <w:rPr>
          <w:color w:val="231F20"/>
        </w:rPr>
        <w:t>cuts in interest rates reduce mortgage interest payments.</w:t>
      </w:r>
    </w:p>
    <w:p>
      <w:pPr>
        <w:spacing w:after="0"/>
        <w:sectPr>
          <w:type w:val="continuous"/>
          <w:pgSz w:w="11900" w:h="16840"/>
          <w:pgMar w:top="1220" w:bottom="280" w:left="640" w:right="600"/>
          <w:cols w:num="5" w:equalWidth="0">
            <w:col w:w="1087" w:space="40"/>
            <w:col w:w="755" w:space="39"/>
            <w:col w:w="736" w:space="40"/>
            <w:col w:w="872" w:space="963"/>
            <w:col w:w="6128"/>
          </w:cols>
        </w:sectPr>
      </w:pPr>
    </w:p>
    <w:p>
      <w:pPr>
        <w:pStyle w:val="BodyText"/>
        <w:spacing w:before="1"/>
        <w:rPr>
          <w:sz w:val="10"/>
        </w:rPr>
      </w:pPr>
    </w:p>
    <w:p>
      <w:pPr>
        <w:spacing w:line="208" w:lineRule="auto" w:before="1"/>
        <w:ind w:left="160" w:right="469" w:firstLine="0"/>
        <w:jc w:val="left"/>
        <w:rPr>
          <w:sz w:val="12"/>
        </w:rPr>
      </w:pPr>
      <w:r>
        <w:rPr>
          <w:color w:val="231F20"/>
          <w:sz w:val="12"/>
        </w:rPr>
        <w:t>The fan chart depicting the probability distribution for output growth is rather like a contour map. At any given point during the forecast period, the depth of shading represents the height of the probability density function over a range of outcomes for output. The darkest band includes the central (single most likely) projection and covers 10% of the probability. Each successive pair of bands is drawn to cover a further 10% of the probability, until 90% of the probability distribution is covered. The bands widen as the time horizon is extended, indicating increasing uncertainty about outcomes.</w:t>
      </w:r>
    </w:p>
    <w:p>
      <w:pPr>
        <w:pStyle w:val="BodyText"/>
        <w:rPr>
          <w:sz w:val="12"/>
        </w:rPr>
      </w:pPr>
    </w:p>
    <w:p>
      <w:pPr>
        <w:pStyle w:val="BodyText"/>
        <w:rPr>
          <w:sz w:val="12"/>
        </w:rPr>
      </w:pPr>
    </w:p>
    <w:p>
      <w:pPr>
        <w:pStyle w:val="BodyText"/>
        <w:rPr>
          <w:sz w:val="12"/>
        </w:rPr>
      </w:pPr>
    </w:p>
    <w:p>
      <w:pPr>
        <w:pStyle w:val="BodyText"/>
        <w:rPr>
          <w:sz w:val="12"/>
        </w:rPr>
      </w:pPr>
    </w:p>
    <w:p>
      <w:pPr>
        <w:pStyle w:val="Heading7"/>
        <w:spacing w:before="94"/>
      </w:pPr>
      <w:r>
        <w:rPr>
          <w:color w:val="0093C1"/>
        </w:rPr>
        <w:t>Chart 2</w:t>
      </w:r>
    </w:p>
    <w:p>
      <w:pPr>
        <w:spacing w:line="249" w:lineRule="auto" w:before="10"/>
        <w:ind w:left="180" w:right="0" w:firstLine="0"/>
        <w:jc w:val="left"/>
        <w:rPr>
          <w:b/>
          <w:sz w:val="20"/>
        </w:rPr>
      </w:pPr>
      <w:r>
        <w:rPr>
          <w:b/>
          <w:color w:val="0093C1"/>
          <w:sz w:val="20"/>
        </w:rPr>
        <w:t>Current RPIX inflation projection based </w:t>
      </w:r>
      <w:r>
        <w:rPr>
          <w:b/>
          <w:color w:val="0093C1"/>
          <w:spacing w:val="-9"/>
          <w:sz w:val="20"/>
        </w:rPr>
        <w:t>on </w:t>
      </w:r>
      <w:r>
        <w:rPr>
          <w:b/>
          <w:color w:val="0093C1"/>
          <w:sz w:val="20"/>
        </w:rPr>
        <w:t>constant nominal interest rates at 5.5%</w:t>
      </w:r>
    </w:p>
    <w:p>
      <w:pPr>
        <w:pStyle w:val="BodyText"/>
        <w:spacing w:before="7"/>
        <w:rPr>
          <w:b/>
          <w:sz w:val="19"/>
        </w:rPr>
      </w:pPr>
    </w:p>
    <w:p>
      <w:pPr>
        <w:spacing w:before="1"/>
        <w:ind w:left="1160" w:right="0" w:firstLine="0"/>
        <w:jc w:val="left"/>
        <w:rPr>
          <w:sz w:val="12"/>
        </w:rPr>
      </w:pPr>
      <w:r>
        <w:rPr/>
        <w:pict>
          <v:line style="position:absolute;mso-position-horizontal-relative:page;mso-position-vertical-relative:paragraph;z-index:15733760" from="42.618999pt,8.651561pt" to="46.298999pt,8.651561pt" stroked="true" strokeweight=".5pt" strokecolor="#231f20">
            <v:stroke dashstyle="solid"/>
            <w10:wrap type="none"/>
          </v:line>
        </w:pict>
      </w:r>
      <w:r>
        <w:rPr/>
        <w:pict>
          <v:line style="position:absolute;mso-position-horizontal-relative:page;mso-position-vertical-relative:paragraph;z-index:-21283328" from="198.353004pt,8.651561pt" to="194.673004pt,8.651561pt" stroked="true" strokeweight=".5pt" strokecolor="#231f20">
            <v:stroke dashstyle="solid"/>
            <w10:wrap type="none"/>
          </v:line>
        </w:pict>
      </w:r>
      <w:r>
        <w:rPr>
          <w:sz w:val="12"/>
        </w:rPr>
        <w:t>Percentage increase in prices on a year earlier</w:t>
      </w:r>
      <w:r>
        <w:rPr>
          <w:spacing w:val="-8"/>
          <w:sz w:val="12"/>
        </w:rPr>
        <w:t> </w:t>
      </w:r>
      <w:r>
        <w:rPr>
          <w:position w:val="-7"/>
          <w:sz w:val="12"/>
        </w:rPr>
        <w:t>6</w:t>
      </w:r>
    </w:p>
    <w:p>
      <w:pPr>
        <w:pStyle w:val="BodyText"/>
        <w:spacing w:before="3"/>
        <w:rPr>
          <w:sz w:val="31"/>
        </w:rPr>
      </w:pPr>
    </w:p>
    <w:p>
      <w:pPr>
        <w:spacing w:before="0"/>
        <w:ind w:left="0" w:right="518" w:firstLine="0"/>
        <w:jc w:val="right"/>
        <w:rPr>
          <w:sz w:val="12"/>
        </w:rPr>
      </w:pPr>
      <w:r>
        <w:rPr/>
        <w:pict>
          <v:line style="position:absolute;mso-position-horizontal-relative:page;mso-position-vertical-relative:paragraph;z-index:15733248" from="42.618999pt,4.370551pt" to="46.298999pt,4.370551pt" stroked="true" strokeweight=".5pt" strokecolor="#231f20">
            <v:stroke dashstyle="solid"/>
            <w10:wrap type="none"/>
          </v:line>
        </w:pict>
      </w:r>
      <w:r>
        <w:rPr/>
        <w:pict>
          <v:line style="position:absolute;mso-position-horizontal-relative:page;mso-position-vertical-relative:paragraph;z-index:15734272" from="198.353004pt,4.370551pt" to="194.673004pt,4.370551pt" stroked="true" strokeweight=".5pt" strokecolor="#231f20">
            <v:stroke dashstyle="solid"/>
            <w10:wrap type="none"/>
          </v:line>
        </w:pict>
      </w:r>
      <w:r>
        <w:rPr>
          <w:sz w:val="12"/>
        </w:rPr>
        <w:t>5</w:t>
      </w:r>
    </w:p>
    <w:p>
      <w:pPr>
        <w:pStyle w:val="BodyText"/>
        <w:rPr>
          <w:sz w:val="12"/>
        </w:rPr>
      </w:pPr>
    </w:p>
    <w:p>
      <w:pPr>
        <w:pStyle w:val="BodyText"/>
        <w:rPr>
          <w:sz w:val="12"/>
        </w:rPr>
      </w:pPr>
    </w:p>
    <w:p>
      <w:pPr>
        <w:spacing w:before="80"/>
        <w:ind w:left="0" w:right="518" w:firstLine="0"/>
        <w:jc w:val="right"/>
        <w:rPr>
          <w:sz w:val="12"/>
        </w:rPr>
      </w:pPr>
      <w:r>
        <w:rPr/>
        <w:pict>
          <v:group style="position:absolute;margin-left:48.657001pt;margin-top:8.118375pt;width:149.8pt;height:76.3pt;mso-position-horizontal-relative:page;mso-position-vertical-relative:paragraph;z-index:15730176" coordorigin="973,162" coordsize="2996,1526">
            <v:shape style="position:absolute;left:2915;top:178;width:914;height:1510" coordorigin="2915,178" coordsize="914,1510" path="m3829,178l3727,262,3626,302,3524,336,3423,361,3321,371,3220,479,3118,573,3017,751,2915,894,3017,1056,3118,1180,3220,1244,3321,1283,3423,1377,3524,1476,3626,1565,3727,1648,3829,1688,3829,178xe" filled="true" fillcolor="#fee7de" stroked="false">
              <v:path arrowok="t"/>
              <v:fill type="solid"/>
            </v:shape>
            <v:shape style="position:absolute;left:2915;top:335;width:914;height:1175" coordorigin="2915,336" coordsize="914,1175" path="m3829,336l3727,410,3626,439,3524,464,3423,479,3321,474,3220,568,3118,642,3017,785,2915,893,3017,1021,3118,1115,3220,1160,3321,1184,3423,1268,3524,1347,3626,1421,3727,1490,3829,1510,3829,336xe" filled="true" fillcolor="#fcd3c4" stroked="false">
              <v:path arrowok="t"/>
              <v:fill type="solid"/>
            </v:shape>
            <v:shape style="position:absolute;left:2915;top:440;width:914;height:953" coordorigin="2915,440" coordsize="914,953" path="m3829,440l3727,509,3626,534,3524,549,3423,558,3321,549,3220,627,3118,692,3017,810,2915,894,3017,1002,3118,1076,3220,1111,3321,1126,3423,1200,3524,1269,3626,1328,3727,1382,3829,1392,3829,440xe" filled="true" fillcolor="#fabeac" stroked="false">
              <v:path arrowok="t"/>
              <v:fill type="solid"/>
            </v:shape>
            <v:shape style="position:absolute;left:2915;top:518;width:914;height:775" coordorigin="2915,519" coordsize="914,775" path="m3829,519l3727,583,3626,603,3524,617,3423,622,3321,608,3220,677,3118,726,3017,830,2915,894,3017,987,3118,1037,3220,1066,3321,1071,3423,1140,3524,1200,3626,1249,3727,1293,3829,1293,3829,519xe" filled="true" fillcolor="#f8aa95" stroked="false">
              <v:path arrowok="t"/>
              <v:fill type="solid"/>
            </v:shape>
            <v:shape style="position:absolute;left:2915;top:590;width:914;height:632" coordorigin="2915,590" coordsize="914,632" path="m3829,590l3727,650,3626,664,3524,674,3423,674,3321,650,3220,714,3118,758,3017,842,2915,891,3017,970,3118,1010,3220,1029,3321,1029,3423,1094,3524,1143,3626,1187,3727,1222,3829,1212,3829,590xe" filled="true" fillcolor="#f69780" stroked="false">
              <v:path arrowok="t"/>
              <v:fill type="solid"/>
            </v:shape>
            <v:shape style="position:absolute;left:2915;top:657;width:914;height:499" coordorigin="2915,657" coordsize="914,499" path="m3829,657l3727,712,3626,726,3423,726,3321,697,3220,756,3118,791,3017,860,2915,894,3017,958,3118,988,3220,998,3321,993,3423,1052,3626,1131,3727,1156,3829,1141,3829,657xe" filled="true" fillcolor="#f5846d" stroked="false">
              <v:path arrowok="t"/>
              <v:fill type="solid"/>
            </v:shape>
            <v:shape style="position:absolute;left:2915;top:714;width:914;height:380" coordorigin="2915,715" coordsize="914,380" path="m3829,715l3727,769,3626,774,3524,774,3423,769,3321,740,3220,784,3118,814,3017,873,2915,892,3017,947,3118,962,3220,966,3321,957,3423,1011,3524,1045,3626,1075,3727,1095,3829,1070,3829,715xe" filled="true" fillcolor="#f3715b" stroked="false">
              <v:path arrowok="t"/>
              <v:fill type="solid"/>
            </v:shape>
            <v:shape style="position:absolute;left:2915;top:768;width:914;height:267" coordorigin="2915,769" coordsize="914,267" path="m3829,769l3727,818,3626,823,3524,823,3423,813,3321,779,3220,818,3118,843,3017,887,2915,892,3017,932,3118,936,3220,936,3321,917,3423,971,3524,1001,3626,1020,3727,1035,3829,1006,3829,769xe" filled="true" fillcolor="#f15b4a" stroked="false">
              <v:path arrowok="t"/>
              <v:fill type="solid"/>
            </v:shape>
            <v:shape style="position:absolute;left:2915;top:819;width:914;height:163" coordorigin="2915,819" coordsize="914,163" path="m3323,819l3222,854,3118,869,3017,903,2915,893,3017,923,3220,913,3321,888,3423,938,3524,957,3626,972,3727,982,3829,943,3829,824,3727,874,3626,874,3524,869,3423,859,3323,819xe" filled="true" fillcolor="#ed1b2d" stroked="false">
              <v:path arrowok="t"/>
              <v:fill type="solid"/>
            </v:shape>
            <v:shape style="position:absolute;left:3893;top:167;width:74;height:1480" coordorigin="3893,167" coordsize="74,1480" path="m3967,1647l3893,1647m3967,1154l3893,1154m3967,661l3893,661m3967,167l3893,167e" filled="false" stroked="true" strokeweight=".5pt" strokecolor="#231f20">
              <v:path arrowok="t"/>
              <v:stroke dashstyle="solid"/>
            </v:shape>
            <v:shape style="position:absolute;left:983;top:695;width:610;height:375" coordorigin="983,695" coordsize="610,375" path="m1085,952l983,809m1186,1070l1085,952m1288,1036l1186,1070m1389,764l1288,1036m1491,784l1389,764m1592,695l1491,784e" filled="false" stroked="true" strokeweight="1pt" strokecolor="#ed1b2d">
              <v:path arrowok="t"/>
              <v:stroke dashstyle="solid"/>
            </v:shape>
            <v:line style="position:absolute" from="1582,698" to="1704,698" stroked="true" strokeweight="1.247pt" strokecolor="#ed1b2d">
              <v:stroke dashstyle="solid"/>
            </v:line>
            <v:shape style="position:absolute;left:1693;top:552;width:1219;height:341" coordorigin="1694,552" coordsize="1219,341" path="m1795,745l1694,700m1897,764l1795,745m1998,725l1897,764m2100,552l1998,725m2201,730l2100,552m2303,878l2201,730m2404,740l2303,878m2506,784l2404,740m2607,883l2506,784m2709,666l2607,883m2810,873l2709,666m2912,893l2810,873e" filled="false" stroked="true" strokeweight="1pt" strokecolor="#ed1b2d">
              <v:path arrowok="t"/>
              <v:stroke dashstyle="solid"/>
            </v:shape>
            <v:line style="position:absolute" from="3969,908" to="3895,908" stroked="true" strokeweight=".5pt" strokecolor="#000000">
              <v:stroke dashstyle="solid"/>
            </v:line>
            <v:shape style="position:absolute;left:973;top:162;width:2996;height:1526" type="#_x0000_t202" filled="false" stroked="false">
              <v:textbox inset="0,0,0,0">
                <w:txbxContent>
                  <w:p>
                    <w:pPr>
                      <w:spacing w:line="240" w:lineRule="auto" w:before="0"/>
                      <w:rPr>
                        <w:sz w:val="12"/>
                      </w:rPr>
                    </w:pPr>
                  </w:p>
                  <w:p>
                    <w:pPr>
                      <w:spacing w:line="240" w:lineRule="auto" w:before="0"/>
                      <w:rPr>
                        <w:sz w:val="12"/>
                      </w:rPr>
                    </w:pPr>
                  </w:p>
                  <w:p>
                    <w:pPr>
                      <w:spacing w:line="240" w:lineRule="auto" w:before="0"/>
                      <w:rPr>
                        <w:sz w:val="12"/>
                      </w:rPr>
                    </w:pPr>
                  </w:p>
                  <w:p>
                    <w:pPr>
                      <w:spacing w:line="240" w:lineRule="auto" w:before="0"/>
                      <w:rPr>
                        <w:sz w:val="12"/>
                      </w:rPr>
                    </w:pPr>
                  </w:p>
                  <w:p>
                    <w:pPr>
                      <w:tabs>
                        <w:tab w:pos="2852" w:val="left" w:leader="none"/>
                      </w:tabs>
                      <w:spacing w:before="107"/>
                      <w:ind w:left="7" w:right="0" w:firstLine="0"/>
                      <w:jc w:val="left"/>
                      <w:rPr>
                        <w:sz w:val="12"/>
                      </w:rPr>
                    </w:pPr>
                    <w:r>
                      <w:rPr>
                        <w:sz w:val="12"/>
                        <w:u w:val="single"/>
                      </w:rPr>
                      <w:t> </w:t>
                      <w:tab/>
                    </w:r>
                  </w:p>
                </w:txbxContent>
              </v:textbox>
              <w10:wrap type="none"/>
            </v:shape>
            <w10:wrap type="none"/>
          </v:group>
        </w:pict>
      </w:r>
      <w:r>
        <w:rPr/>
        <w:pict>
          <v:line style="position:absolute;mso-position-horizontal-relative:page;mso-position-vertical-relative:paragraph;z-index:15732736" from="42.618999pt,8.368375pt" to="46.298999pt,8.368375pt" stroked="true" strokeweight=".5pt" strokecolor="#231f20">
            <v:stroke dashstyle="solid"/>
            <w10:wrap type="none"/>
          </v:line>
        </w:pict>
      </w:r>
      <w:r>
        <w:rPr>
          <w:sz w:val="12"/>
        </w:rPr>
        <w:t>4</w:t>
      </w:r>
    </w:p>
    <w:p>
      <w:pPr>
        <w:pStyle w:val="BodyText"/>
        <w:rPr>
          <w:sz w:val="12"/>
        </w:rPr>
      </w:pPr>
    </w:p>
    <w:p>
      <w:pPr>
        <w:pStyle w:val="BodyText"/>
        <w:rPr>
          <w:sz w:val="12"/>
        </w:rPr>
      </w:pPr>
    </w:p>
    <w:p>
      <w:pPr>
        <w:spacing w:before="79"/>
        <w:ind w:left="0" w:right="518" w:firstLine="0"/>
        <w:jc w:val="right"/>
        <w:rPr>
          <w:sz w:val="12"/>
        </w:rPr>
      </w:pPr>
      <w:r>
        <w:rPr/>
        <w:pict>
          <v:line style="position:absolute;mso-position-horizontal-relative:page;mso-position-vertical-relative:paragraph;z-index:15732224" from="42.618999pt,8.319169pt" to="46.298999pt,8.319169pt" stroked="true" strokeweight=".5pt" strokecolor="#231f20">
            <v:stroke dashstyle="solid"/>
            <w10:wrap type="none"/>
          </v:line>
        </w:pict>
      </w:r>
      <w:r>
        <w:rPr>
          <w:sz w:val="12"/>
        </w:rPr>
        <w:t>3</w:t>
      </w:r>
    </w:p>
    <w:p>
      <w:pPr>
        <w:pStyle w:val="BodyText"/>
        <w:spacing w:before="7"/>
        <w:rPr>
          <w:sz w:val="9"/>
        </w:rPr>
      </w:pPr>
    </w:p>
    <w:p>
      <w:pPr>
        <w:spacing w:before="0"/>
        <w:ind w:left="0" w:right="421" w:firstLine="0"/>
        <w:jc w:val="right"/>
        <w:rPr>
          <w:sz w:val="12"/>
        </w:rPr>
      </w:pPr>
      <w:r>
        <w:rPr>
          <w:sz w:val="12"/>
        </w:rPr>
        <w:t>2.5</w:t>
      </w:r>
    </w:p>
    <w:p>
      <w:pPr>
        <w:spacing w:before="107"/>
        <w:ind w:left="0" w:right="518" w:firstLine="0"/>
        <w:jc w:val="right"/>
        <w:rPr>
          <w:sz w:val="12"/>
        </w:rPr>
      </w:pPr>
      <w:r>
        <w:rPr/>
        <w:pict>
          <v:line style="position:absolute;mso-position-horizontal-relative:page;mso-position-vertical-relative:paragraph;z-index:15731712" from="42.618999pt,9.718964pt" to="46.298999pt,9.718964pt" stroked="true" strokeweight=".5pt" strokecolor="#231f20">
            <v:stroke dashstyle="solid"/>
            <w10:wrap type="none"/>
          </v:line>
        </w:pict>
      </w:r>
      <w:r>
        <w:rPr>
          <w:sz w:val="12"/>
        </w:rPr>
        <w:t>2</w:t>
      </w:r>
    </w:p>
    <w:p>
      <w:pPr>
        <w:pStyle w:val="BodyText"/>
        <w:rPr>
          <w:sz w:val="12"/>
        </w:rPr>
      </w:pPr>
    </w:p>
    <w:p>
      <w:pPr>
        <w:pStyle w:val="BodyText"/>
        <w:rPr>
          <w:sz w:val="12"/>
        </w:rPr>
      </w:pPr>
    </w:p>
    <w:p>
      <w:pPr>
        <w:spacing w:before="79"/>
        <w:ind w:left="0" w:right="518" w:firstLine="0"/>
        <w:jc w:val="right"/>
        <w:rPr>
          <w:sz w:val="12"/>
        </w:rPr>
      </w:pPr>
      <w:r>
        <w:rPr/>
        <w:pict>
          <v:line style="position:absolute;mso-position-horizontal-relative:page;mso-position-vertical-relative:paragraph;z-index:15731200" from="42.618999pt,8.316758pt" to="46.298999pt,8.316758pt" stroked="true" strokeweight=".5pt" strokecolor="#231f20">
            <v:stroke dashstyle="solid"/>
            <w10:wrap type="none"/>
          </v:line>
        </w:pict>
      </w:r>
      <w:r>
        <w:rPr>
          <w:sz w:val="12"/>
        </w:rPr>
        <w:t>1</w:t>
      </w:r>
    </w:p>
    <w:p>
      <w:pPr>
        <w:pStyle w:val="BodyText"/>
        <w:spacing w:before="9"/>
        <w:rPr>
          <w:sz w:val="23"/>
        </w:rPr>
      </w:pPr>
      <w:r>
        <w:rPr/>
        <w:br w:type="column"/>
      </w:r>
      <w:r>
        <w:rPr>
          <w:sz w:val="23"/>
        </w:rPr>
      </w:r>
    </w:p>
    <w:p>
      <w:pPr>
        <w:pStyle w:val="Heading4"/>
        <w:spacing w:line="242" w:lineRule="auto"/>
        <w:ind w:left="160" w:right="274"/>
      </w:pPr>
      <w:r>
        <w:rPr>
          <w:color w:val="231F20"/>
        </w:rPr>
        <w:t>The current projection for the growth rate of GDP— based on the assumption that the interest rate remains constant at 5.5%—is shown in Chart 1. The central projection is for the four-quarter rate of GDP growth to slow to between </w:t>
      </w:r>
      <w:r>
        <w:rPr>
          <w:color w:val="231F20"/>
          <w:position w:val="8"/>
          <w:sz w:val="12"/>
        </w:rPr>
        <w:t>1</w:t>
      </w:r>
      <w:r>
        <w:rPr>
          <w:color w:val="231F20"/>
        </w:rPr>
        <w:t>/</w:t>
      </w:r>
      <w:r>
        <w:rPr>
          <w:color w:val="231F20"/>
          <w:sz w:val="12"/>
        </w:rPr>
        <w:t>2</w:t>
      </w:r>
      <w:r>
        <w:rPr>
          <w:color w:val="231F20"/>
        </w:rPr>
        <w:t>% and 1% during this year before recovering to around trend by the middle of 2000 as domestic demand picks up. Quarterly growth is expected to be close to zero in the first half of this year.</w:t>
      </w:r>
    </w:p>
    <w:p>
      <w:pPr>
        <w:pStyle w:val="BodyText"/>
        <w:spacing w:before="3"/>
        <w:rPr>
          <w:sz w:val="25"/>
        </w:rPr>
      </w:pPr>
    </w:p>
    <w:p>
      <w:pPr>
        <w:spacing w:line="242" w:lineRule="auto" w:before="0"/>
        <w:ind w:left="160" w:right="180" w:firstLine="0"/>
        <w:jc w:val="left"/>
        <w:rPr>
          <w:sz w:val="24"/>
        </w:rPr>
      </w:pPr>
      <w:r>
        <w:rPr>
          <w:color w:val="231F20"/>
          <w:sz w:val="24"/>
        </w:rPr>
        <w:t>The corresponding projection for RPIX inflation is shown in Chart 2. The most likely path is for inflation to stay close to target over the next two years. But there is considerable uncertainty surrounding this projection, not only because of the current difficulty of assessing labour cost pressure. Indeed, some Committee members took the view that the inflation profile should be about</w:t>
      </w:r>
    </w:p>
    <w:p>
      <w:pPr>
        <w:pStyle w:val="ListParagraph"/>
        <w:numPr>
          <w:ilvl w:val="1"/>
          <w:numId w:val="1"/>
        </w:numPr>
        <w:tabs>
          <w:tab w:pos="521" w:val="left" w:leader="none"/>
        </w:tabs>
        <w:spacing w:line="242" w:lineRule="auto" w:before="9" w:after="0"/>
        <w:ind w:left="160" w:right="529" w:firstLine="0"/>
        <w:jc w:val="left"/>
        <w:rPr>
          <w:sz w:val="24"/>
        </w:rPr>
      </w:pPr>
      <w:r>
        <w:rPr>
          <w:color w:val="231F20"/>
          <w:sz w:val="24"/>
        </w:rPr>
        <w:t>percentage points lower because of somewhat stronger productivity growth, or weaker world </w:t>
      </w:r>
      <w:r>
        <w:rPr>
          <w:color w:val="231F20"/>
          <w:spacing w:val="-3"/>
          <w:sz w:val="24"/>
        </w:rPr>
        <w:t>prices, </w:t>
      </w:r>
      <w:r>
        <w:rPr>
          <w:color w:val="231F20"/>
          <w:sz w:val="24"/>
        </w:rPr>
        <w:t>than assumed in the central projection.</w:t>
      </w:r>
    </w:p>
    <w:p>
      <w:pPr>
        <w:spacing w:after="0" w:line="242" w:lineRule="auto"/>
        <w:jc w:val="left"/>
        <w:rPr>
          <w:sz w:val="24"/>
        </w:rPr>
        <w:sectPr>
          <w:type w:val="continuous"/>
          <w:pgSz w:w="11900" w:h="16840"/>
          <w:pgMar w:top="1220" w:bottom="280" w:left="640" w:right="600"/>
          <w:cols w:num="2" w:equalWidth="0">
            <w:col w:w="3959" w:space="881"/>
            <w:col w:w="5820"/>
          </w:cols>
        </w:sectPr>
      </w:pPr>
    </w:p>
    <w:p>
      <w:pPr>
        <w:pStyle w:val="BodyText"/>
        <w:spacing w:before="9"/>
        <w:rPr>
          <w:sz w:val="12"/>
        </w:rPr>
      </w:pPr>
    </w:p>
    <w:p>
      <w:pPr>
        <w:spacing w:after="0"/>
        <w:rPr>
          <w:sz w:val="12"/>
        </w:rPr>
        <w:sectPr>
          <w:type w:val="continuous"/>
          <w:pgSz w:w="11900" w:h="16840"/>
          <w:pgMar w:top="1220" w:bottom="280" w:left="640" w:right="600"/>
        </w:sectPr>
      </w:pPr>
    </w:p>
    <w:p>
      <w:pPr>
        <w:pStyle w:val="BodyText"/>
        <w:spacing w:before="1"/>
      </w:pPr>
    </w:p>
    <w:p>
      <w:pPr>
        <w:tabs>
          <w:tab w:pos="913" w:val="left" w:leader="none"/>
        </w:tabs>
        <w:spacing w:before="0"/>
        <w:ind w:left="412" w:right="0" w:firstLine="0"/>
        <w:jc w:val="left"/>
        <w:rPr>
          <w:sz w:val="12"/>
        </w:rPr>
      </w:pPr>
      <w:r>
        <w:rPr>
          <w:sz w:val="12"/>
        </w:rPr>
        <w:t>1994</w:t>
        <w:tab/>
      </w:r>
      <w:r>
        <w:rPr>
          <w:spacing w:val="-10"/>
          <w:position w:val="1"/>
          <w:sz w:val="12"/>
        </w:rPr>
        <w:t>95</w:t>
      </w:r>
    </w:p>
    <w:p>
      <w:pPr>
        <w:pStyle w:val="BodyText"/>
        <w:rPr>
          <w:sz w:val="12"/>
        </w:rPr>
      </w:pPr>
      <w:r>
        <w:rPr/>
        <w:br w:type="column"/>
      </w:r>
      <w:r>
        <w:rPr>
          <w:sz w:val="12"/>
        </w:rPr>
      </w:r>
    </w:p>
    <w:p>
      <w:pPr>
        <w:tabs>
          <w:tab w:pos="650" w:val="left" w:leader="none"/>
        </w:tabs>
        <w:spacing w:before="74"/>
        <w:ind w:left="245" w:right="0" w:firstLine="0"/>
        <w:jc w:val="left"/>
        <w:rPr>
          <w:sz w:val="12"/>
        </w:rPr>
      </w:pPr>
      <w:r>
        <w:rPr>
          <w:sz w:val="12"/>
        </w:rPr>
        <w:t>96</w:t>
        <w:tab/>
      </w:r>
      <w:r>
        <w:rPr>
          <w:spacing w:val="-10"/>
          <w:sz w:val="12"/>
        </w:rPr>
        <w:t>97</w:t>
      </w:r>
    </w:p>
    <w:p>
      <w:pPr>
        <w:pStyle w:val="BodyText"/>
        <w:rPr>
          <w:sz w:val="12"/>
        </w:rPr>
      </w:pPr>
      <w:r>
        <w:rPr/>
        <w:br w:type="column"/>
      </w:r>
      <w:r>
        <w:rPr>
          <w:sz w:val="12"/>
        </w:rPr>
      </w:r>
    </w:p>
    <w:p>
      <w:pPr>
        <w:tabs>
          <w:tab w:pos="650" w:val="left" w:leader="none"/>
        </w:tabs>
        <w:spacing w:before="74"/>
        <w:ind w:left="245" w:right="0" w:firstLine="0"/>
        <w:jc w:val="left"/>
        <w:rPr>
          <w:sz w:val="12"/>
        </w:rPr>
      </w:pPr>
      <w:r>
        <w:rPr>
          <w:sz w:val="12"/>
        </w:rPr>
        <w:t>98</w:t>
        <w:tab/>
      </w:r>
      <w:r>
        <w:rPr>
          <w:spacing w:val="-10"/>
          <w:sz w:val="12"/>
        </w:rPr>
        <w:t>99</w:t>
      </w:r>
    </w:p>
    <w:p>
      <w:pPr>
        <w:spacing w:line="127" w:lineRule="exact" w:before="95"/>
        <w:ind w:left="683" w:right="0" w:firstLine="0"/>
        <w:jc w:val="left"/>
        <w:rPr>
          <w:sz w:val="12"/>
        </w:rPr>
      </w:pPr>
      <w:r>
        <w:rPr/>
        <w:br w:type="column"/>
      </w:r>
      <w:r>
        <w:rPr>
          <w:sz w:val="12"/>
        </w:rPr>
        <w:t>0</w:t>
      </w:r>
    </w:p>
    <w:p>
      <w:pPr>
        <w:spacing w:line="127" w:lineRule="exact" w:before="0"/>
        <w:ind w:left="160" w:right="0" w:firstLine="0"/>
        <w:jc w:val="left"/>
        <w:rPr>
          <w:sz w:val="12"/>
        </w:rPr>
      </w:pPr>
      <w:r>
        <w:rPr/>
        <w:pict>
          <v:group style="position:absolute;margin-left:42.618999pt;margin-top:-6.677349pt;width:155.75pt;height:4.95pt;mso-position-horizontal-relative:page;mso-position-vertical-relative:paragraph;z-index:15730688" coordorigin="852,-134" coordsize="3115,99">
            <v:shape style="position:absolute;left:852;top:-134;width:2974;height:95" coordorigin="852,-134" coordsize="2974,95" path="m978,-40l3826,-40m984,-39l984,-131m1086,-46l1086,-83m1184,-46l1184,-83m1291,-45l1291,-82m1391,-40l1391,-132m1489,-44l1489,-81m1592,-46l1592,-83m1693,-45l1693,-82m1795,-39l1795,-131m1899,-45l1899,-82m1998,-45l1998,-82m2098,-44l2098,-81m2201,-41l2201,-134m2303,-46l2303,-83m2404,-46l2404,-83m2506,-46l2506,-83m2606,-40l2606,-132m2706,-46l2706,-83m2810,-46l2810,-83m2911,-46l2911,-83m3015,-43l3015,-133m3119,-44l3119,-81m3218,-44l3218,-81m3319,-44l3319,-81m3422,-39l3422,-132m3727,-44l3727,-81m852,-40l926,-40e" filled="false" stroked="true" strokeweight=".5pt" strokecolor="#231f20">
              <v:path arrowok="t"/>
              <v:stroke dashstyle="solid"/>
            </v:shape>
            <v:line style="position:absolute" from="3967,-47" to="3893,-47" stroked="true" strokeweight=".5pt" strokecolor="#000000">
              <v:stroke dashstyle="solid"/>
            </v:line>
            <v:shape style="position:absolute;left:3521;top:-131;width:308;height:93" coordorigin="3521,-131" coordsize="308,93" path="m3623,-45l3623,-82m3521,-42l3521,-85m3828,-38l3828,-131e" filled="false" stroked="true" strokeweight=".5pt" strokecolor="#231f20">
              <v:path arrowok="t"/>
              <v:stroke dashstyle="solid"/>
            </v:shape>
            <w10:wrap type="none"/>
          </v:group>
        </w:pict>
      </w:r>
      <w:r>
        <w:rPr>
          <w:sz w:val="12"/>
        </w:rPr>
        <w:t>2000 01</w:t>
      </w:r>
    </w:p>
    <w:p>
      <w:pPr>
        <w:pStyle w:val="Heading4"/>
        <w:spacing w:before="137"/>
        <w:ind w:left="412"/>
      </w:pPr>
      <w:r>
        <w:rPr/>
        <w:br w:type="column"/>
      </w:r>
      <w:r>
        <w:rPr>
          <w:color w:val="231F20"/>
        </w:rPr>
        <w:t>The Monetary Policy Committee has acted in response</w:t>
      </w:r>
    </w:p>
    <w:p>
      <w:pPr>
        <w:spacing w:after="0"/>
        <w:sectPr>
          <w:type w:val="continuous"/>
          <w:pgSz w:w="11900" w:h="16840"/>
          <w:pgMar w:top="1220" w:bottom="280" w:left="640" w:right="600"/>
          <w:cols w:num="5" w:equalWidth="0">
            <w:col w:w="1034" w:space="40"/>
            <w:col w:w="771" w:space="39"/>
            <w:col w:w="771" w:space="40"/>
            <w:col w:w="784" w:space="1109"/>
            <w:col w:w="6072"/>
          </w:cols>
        </w:sectPr>
      </w:pPr>
    </w:p>
    <w:p>
      <w:pPr>
        <w:spacing w:line="208" w:lineRule="auto" w:before="52"/>
        <w:ind w:left="178" w:right="50" w:firstLine="0"/>
        <w:jc w:val="left"/>
        <w:rPr>
          <w:sz w:val="12"/>
        </w:rPr>
      </w:pPr>
      <w:r>
        <w:rPr>
          <w:color w:val="231F20"/>
          <w:sz w:val="12"/>
        </w:rPr>
        <w:t>The fan chart depicting the probability distribution for inflation is rather like a contour map. At any given point during the forecast period, the depth of shading represents the height of the probability density function over a range of outcomes for inflation. The darkest band includes the central (single most likely) projection and covers 10% of the probability. Each successive pair of bands is drawn to cover a further 10% of the probability, until 90% of the probability distribution is covered. The </w:t>
      </w:r>
      <w:r>
        <w:rPr>
          <w:color w:val="231F20"/>
          <w:spacing w:val="-4"/>
          <w:sz w:val="12"/>
        </w:rPr>
        <w:t>bands </w:t>
      </w:r>
      <w:r>
        <w:rPr>
          <w:color w:val="231F20"/>
          <w:sz w:val="12"/>
        </w:rPr>
        <w:t>widen as the time horizon is extended, indicating increasing uncertainty about outcomes.</w:t>
      </w:r>
    </w:p>
    <w:p>
      <w:pPr>
        <w:pStyle w:val="Heading4"/>
        <w:spacing w:line="242" w:lineRule="auto" w:before="4"/>
        <w:ind w:left="178" w:right="184"/>
      </w:pPr>
      <w:r>
        <w:rPr/>
        <w:br w:type="column"/>
      </w:r>
      <w:r>
        <w:rPr>
          <w:color w:val="231F20"/>
        </w:rPr>
        <w:t>to deteriorating prospects for external and domestic demand, and the more benign prospect for both imported and labour cost inflation, by reducing interest rates from 7.5% to 5.5% over the past several months. Output growth at home has fallen—although broadly as expected in the November </w:t>
      </w:r>
      <w:r>
        <w:rPr>
          <w:i/>
          <w:color w:val="231F20"/>
        </w:rPr>
        <w:t>Report</w:t>
      </w:r>
      <w:r>
        <w:rPr>
          <w:color w:val="231F20"/>
        </w:rPr>
        <w:t>. The prospect </w:t>
      </w:r>
      <w:r>
        <w:rPr>
          <w:color w:val="231F20"/>
          <w:spacing w:val="-3"/>
        </w:rPr>
        <w:t>remains </w:t>
      </w:r>
      <w:r>
        <w:rPr>
          <w:color w:val="231F20"/>
        </w:rPr>
        <w:t>one of a temporary slowdown followed by a pick-up of growth to around trend next </w:t>
      </w:r>
      <w:r>
        <w:rPr>
          <w:color w:val="231F20"/>
          <w:spacing w:val="-3"/>
        </w:rPr>
        <w:t>year. </w:t>
      </w:r>
      <w:r>
        <w:rPr>
          <w:color w:val="231F20"/>
        </w:rPr>
        <w:t>The inflation outlook is uncertain. Inflation outturns in the past six months, inflation expectations on most measures, as well as the Committee’s central projection for inflation, are all now close to the 2</w:t>
      </w:r>
      <w:r>
        <w:rPr>
          <w:color w:val="231F20"/>
          <w:position w:val="8"/>
          <w:sz w:val="12"/>
        </w:rPr>
        <w:t>1</w:t>
      </w:r>
      <w:r>
        <w:rPr>
          <w:color w:val="231F20"/>
        </w:rPr>
        <w:t>/</w:t>
      </w:r>
      <w:r>
        <w:rPr>
          <w:color w:val="231F20"/>
          <w:sz w:val="12"/>
        </w:rPr>
        <w:t>2</w:t>
      </w:r>
      <w:r>
        <w:rPr>
          <w:color w:val="231F20"/>
        </w:rPr>
        <w:t>% target level. Future changes in interest rates will depend upon how the outlook for inflation evolves.</w:t>
      </w:r>
    </w:p>
    <w:p>
      <w:pPr>
        <w:spacing w:after="0" w:line="242" w:lineRule="auto"/>
        <w:sectPr>
          <w:type w:val="continuous"/>
          <w:pgSz w:w="11900" w:h="16840"/>
          <w:pgMar w:top="1220" w:bottom="280" w:left="640" w:right="600"/>
          <w:cols w:num="2" w:equalWidth="0">
            <w:col w:w="3828" w:space="993"/>
            <w:col w:w="5839"/>
          </w:cols>
        </w:sectPr>
      </w:pPr>
    </w:p>
    <w:p>
      <w:pPr>
        <w:spacing w:before="76"/>
        <w:ind w:left="1975" w:right="1583" w:firstLine="0"/>
        <w:jc w:val="center"/>
        <w:rPr>
          <w:b/>
          <w:sz w:val="28"/>
        </w:rPr>
      </w:pPr>
      <w:bookmarkStart w:name="Contents" w:id="4"/>
      <w:bookmarkEnd w:id="4"/>
      <w:r>
        <w:rPr/>
      </w:r>
      <w:r>
        <w:rPr>
          <w:b/>
          <w:color w:val="009483"/>
          <w:sz w:val="28"/>
        </w:rPr>
        <w:t>Contents</w:t>
      </w:r>
    </w:p>
    <w:p>
      <w:pPr>
        <w:pStyle w:val="ListParagraph"/>
        <w:numPr>
          <w:ilvl w:val="2"/>
          <w:numId w:val="1"/>
        </w:numPr>
        <w:tabs>
          <w:tab w:pos="5369" w:val="left" w:leader="none"/>
          <w:tab w:pos="5370" w:val="left" w:leader="none"/>
          <w:tab w:pos="10269" w:val="right" w:leader="none"/>
        </w:tabs>
        <w:spacing w:line="240" w:lineRule="auto" w:before="595" w:after="55"/>
        <w:ind w:left="5369" w:right="0" w:hanging="381"/>
        <w:jc w:val="left"/>
        <w:rPr>
          <w:sz w:val="24"/>
        </w:rPr>
      </w:pPr>
      <w:hyperlink w:history="true" w:anchor="_bookmark1">
        <w:r>
          <w:rPr>
            <w:b/>
            <w:color w:val="0093C1"/>
            <w:sz w:val="24"/>
          </w:rPr>
          <w:t>Money and</w:t>
        </w:r>
        <w:r>
          <w:rPr>
            <w:b/>
            <w:color w:val="0093C1"/>
            <w:spacing w:val="-1"/>
            <w:sz w:val="24"/>
          </w:rPr>
          <w:t> </w:t>
        </w:r>
        <w:r>
          <w:rPr>
            <w:b/>
            <w:color w:val="0093C1"/>
            <w:sz w:val="24"/>
          </w:rPr>
          <w:t>financial markets</w:t>
        </w:r>
      </w:hyperlink>
      <w:r>
        <w:rPr>
          <w:b/>
          <w:color w:val="0093C1"/>
          <w:sz w:val="24"/>
        </w:rPr>
        <w:tab/>
      </w:r>
      <w:r>
        <w:rPr>
          <w:color w:val="231F20"/>
          <w:sz w:val="24"/>
        </w:rPr>
        <w:t>3</w:t>
      </w:r>
    </w:p>
    <w:tbl>
      <w:tblPr>
        <w:tblW w:w="0" w:type="auto"/>
        <w:jc w:val="left"/>
        <w:tblInd w:w="53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57"/>
        <w:gridCol w:w="3885"/>
        <w:gridCol w:w="560"/>
      </w:tblGrid>
      <w:tr>
        <w:trPr>
          <w:trHeight w:val="292" w:hRule="atLeast"/>
        </w:trPr>
        <w:tc>
          <w:tcPr>
            <w:tcW w:w="557" w:type="dxa"/>
          </w:tcPr>
          <w:p>
            <w:pPr>
              <w:pStyle w:val="TableParagraph"/>
              <w:spacing w:line="266" w:lineRule="exact"/>
              <w:ind w:left="50"/>
              <w:rPr>
                <w:b/>
                <w:sz w:val="24"/>
              </w:rPr>
            </w:pPr>
            <w:r>
              <w:rPr>
                <w:b/>
                <w:color w:val="231F20"/>
                <w:sz w:val="24"/>
              </w:rPr>
              <w:t>1.1</w:t>
            </w:r>
          </w:p>
        </w:tc>
        <w:tc>
          <w:tcPr>
            <w:tcW w:w="3885" w:type="dxa"/>
          </w:tcPr>
          <w:p>
            <w:pPr>
              <w:pStyle w:val="TableParagraph"/>
              <w:spacing w:line="266" w:lineRule="exact"/>
              <w:ind w:left="52"/>
              <w:rPr>
                <w:b/>
                <w:sz w:val="24"/>
              </w:rPr>
            </w:pPr>
            <w:hyperlink w:history="true" w:anchor="_bookmark1">
              <w:r>
                <w:rPr>
                  <w:b/>
                  <w:color w:val="231F20"/>
                  <w:sz w:val="24"/>
                </w:rPr>
                <w:t>Money</w:t>
              </w:r>
            </w:hyperlink>
          </w:p>
        </w:tc>
        <w:tc>
          <w:tcPr>
            <w:tcW w:w="560" w:type="dxa"/>
          </w:tcPr>
          <w:p>
            <w:pPr>
              <w:pStyle w:val="TableParagraph"/>
              <w:spacing w:line="266" w:lineRule="exact"/>
              <w:ind w:right="51"/>
              <w:jc w:val="right"/>
              <w:rPr>
                <w:sz w:val="24"/>
              </w:rPr>
            </w:pPr>
            <w:r>
              <w:rPr>
                <w:color w:val="231F20"/>
                <w:sz w:val="24"/>
              </w:rPr>
              <w:t>3</w:t>
            </w:r>
          </w:p>
        </w:tc>
      </w:tr>
      <w:tr>
        <w:trPr>
          <w:trHeight w:val="319" w:hRule="atLeast"/>
        </w:trPr>
        <w:tc>
          <w:tcPr>
            <w:tcW w:w="557" w:type="dxa"/>
          </w:tcPr>
          <w:p>
            <w:pPr>
              <w:pStyle w:val="TableParagraph"/>
              <w:spacing w:line="240" w:lineRule="auto"/>
              <w:rPr>
                <w:sz w:val="24"/>
              </w:rPr>
            </w:pPr>
          </w:p>
        </w:tc>
        <w:tc>
          <w:tcPr>
            <w:tcW w:w="3885" w:type="dxa"/>
          </w:tcPr>
          <w:p>
            <w:pPr>
              <w:pStyle w:val="TableParagraph"/>
              <w:spacing w:line="240" w:lineRule="auto" w:before="17"/>
              <w:ind w:left="353"/>
              <w:rPr>
                <w:sz w:val="24"/>
              </w:rPr>
            </w:pPr>
            <w:hyperlink w:history="true" w:anchor="_bookmark2">
              <w:r>
                <w:rPr>
                  <w:color w:val="231F20"/>
                  <w:sz w:val="24"/>
                </w:rPr>
                <w:t>Other financial corporations</w:t>
              </w:r>
            </w:hyperlink>
          </w:p>
        </w:tc>
        <w:tc>
          <w:tcPr>
            <w:tcW w:w="560" w:type="dxa"/>
          </w:tcPr>
          <w:p>
            <w:pPr>
              <w:pStyle w:val="TableParagraph"/>
              <w:spacing w:line="240" w:lineRule="auto" w:before="17"/>
              <w:ind w:right="49"/>
              <w:jc w:val="right"/>
              <w:rPr>
                <w:sz w:val="24"/>
              </w:rPr>
            </w:pPr>
            <w:r>
              <w:rPr>
                <w:color w:val="231F20"/>
                <w:sz w:val="24"/>
              </w:rPr>
              <w:t>4</w:t>
            </w:r>
          </w:p>
        </w:tc>
      </w:tr>
      <w:tr>
        <w:trPr>
          <w:trHeight w:val="319" w:hRule="atLeast"/>
        </w:trPr>
        <w:tc>
          <w:tcPr>
            <w:tcW w:w="557" w:type="dxa"/>
          </w:tcPr>
          <w:p>
            <w:pPr>
              <w:pStyle w:val="TableParagraph"/>
              <w:spacing w:line="240" w:lineRule="auto"/>
              <w:rPr>
                <w:sz w:val="24"/>
              </w:rPr>
            </w:pPr>
          </w:p>
        </w:tc>
        <w:tc>
          <w:tcPr>
            <w:tcW w:w="3885" w:type="dxa"/>
          </w:tcPr>
          <w:p>
            <w:pPr>
              <w:pStyle w:val="TableParagraph"/>
              <w:spacing w:line="240" w:lineRule="auto" w:before="17"/>
              <w:ind w:left="353"/>
              <w:rPr>
                <w:sz w:val="24"/>
              </w:rPr>
            </w:pPr>
            <w:hyperlink w:history="true" w:anchor="_bookmark3">
              <w:r>
                <w:rPr>
                  <w:color w:val="231F20"/>
                  <w:sz w:val="24"/>
                </w:rPr>
                <w:t>Household sector</w:t>
              </w:r>
            </w:hyperlink>
          </w:p>
        </w:tc>
        <w:tc>
          <w:tcPr>
            <w:tcW w:w="560" w:type="dxa"/>
          </w:tcPr>
          <w:p>
            <w:pPr>
              <w:pStyle w:val="TableParagraph"/>
              <w:spacing w:line="240" w:lineRule="auto" w:before="17"/>
              <w:ind w:right="49"/>
              <w:jc w:val="right"/>
              <w:rPr>
                <w:sz w:val="24"/>
              </w:rPr>
            </w:pPr>
            <w:r>
              <w:rPr>
                <w:color w:val="231F20"/>
                <w:sz w:val="24"/>
              </w:rPr>
              <w:t>5</w:t>
            </w:r>
          </w:p>
        </w:tc>
      </w:tr>
      <w:tr>
        <w:trPr>
          <w:trHeight w:val="319" w:hRule="atLeast"/>
        </w:trPr>
        <w:tc>
          <w:tcPr>
            <w:tcW w:w="557" w:type="dxa"/>
          </w:tcPr>
          <w:p>
            <w:pPr>
              <w:pStyle w:val="TableParagraph"/>
              <w:spacing w:line="240" w:lineRule="auto"/>
              <w:rPr>
                <w:sz w:val="24"/>
              </w:rPr>
            </w:pPr>
          </w:p>
        </w:tc>
        <w:tc>
          <w:tcPr>
            <w:tcW w:w="3885" w:type="dxa"/>
          </w:tcPr>
          <w:p>
            <w:pPr>
              <w:pStyle w:val="TableParagraph"/>
              <w:spacing w:line="240" w:lineRule="auto" w:before="17"/>
              <w:ind w:right="268"/>
              <w:jc w:val="right"/>
              <w:rPr>
                <w:sz w:val="24"/>
              </w:rPr>
            </w:pPr>
            <w:hyperlink w:history="true" w:anchor="_bookmark3">
              <w:r>
                <w:rPr>
                  <w:color w:val="231F20"/>
                  <w:sz w:val="24"/>
                </w:rPr>
                <w:t>Private non-financial corporations</w:t>
              </w:r>
            </w:hyperlink>
          </w:p>
        </w:tc>
        <w:tc>
          <w:tcPr>
            <w:tcW w:w="560" w:type="dxa"/>
          </w:tcPr>
          <w:p>
            <w:pPr>
              <w:pStyle w:val="TableParagraph"/>
              <w:spacing w:line="240" w:lineRule="auto" w:before="17"/>
              <w:ind w:right="49"/>
              <w:jc w:val="right"/>
              <w:rPr>
                <w:sz w:val="24"/>
              </w:rPr>
            </w:pPr>
            <w:r>
              <w:rPr>
                <w:color w:val="231F20"/>
                <w:sz w:val="24"/>
              </w:rPr>
              <w:t>5</w:t>
            </w:r>
          </w:p>
        </w:tc>
      </w:tr>
      <w:tr>
        <w:trPr>
          <w:trHeight w:val="319" w:hRule="atLeast"/>
        </w:trPr>
        <w:tc>
          <w:tcPr>
            <w:tcW w:w="557" w:type="dxa"/>
          </w:tcPr>
          <w:p>
            <w:pPr>
              <w:pStyle w:val="TableParagraph"/>
              <w:spacing w:line="240" w:lineRule="auto" w:before="17"/>
              <w:ind w:left="50"/>
              <w:rPr>
                <w:b/>
                <w:sz w:val="24"/>
              </w:rPr>
            </w:pPr>
            <w:r>
              <w:rPr>
                <w:b/>
                <w:color w:val="231F20"/>
                <w:sz w:val="24"/>
              </w:rPr>
              <w:t>1.2</w:t>
            </w:r>
          </w:p>
        </w:tc>
        <w:tc>
          <w:tcPr>
            <w:tcW w:w="3885" w:type="dxa"/>
          </w:tcPr>
          <w:p>
            <w:pPr>
              <w:pStyle w:val="TableParagraph"/>
              <w:spacing w:line="240" w:lineRule="auto" w:before="17"/>
              <w:ind w:left="52"/>
              <w:rPr>
                <w:b/>
                <w:sz w:val="24"/>
              </w:rPr>
            </w:pPr>
            <w:hyperlink w:history="true" w:anchor="_bookmark3">
              <w:r>
                <w:rPr>
                  <w:b/>
                  <w:color w:val="231F20"/>
                  <w:sz w:val="24"/>
                </w:rPr>
                <w:t>Credit</w:t>
              </w:r>
            </w:hyperlink>
          </w:p>
        </w:tc>
        <w:tc>
          <w:tcPr>
            <w:tcW w:w="560" w:type="dxa"/>
          </w:tcPr>
          <w:p>
            <w:pPr>
              <w:pStyle w:val="TableParagraph"/>
              <w:spacing w:line="240" w:lineRule="auto" w:before="17"/>
              <w:ind w:right="49"/>
              <w:jc w:val="right"/>
              <w:rPr>
                <w:sz w:val="24"/>
              </w:rPr>
            </w:pPr>
            <w:r>
              <w:rPr>
                <w:color w:val="231F20"/>
                <w:sz w:val="24"/>
              </w:rPr>
              <w:t>5</w:t>
            </w:r>
          </w:p>
        </w:tc>
      </w:tr>
      <w:tr>
        <w:trPr>
          <w:trHeight w:val="319" w:hRule="atLeast"/>
        </w:trPr>
        <w:tc>
          <w:tcPr>
            <w:tcW w:w="557" w:type="dxa"/>
          </w:tcPr>
          <w:p>
            <w:pPr>
              <w:pStyle w:val="TableParagraph"/>
              <w:spacing w:line="240" w:lineRule="auto"/>
              <w:rPr>
                <w:sz w:val="24"/>
              </w:rPr>
            </w:pPr>
          </w:p>
        </w:tc>
        <w:tc>
          <w:tcPr>
            <w:tcW w:w="3885" w:type="dxa"/>
          </w:tcPr>
          <w:p>
            <w:pPr>
              <w:pStyle w:val="TableParagraph"/>
              <w:spacing w:line="240" w:lineRule="auto" w:before="17"/>
              <w:ind w:left="353"/>
              <w:rPr>
                <w:sz w:val="24"/>
              </w:rPr>
            </w:pPr>
            <w:hyperlink w:history="true" w:anchor="_bookmark4">
              <w:r>
                <w:rPr>
                  <w:color w:val="231F20"/>
                  <w:sz w:val="24"/>
                </w:rPr>
                <w:t>Other financial corporations</w:t>
              </w:r>
            </w:hyperlink>
          </w:p>
        </w:tc>
        <w:tc>
          <w:tcPr>
            <w:tcW w:w="560" w:type="dxa"/>
          </w:tcPr>
          <w:p>
            <w:pPr>
              <w:pStyle w:val="TableParagraph"/>
              <w:spacing w:line="240" w:lineRule="auto" w:before="17"/>
              <w:ind w:right="49"/>
              <w:jc w:val="right"/>
              <w:rPr>
                <w:sz w:val="24"/>
              </w:rPr>
            </w:pPr>
            <w:r>
              <w:rPr>
                <w:color w:val="231F20"/>
                <w:sz w:val="24"/>
              </w:rPr>
              <w:t>6</w:t>
            </w:r>
          </w:p>
        </w:tc>
      </w:tr>
      <w:tr>
        <w:trPr>
          <w:trHeight w:val="319" w:hRule="atLeast"/>
        </w:trPr>
        <w:tc>
          <w:tcPr>
            <w:tcW w:w="557" w:type="dxa"/>
          </w:tcPr>
          <w:p>
            <w:pPr>
              <w:pStyle w:val="TableParagraph"/>
              <w:spacing w:line="240" w:lineRule="auto"/>
              <w:rPr>
                <w:sz w:val="24"/>
              </w:rPr>
            </w:pPr>
          </w:p>
        </w:tc>
        <w:tc>
          <w:tcPr>
            <w:tcW w:w="3885" w:type="dxa"/>
          </w:tcPr>
          <w:p>
            <w:pPr>
              <w:pStyle w:val="TableParagraph"/>
              <w:spacing w:line="240" w:lineRule="auto" w:before="17"/>
              <w:ind w:right="268"/>
              <w:jc w:val="right"/>
              <w:rPr>
                <w:sz w:val="24"/>
              </w:rPr>
            </w:pPr>
            <w:hyperlink w:history="true" w:anchor="_bookmark4">
              <w:r>
                <w:rPr>
                  <w:color w:val="231F20"/>
                  <w:sz w:val="24"/>
                </w:rPr>
                <w:t>Private non-financial corporations</w:t>
              </w:r>
            </w:hyperlink>
          </w:p>
        </w:tc>
        <w:tc>
          <w:tcPr>
            <w:tcW w:w="560" w:type="dxa"/>
          </w:tcPr>
          <w:p>
            <w:pPr>
              <w:pStyle w:val="TableParagraph"/>
              <w:spacing w:line="240" w:lineRule="auto" w:before="17"/>
              <w:ind w:right="49"/>
              <w:jc w:val="right"/>
              <w:rPr>
                <w:sz w:val="24"/>
              </w:rPr>
            </w:pPr>
            <w:r>
              <w:rPr>
                <w:color w:val="231F20"/>
                <w:sz w:val="24"/>
              </w:rPr>
              <w:t>6</w:t>
            </w:r>
          </w:p>
        </w:tc>
      </w:tr>
      <w:tr>
        <w:trPr>
          <w:trHeight w:val="319" w:hRule="atLeast"/>
        </w:trPr>
        <w:tc>
          <w:tcPr>
            <w:tcW w:w="557" w:type="dxa"/>
          </w:tcPr>
          <w:p>
            <w:pPr>
              <w:pStyle w:val="TableParagraph"/>
              <w:spacing w:line="240" w:lineRule="auto"/>
              <w:rPr>
                <w:sz w:val="24"/>
              </w:rPr>
            </w:pPr>
          </w:p>
        </w:tc>
        <w:tc>
          <w:tcPr>
            <w:tcW w:w="3885" w:type="dxa"/>
          </w:tcPr>
          <w:p>
            <w:pPr>
              <w:pStyle w:val="TableParagraph"/>
              <w:spacing w:line="240" w:lineRule="auto" w:before="17"/>
              <w:ind w:left="353"/>
              <w:rPr>
                <w:sz w:val="24"/>
              </w:rPr>
            </w:pPr>
            <w:hyperlink w:history="true" w:anchor="_bookmark4">
              <w:r>
                <w:rPr>
                  <w:color w:val="231F20"/>
                  <w:sz w:val="24"/>
                </w:rPr>
                <w:t>Household sector</w:t>
              </w:r>
            </w:hyperlink>
          </w:p>
        </w:tc>
        <w:tc>
          <w:tcPr>
            <w:tcW w:w="560" w:type="dxa"/>
          </w:tcPr>
          <w:p>
            <w:pPr>
              <w:pStyle w:val="TableParagraph"/>
              <w:spacing w:line="240" w:lineRule="auto" w:before="17"/>
              <w:ind w:right="49"/>
              <w:jc w:val="right"/>
              <w:rPr>
                <w:sz w:val="24"/>
              </w:rPr>
            </w:pPr>
            <w:r>
              <w:rPr>
                <w:color w:val="231F20"/>
                <w:sz w:val="24"/>
              </w:rPr>
              <w:t>6</w:t>
            </w:r>
          </w:p>
        </w:tc>
      </w:tr>
      <w:tr>
        <w:trPr>
          <w:trHeight w:val="319" w:hRule="atLeast"/>
        </w:trPr>
        <w:tc>
          <w:tcPr>
            <w:tcW w:w="557" w:type="dxa"/>
          </w:tcPr>
          <w:p>
            <w:pPr>
              <w:pStyle w:val="TableParagraph"/>
              <w:spacing w:line="240" w:lineRule="auto" w:before="17"/>
              <w:ind w:left="50"/>
              <w:rPr>
                <w:b/>
                <w:sz w:val="24"/>
              </w:rPr>
            </w:pPr>
            <w:r>
              <w:rPr>
                <w:b/>
                <w:color w:val="231F20"/>
                <w:sz w:val="24"/>
              </w:rPr>
              <w:t>1.3</w:t>
            </w:r>
          </w:p>
        </w:tc>
        <w:tc>
          <w:tcPr>
            <w:tcW w:w="3885" w:type="dxa"/>
          </w:tcPr>
          <w:p>
            <w:pPr>
              <w:pStyle w:val="TableParagraph"/>
              <w:spacing w:line="240" w:lineRule="auto" w:before="17"/>
              <w:ind w:left="52"/>
              <w:rPr>
                <w:b/>
                <w:sz w:val="24"/>
              </w:rPr>
            </w:pPr>
            <w:hyperlink w:history="true" w:anchor="_bookmark5">
              <w:r>
                <w:rPr>
                  <w:b/>
                  <w:color w:val="231F20"/>
                  <w:sz w:val="24"/>
                </w:rPr>
                <w:t>Interest rates and asset prices</w:t>
              </w:r>
            </w:hyperlink>
          </w:p>
        </w:tc>
        <w:tc>
          <w:tcPr>
            <w:tcW w:w="560" w:type="dxa"/>
          </w:tcPr>
          <w:p>
            <w:pPr>
              <w:pStyle w:val="TableParagraph"/>
              <w:spacing w:line="240" w:lineRule="auto" w:before="17"/>
              <w:ind w:right="49"/>
              <w:jc w:val="right"/>
              <w:rPr>
                <w:sz w:val="24"/>
              </w:rPr>
            </w:pPr>
            <w:r>
              <w:rPr>
                <w:color w:val="231F20"/>
                <w:sz w:val="24"/>
              </w:rPr>
              <w:t>7</w:t>
            </w:r>
          </w:p>
        </w:tc>
      </w:tr>
      <w:tr>
        <w:trPr>
          <w:trHeight w:val="319" w:hRule="atLeast"/>
        </w:trPr>
        <w:tc>
          <w:tcPr>
            <w:tcW w:w="557" w:type="dxa"/>
          </w:tcPr>
          <w:p>
            <w:pPr>
              <w:pStyle w:val="TableParagraph"/>
              <w:spacing w:line="240" w:lineRule="auto"/>
              <w:rPr>
                <w:sz w:val="24"/>
              </w:rPr>
            </w:pPr>
          </w:p>
        </w:tc>
        <w:tc>
          <w:tcPr>
            <w:tcW w:w="3885" w:type="dxa"/>
          </w:tcPr>
          <w:p>
            <w:pPr>
              <w:pStyle w:val="TableParagraph"/>
              <w:spacing w:line="240" w:lineRule="auto" w:before="17"/>
              <w:ind w:left="353"/>
              <w:rPr>
                <w:sz w:val="24"/>
              </w:rPr>
            </w:pPr>
            <w:hyperlink w:history="true" w:anchor="_bookmark5">
              <w:r>
                <w:rPr>
                  <w:color w:val="231F20"/>
                  <w:sz w:val="24"/>
                </w:rPr>
                <w:t>Short-term interest rates</w:t>
              </w:r>
            </w:hyperlink>
          </w:p>
        </w:tc>
        <w:tc>
          <w:tcPr>
            <w:tcW w:w="560" w:type="dxa"/>
          </w:tcPr>
          <w:p>
            <w:pPr>
              <w:pStyle w:val="TableParagraph"/>
              <w:spacing w:line="240" w:lineRule="auto" w:before="17"/>
              <w:ind w:right="49"/>
              <w:jc w:val="right"/>
              <w:rPr>
                <w:sz w:val="24"/>
              </w:rPr>
            </w:pPr>
            <w:r>
              <w:rPr>
                <w:color w:val="231F20"/>
                <w:sz w:val="24"/>
              </w:rPr>
              <w:t>7</w:t>
            </w:r>
          </w:p>
        </w:tc>
      </w:tr>
      <w:tr>
        <w:trPr>
          <w:trHeight w:val="319" w:hRule="atLeast"/>
        </w:trPr>
        <w:tc>
          <w:tcPr>
            <w:tcW w:w="557" w:type="dxa"/>
          </w:tcPr>
          <w:p>
            <w:pPr>
              <w:pStyle w:val="TableParagraph"/>
              <w:spacing w:line="240" w:lineRule="auto"/>
              <w:rPr>
                <w:sz w:val="24"/>
              </w:rPr>
            </w:pPr>
          </w:p>
        </w:tc>
        <w:tc>
          <w:tcPr>
            <w:tcW w:w="3885" w:type="dxa"/>
          </w:tcPr>
          <w:p>
            <w:pPr>
              <w:pStyle w:val="TableParagraph"/>
              <w:spacing w:line="240" w:lineRule="auto" w:before="17"/>
              <w:ind w:left="353"/>
              <w:rPr>
                <w:sz w:val="24"/>
              </w:rPr>
            </w:pPr>
            <w:hyperlink w:history="true" w:anchor="_bookmark6">
              <w:r>
                <w:rPr>
                  <w:color w:val="231F20"/>
                  <w:sz w:val="24"/>
                </w:rPr>
                <w:t>Long-term interest rates</w:t>
              </w:r>
            </w:hyperlink>
          </w:p>
        </w:tc>
        <w:tc>
          <w:tcPr>
            <w:tcW w:w="560" w:type="dxa"/>
          </w:tcPr>
          <w:p>
            <w:pPr>
              <w:pStyle w:val="TableParagraph"/>
              <w:spacing w:line="240" w:lineRule="auto" w:before="17"/>
              <w:ind w:right="49"/>
              <w:jc w:val="right"/>
              <w:rPr>
                <w:sz w:val="24"/>
              </w:rPr>
            </w:pPr>
            <w:r>
              <w:rPr>
                <w:color w:val="231F20"/>
                <w:sz w:val="24"/>
              </w:rPr>
              <w:t>8</w:t>
            </w:r>
          </w:p>
        </w:tc>
      </w:tr>
      <w:tr>
        <w:trPr>
          <w:trHeight w:val="319" w:hRule="atLeast"/>
        </w:trPr>
        <w:tc>
          <w:tcPr>
            <w:tcW w:w="557" w:type="dxa"/>
          </w:tcPr>
          <w:p>
            <w:pPr>
              <w:pStyle w:val="TableParagraph"/>
              <w:spacing w:line="240" w:lineRule="auto"/>
              <w:rPr>
                <w:sz w:val="24"/>
              </w:rPr>
            </w:pPr>
          </w:p>
        </w:tc>
        <w:tc>
          <w:tcPr>
            <w:tcW w:w="3885" w:type="dxa"/>
          </w:tcPr>
          <w:p>
            <w:pPr>
              <w:pStyle w:val="TableParagraph"/>
              <w:spacing w:line="240" w:lineRule="auto" w:before="17"/>
              <w:ind w:left="353"/>
              <w:rPr>
                <w:sz w:val="24"/>
              </w:rPr>
            </w:pPr>
            <w:hyperlink w:history="true" w:anchor="_bookmark7">
              <w:r>
                <w:rPr>
                  <w:color w:val="231F20"/>
                  <w:sz w:val="24"/>
                </w:rPr>
                <w:t>Equity prices</w:t>
              </w:r>
            </w:hyperlink>
          </w:p>
        </w:tc>
        <w:tc>
          <w:tcPr>
            <w:tcW w:w="560" w:type="dxa"/>
          </w:tcPr>
          <w:p>
            <w:pPr>
              <w:pStyle w:val="TableParagraph"/>
              <w:spacing w:line="240" w:lineRule="auto" w:before="17"/>
              <w:ind w:right="49"/>
              <w:jc w:val="right"/>
              <w:rPr>
                <w:sz w:val="24"/>
              </w:rPr>
            </w:pPr>
            <w:r>
              <w:rPr>
                <w:color w:val="231F20"/>
                <w:sz w:val="24"/>
              </w:rPr>
              <w:t>10</w:t>
            </w:r>
          </w:p>
        </w:tc>
      </w:tr>
      <w:tr>
        <w:trPr>
          <w:trHeight w:val="319" w:hRule="atLeast"/>
        </w:trPr>
        <w:tc>
          <w:tcPr>
            <w:tcW w:w="557" w:type="dxa"/>
          </w:tcPr>
          <w:p>
            <w:pPr>
              <w:pStyle w:val="TableParagraph"/>
              <w:spacing w:line="240" w:lineRule="auto"/>
              <w:rPr>
                <w:sz w:val="24"/>
              </w:rPr>
            </w:pPr>
          </w:p>
        </w:tc>
        <w:tc>
          <w:tcPr>
            <w:tcW w:w="3885" w:type="dxa"/>
          </w:tcPr>
          <w:p>
            <w:pPr>
              <w:pStyle w:val="TableParagraph"/>
              <w:spacing w:line="240" w:lineRule="auto" w:before="17"/>
              <w:ind w:left="353"/>
              <w:rPr>
                <w:sz w:val="24"/>
              </w:rPr>
            </w:pPr>
            <w:hyperlink w:history="true" w:anchor="_bookmark7">
              <w:r>
                <w:rPr>
                  <w:color w:val="231F20"/>
                  <w:sz w:val="24"/>
                </w:rPr>
                <w:t>Property prices</w:t>
              </w:r>
            </w:hyperlink>
          </w:p>
        </w:tc>
        <w:tc>
          <w:tcPr>
            <w:tcW w:w="560" w:type="dxa"/>
          </w:tcPr>
          <w:p>
            <w:pPr>
              <w:pStyle w:val="TableParagraph"/>
              <w:spacing w:line="240" w:lineRule="auto" w:before="17"/>
              <w:ind w:right="49"/>
              <w:jc w:val="right"/>
              <w:rPr>
                <w:sz w:val="24"/>
              </w:rPr>
            </w:pPr>
            <w:r>
              <w:rPr>
                <w:color w:val="231F20"/>
                <w:sz w:val="24"/>
              </w:rPr>
              <w:t>10</w:t>
            </w:r>
          </w:p>
        </w:tc>
      </w:tr>
      <w:tr>
        <w:trPr>
          <w:trHeight w:val="319" w:hRule="atLeast"/>
        </w:trPr>
        <w:tc>
          <w:tcPr>
            <w:tcW w:w="557" w:type="dxa"/>
          </w:tcPr>
          <w:p>
            <w:pPr>
              <w:pStyle w:val="TableParagraph"/>
              <w:spacing w:line="240" w:lineRule="auto" w:before="17"/>
              <w:ind w:left="50"/>
              <w:rPr>
                <w:b/>
                <w:sz w:val="24"/>
              </w:rPr>
            </w:pPr>
            <w:r>
              <w:rPr>
                <w:b/>
                <w:color w:val="231F20"/>
                <w:sz w:val="24"/>
              </w:rPr>
              <w:t>1.4</w:t>
            </w:r>
          </w:p>
        </w:tc>
        <w:tc>
          <w:tcPr>
            <w:tcW w:w="3885" w:type="dxa"/>
          </w:tcPr>
          <w:p>
            <w:pPr>
              <w:pStyle w:val="TableParagraph"/>
              <w:spacing w:line="240" w:lineRule="auto" w:before="17"/>
              <w:ind w:left="52"/>
              <w:rPr>
                <w:b/>
                <w:sz w:val="24"/>
              </w:rPr>
            </w:pPr>
            <w:hyperlink w:history="true" w:anchor="_bookmark9">
              <w:r>
                <w:rPr>
                  <w:b/>
                  <w:color w:val="231F20"/>
                  <w:sz w:val="24"/>
                </w:rPr>
                <w:t>Exchange rates</w:t>
              </w:r>
            </w:hyperlink>
          </w:p>
        </w:tc>
        <w:tc>
          <w:tcPr>
            <w:tcW w:w="560" w:type="dxa"/>
          </w:tcPr>
          <w:p>
            <w:pPr>
              <w:pStyle w:val="TableParagraph"/>
              <w:spacing w:line="240" w:lineRule="auto" w:before="17"/>
              <w:ind w:right="49"/>
              <w:jc w:val="right"/>
              <w:rPr>
                <w:sz w:val="24"/>
              </w:rPr>
            </w:pPr>
            <w:r>
              <w:rPr>
                <w:color w:val="231F20"/>
                <w:sz w:val="24"/>
              </w:rPr>
              <w:t>12</w:t>
            </w:r>
          </w:p>
        </w:tc>
      </w:tr>
      <w:tr>
        <w:trPr>
          <w:trHeight w:val="309" w:hRule="atLeast"/>
        </w:trPr>
        <w:tc>
          <w:tcPr>
            <w:tcW w:w="557" w:type="dxa"/>
          </w:tcPr>
          <w:p>
            <w:pPr>
              <w:pStyle w:val="TableParagraph"/>
              <w:spacing w:line="273" w:lineRule="exact" w:before="17"/>
              <w:ind w:left="50"/>
              <w:rPr>
                <w:b/>
                <w:sz w:val="24"/>
              </w:rPr>
            </w:pPr>
            <w:r>
              <w:rPr>
                <w:b/>
                <w:color w:val="231F20"/>
                <w:sz w:val="24"/>
              </w:rPr>
              <w:t>1.5</w:t>
            </w:r>
          </w:p>
        </w:tc>
        <w:tc>
          <w:tcPr>
            <w:tcW w:w="3885" w:type="dxa"/>
          </w:tcPr>
          <w:p>
            <w:pPr>
              <w:pStyle w:val="TableParagraph"/>
              <w:spacing w:line="273" w:lineRule="exact" w:before="17"/>
              <w:ind w:left="52"/>
              <w:rPr>
                <w:b/>
                <w:sz w:val="24"/>
              </w:rPr>
            </w:pPr>
            <w:hyperlink w:history="true" w:anchor="_bookmark10">
              <w:r>
                <w:rPr>
                  <w:b/>
                  <w:color w:val="231F20"/>
                  <w:sz w:val="24"/>
                </w:rPr>
                <w:t>Summary</w:t>
              </w:r>
            </w:hyperlink>
          </w:p>
        </w:tc>
        <w:tc>
          <w:tcPr>
            <w:tcW w:w="560" w:type="dxa"/>
          </w:tcPr>
          <w:p>
            <w:pPr>
              <w:pStyle w:val="TableParagraph"/>
              <w:spacing w:line="273" w:lineRule="exact" w:before="17"/>
              <w:ind w:right="49"/>
              <w:jc w:val="right"/>
              <w:rPr>
                <w:sz w:val="24"/>
              </w:rPr>
            </w:pPr>
            <w:r>
              <w:rPr>
                <w:color w:val="231F20"/>
                <w:sz w:val="24"/>
              </w:rPr>
              <w:t>13</w:t>
            </w:r>
          </w:p>
        </w:tc>
      </w:tr>
      <w:tr>
        <w:trPr>
          <w:trHeight w:val="282" w:hRule="atLeast"/>
        </w:trPr>
        <w:tc>
          <w:tcPr>
            <w:tcW w:w="557" w:type="dxa"/>
          </w:tcPr>
          <w:p>
            <w:pPr>
              <w:pStyle w:val="TableParagraph"/>
              <w:spacing w:line="256" w:lineRule="exact" w:before="7"/>
              <w:ind w:left="50"/>
              <w:rPr>
                <w:i/>
                <w:sz w:val="24"/>
              </w:rPr>
            </w:pPr>
            <w:r>
              <w:rPr>
                <w:i/>
                <w:color w:val="231F20"/>
                <w:sz w:val="24"/>
              </w:rPr>
              <w:t>Box:</w:t>
            </w:r>
          </w:p>
        </w:tc>
        <w:tc>
          <w:tcPr>
            <w:tcW w:w="3885" w:type="dxa"/>
          </w:tcPr>
          <w:p>
            <w:pPr>
              <w:pStyle w:val="TableParagraph"/>
              <w:spacing w:line="256" w:lineRule="exact" w:before="7"/>
              <w:ind w:left="353"/>
              <w:rPr>
                <w:i/>
                <w:sz w:val="24"/>
              </w:rPr>
            </w:pPr>
            <w:hyperlink w:history="true" w:anchor="_bookmark8">
              <w:r>
                <w:rPr>
                  <w:i/>
                  <w:color w:val="231F20"/>
                  <w:sz w:val="24"/>
                </w:rPr>
                <w:t>Sectoral equity prices</w:t>
              </w:r>
            </w:hyperlink>
          </w:p>
        </w:tc>
        <w:tc>
          <w:tcPr>
            <w:tcW w:w="560" w:type="dxa"/>
          </w:tcPr>
          <w:p>
            <w:pPr>
              <w:pStyle w:val="TableParagraph"/>
              <w:spacing w:line="256" w:lineRule="exact" w:before="7"/>
              <w:ind w:right="49"/>
              <w:jc w:val="right"/>
              <w:rPr>
                <w:sz w:val="24"/>
              </w:rPr>
            </w:pPr>
            <w:r>
              <w:rPr>
                <w:color w:val="231F20"/>
                <w:sz w:val="24"/>
              </w:rPr>
              <w:t>11</w:t>
            </w:r>
          </w:p>
        </w:tc>
      </w:tr>
    </w:tbl>
    <w:p>
      <w:pPr>
        <w:pStyle w:val="BodyText"/>
        <w:spacing w:before="7"/>
        <w:rPr>
          <w:sz w:val="31"/>
        </w:rPr>
      </w:pPr>
    </w:p>
    <w:p>
      <w:pPr>
        <w:pStyle w:val="ListParagraph"/>
        <w:numPr>
          <w:ilvl w:val="2"/>
          <w:numId w:val="1"/>
        </w:numPr>
        <w:tabs>
          <w:tab w:pos="5369" w:val="left" w:leader="none"/>
          <w:tab w:pos="5370" w:val="left" w:leader="none"/>
          <w:tab w:pos="10029" w:val="left" w:leader="none"/>
        </w:tabs>
        <w:spacing w:line="240" w:lineRule="auto" w:before="0" w:after="0"/>
        <w:ind w:left="5369" w:right="0" w:hanging="381"/>
        <w:jc w:val="left"/>
        <w:rPr>
          <w:sz w:val="24"/>
        </w:rPr>
      </w:pPr>
      <w:hyperlink w:history="true" w:anchor="_bookmark11">
        <w:r>
          <w:rPr>
            <w:b/>
            <w:color w:val="0093C1"/>
            <w:sz w:val="24"/>
          </w:rPr>
          <w:t>Demand and output</w:t>
        </w:r>
      </w:hyperlink>
      <w:r>
        <w:rPr>
          <w:b/>
          <w:color w:val="0093C1"/>
          <w:sz w:val="24"/>
        </w:rPr>
        <w:tab/>
      </w:r>
      <w:r>
        <w:rPr>
          <w:color w:val="231F20"/>
          <w:sz w:val="24"/>
        </w:rPr>
        <w:t>14</w:t>
      </w:r>
    </w:p>
    <w:sdt>
      <w:sdtPr>
        <w:docPartObj>
          <w:docPartGallery w:val="Table of Contents"/>
          <w:docPartUnique/>
        </w:docPartObj>
      </w:sdtPr>
      <w:sdtEndPr/>
      <w:sdtContent>
        <w:p>
          <w:pPr>
            <w:pStyle w:val="TOC2"/>
            <w:numPr>
              <w:ilvl w:val="3"/>
              <w:numId w:val="1"/>
            </w:numPr>
            <w:tabs>
              <w:tab w:pos="5929" w:val="left" w:leader="none"/>
              <w:tab w:pos="5930" w:val="left" w:leader="none"/>
              <w:tab w:pos="10269" w:val="right" w:leader="none"/>
            </w:tabs>
            <w:spacing w:line="240" w:lineRule="auto" w:before="44" w:after="0"/>
            <w:ind w:left="5929" w:right="0" w:hanging="561"/>
            <w:jc w:val="left"/>
            <w:rPr>
              <w:b w:val="0"/>
            </w:rPr>
          </w:pPr>
          <w:hyperlink w:history="true" w:anchor="_bookmark11">
            <w:r>
              <w:rPr>
                <w:color w:val="231F20"/>
              </w:rPr>
              <w:t>External</w:t>
            </w:r>
            <w:r>
              <w:rPr>
                <w:color w:val="231F20"/>
                <w:spacing w:val="-1"/>
              </w:rPr>
              <w:t> </w:t>
            </w:r>
            <w:r>
              <w:rPr>
                <w:color w:val="231F20"/>
              </w:rPr>
              <w:t>demand</w:t>
            </w:r>
          </w:hyperlink>
          <w:r>
            <w:rPr>
              <w:color w:val="231F20"/>
            </w:rPr>
            <w:tab/>
          </w:r>
          <w:r>
            <w:rPr>
              <w:b w:val="0"/>
              <w:color w:val="231F20"/>
            </w:rPr>
            <w:t>14</w:t>
          </w:r>
        </w:p>
        <w:p>
          <w:pPr>
            <w:pStyle w:val="TOC2"/>
            <w:numPr>
              <w:ilvl w:val="3"/>
              <w:numId w:val="1"/>
            </w:numPr>
            <w:tabs>
              <w:tab w:pos="5929" w:val="left" w:leader="none"/>
              <w:tab w:pos="5930" w:val="left" w:leader="none"/>
              <w:tab w:pos="10269" w:val="right" w:leader="none"/>
            </w:tabs>
            <w:spacing w:line="240" w:lineRule="auto" w:before="44" w:after="0"/>
            <w:ind w:left="5929" w:right="0" w:hanging="561"/>
            <w:jc w:val="left"/>
            <w:rPr>
              <w:b w:val="0"/>
            </w:rPr>
          </w:pPr>
          <w:hyperlink w:history="true" w:anchor="_bookmark12">
            <w:r>
              <w:rPr>
                <w:color w:val="231F20"/>
              </w:rPr>
              <w:t>Domestic demand</w:t>
            </w:r>
          </w:hyperlink>
          <w:r>
            <w:rPr>
              <w:color w:val="231F20"/>
            </w:rPr>
            <w:tab/>
          </w:r>
          <w:r>
            <w:rPr>
              <w:b w:val="0"/>
              <w:color w:val="231F20"/>
            </w:rPr>
            <w:t>16</w:t>
          </w:r>
        </w:p>
        <w:p>
          <w:pPr>
            <w:pStyle w:val="TOC4"/>
            <w:tabs>
              <w:tab w:pos="10269" w:val="right" w:leader="none"/>
            </w:tabs>
          </w:pPr>
          <w:hyperlink w:history="true" w:anchor="_bookmark12">
            <w:r>
              <w:rPr>
                <w:color w:val="231F20"/>
              </w:rPr>
              <w:t>Consumption</w:t>
            </w:r>
          </w:hyperlink>
          <w:r>
            <w:rPr>
              <w:color w:val="231F20"/>
            </w:rPr>
            <w:tab/>
            <w:t>16</w:t>
          </w:r>
        </w:p>
        <w:p>
          <w:pPr>
            <w:pStyle w:val="TOC4"/>
            <w:tabs>
              <w:tab w:pos="10269" w:val="right" w:leader="none"/>
            </w:tabs>
          </w:pPr>
          <w:hyperlink w:history="true" w:anchor="_bookmark13">
            <w:r>
              <w:rPr>
                <w:color w:val="231F20"/>
              </w:rPr>
              <w:t>Investment</w:t>
            </w:r>
            <w:r>
              <w:rPr>
                <w:color w:val="231F20"/>
                <w:spacing w:val="-1"/>
              </w:rPr>
              <w:t> </w:t>
            </w:r>
            <w:r>
              <w:rPr>
                <w:color w:val="231F20"/>
              </w:rPr>
              <w:t>demand</w:t>
            </w:r>
          </w:hyperlink>
          <w:r>
            <w:rPr>
              <w:color w:val="231F20"/>
            </w:rPr>
            <w:tab/>
            <w:t>19</w:t>
          </w:r>
        </w:p>
        <w:p>
          <w:pPr>
            <w:pStyle w:val="TOC4"/>
            <w:tabs>
              <w:tab w:pos="10269" w:val="right" w:leader="none"/>
            </w:tabs>
          </w:pPr>
          <w:hyperlink w:history="true" w:anchor="_bookmark14">
            <w:r>
              <w:rPr>
                <w:color w:val="231F20"/>
              </w:rPr>
              <w:t>Inventory</w:t>
            </w:r>
            <w:r>
              <w:rPr>
                <w:color w:val="231F20"/>
                <w:spacing w:val="-1"/>
              </w:rPr>
              <w:t> </w:t>
            </w:r>
            <w:r>
              <w:rPr>
                <w:color w:val="231F20"/>
              </w:rPr>
              <w:t>investment</w:t>
            </w:r>
          </w:hyperlink>
          <w:r>
            <w:rPr>
              <w:color w:val="231F20"/>
            </w:rPr>
            <w:tab/>
            <w:t>21</w:t>
          </w:r>
        </w:p>
        <w:p>
          <w:pPr>
            <w:pStyle w:val="TOC4"/>
            <w:tabs>
              <w:tab w:pos="10269" w:val="right" w:leader="none"/>
            </w:tabs>
          </w:pPr>
          <w:hyperlink w:history="true" w:anchor="_bookmark14">
            <w:r>
              <w:rPr>
                <w:color w:val="231F20"/>
              </w:rPr>
              <w:t>Public sector demand</w:t>
            </w:r>
          </w:hyperlink>
          <w:r>
            <w:rPr>
              <w:color w:val="231F20"/>
            </w:rPr>
            <w:tab/>
            <w:t>21</w:t>
          </w:r>
        </w:p>
        <w:p>
          <w:pPr>
            <w:pStyle w:val="TOC3"/>
            <w:numPr>
              <w:ilvl w:val="3"/>
              <w:numId w:val="1"/>
            </w:numPr>
            <w:tabs>
              <w:tab w:pos="5929" w:val="left" w:leader="none"/>
              <w:tab w:pos="5930" w:val="left" w:leader="none"/>
              <w:tab w:pos="10269" w:val="right" w:leader="none"/>
            </w:tabs>
            <w:spacing w:line="240" w:lineRule="auto" w:before="24" w:after="0"/>
            <w:ind w:left="5929" w:right="0" w:hanging="561"/>
            <w:jc w:val="left"/>
            <w:rPr>
              <w:b w:val="0"/>
              <w:i w:val="0"/>
              <w:sz w:val="24"/>
            </w:rPr>
          </w:pPr>
          <w:hyperlink w:history="true" w:anchor="_bookmark15">
            <w:r>
              <w:rPr>
                <w:i w:val="0"/>
                <w:color w:val="231F20"/>
                <w:sz w:val="24"/>
              </w:rPr>
              <w:t>Output</w:t>
            </w:r>
          </w:hyperlink>
          <w:r>
            <w:rPr>
              <w:i w:val="0"/>
              <w:color w:val="231F20"/>
              <w:sz w:val="24"/>
            </w:rPr>
            <w:tab/>
          </w:r>
          <w:r>
            <w:rPr>
              <w:b w:val="0"/>
              <w:i w:val="0"/>
              <w:color w:val="231F20"/>
              <w:sz w:val="24"/>
            </w:rPr>
            <w:t>22</w:t>
          </w:r>
        </w:p>
        <w:p>
          <w:pPr>
            <w:pStyle w:val="TOC2"/>
            <w:numPr>
              <w:ilvl w:val="3"/>
              <w:numId w:val="1"/>
            </w:numPr>
            <w:tabs>
              <w:tab w:pos="5929" w:val="left" w:leader="none"/>
              <w:tab w:pos="5930" w:val="left" w:leader="none"/>
              <w:tab w:pos="10269" w:val="right" w:leader="none"/>
            </w:tabs>
            <w:spacing w:line="240" w:lineRule="auto" w:before="24" w:after="0"/>
            <w:ind w:left="5929" w:right="0" w:hanging="561"/>
            <w:jc w:val="left"/>
            <w:rPr>
              <w:b w:val="0"/>
            </w:rPr>
          </w:pPr>
          <w:hyperlink w:history="true" w:anchor="_bookmark16">
            <w:r>
              <w:rPr>
                <w:color w:val="231F20"/>
              </w:rPr>
              <w:t>Summary</w:t>
            </w:r>
          </w:hyperlink>
          <w:r>
            <w:rPr>
              <w:color w:val="231F20"/>
            </w:rPr>
            <w:tab/>
          </w:r>
          <w:r>
            <w:rPr>
              <w:b w:val="0"/>
              <w:color w:val="231F20"/>
            </w:rPr>
            <w:t>23</w:t>
          </w:r>
        </w:p>
        <w:p>
          <w:pPr>
            <w:pStyle w:val="TOC1"/>
            <w:numPr>
              <w:ilvl w:val="2"/>
              <w:numId w:val="1"/>
            </w:numPr>
            <w:tabs>
              <w:tab w:pos="5369" w:val="left" w:leader="none"/>
              <w:tab w:pos="5370" w:val="left" w:leader="none"/>
              <w:tab w:pos="10269" w:val="right" w:leader="none"/>
            </w:tabs>
            <w:spacing w:line="240" w:lineRule="auto" w:before="324" w:after="55"/>
            <w:ind w:left="5369" w:right="0" w:hanging="381"/>
            <w:jc w:val="left"/>
            <w:rPr>
              <w:b w:val="0"/>
            </w:rPr>
          </w:pPr>
          <w:hyperlink w:history="true" w:anchor="_bookmark17">
            <w:r>
              <w:rPr>
                <w:color w:val="0093C1"/>
              </w:rPr>
              <w:t>The</w:t>
            </w:r>
            <w:r>
              <w:rPr>
                <w:color w:val="0093C1"/>
                <w:spacing w:val="-1"/>
              </w:rPr>
              <w:t> </w:t>
            </w:r>
            <w:r>
              <w:rPr>
                <w:color w:val="0093C1"/>
              </w:rPr>
              <w:t>labour market</w:t>
            </w:r>
          </w:hyperlink>
          <w:r>
            <w:rPr>
              <w:color w:val="0093C1"/>
            </w:rPr>
            <w:tab/>
          </w:r>
          <w:r>
            <w:rPr>
              <w:b w:val="0"/>
              <w:color w:val="231F20"/>
            </w:rPr>
            <w:t>24</w:t>
          </w:r>
        </w:p>
      </w:sdtContent>
    </w:sdt>
    <w:tbl>
      <w:tblPr>
        <w:tblW w:w="0" w:type="auto"/>
        <w:jc w:val="left"/>
        <w:tblInd w:w="53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56"/>
        <w:gridCol w:w="3978"/>
        <w:gridCol w:w="464"/>
      </w:tblGrid>
      <w:tr>
        <w:trPr>
          <w:trHeight w:val="292" w:hRule="atLeast"/>
        </w:trPr>
        <w:tc>
          <w:tcPr>
            <w:tcW w:w="556" w:type="dxa"/>
          </w:tcPr>
          <w:p>
            <w:pPr>
              <w:pStyle w:val="TableParagraph"/>
              <w:spacing w:line="266" w:lineRule="exact"/>
              <w:ind w:left="50"/>
              <w:rPr>
                <w:b/>
                <w:sz w:val="24"/>
              </w:rPr>
            </w:pPr>
            <w:r>
              <w:rPr>
                <w:b/>
                <w:color w:val="231F20"/>
                <w:sz w:val="24"/>
              </w:rPr>
              <w:t>3.1</w:t>
            </w:r>
          </w:p>
        </w:tc>
        <w:tc>
          <w:tcPr>
            <w:tcW w:w="3978" w:type="dxa"/>
          </w:tcPr>
          <w:p>
            <w:pPr>
              <w:pStyle w:val="TableParagraph"/>
              <w:spacing w:line="266" w:lineRule="exact"/>
              <w:ind w:left="53"/>
              <w:rPr>
                <w:b/>
                <w:sz w:val="24"/>
              </w:rPr>
            </w:pPr>
            <w:hyperlink w:history="true" w:anchor="_bookmark17">
              <w:r>
                <w:rPr>
                  <w:b/>
                  <w:color w:val="231F20"/>
                  <w:sz w:val="24"/>
                </w:rPr>
                <w:t>Earnings</w:t>
              </w:r>
            </w:hyperlink>
          </w:p>
        </w:tc>
        <w:tc>
          <w:tcPr>
            <w:tcW w:w="464" w:type="dxa"/>
          </w:tcPr>
          <w:p>
            <w:pPr>
              <w:pStyle w:val="TableParagraph"/>
              <w:spacing w:line="266" w:lineRule="exact"/>
              <w:ind w:right="47"/>
              <w:jc w:val="right"/>
              <w:rPr>
                <w:sz w:val="24"/>
              </w:rPr>
            </w:pPr>
            <w:r>
              <w:rPr>
                <w:color w:val="231F20"/>
                <w:sz w:val="24"/>
              </w:rPr>
              <w:t>24</w:t>
            </w:r>
          </w:p>
        </w:tc>
      </w:tr>
      <w:tr>
        <w:trPr>
          <w:trHeight w:val="319" w:hRule="atLeast"/>
        </w:trPr>
        <w:tc>
          <w:tcPr>
            <w:tcW w:w="556" w:type="dxa"/>
          </w:tcPr>
          <w:p>
            <w:pPr>
              <w:pStyle w:val="TableParagraph"/>
              <w:spacing w:line="240" w:lineRule="auto" w:before="17"/>
              <w:ind w:left="50"/>
              <w:rPr>
                <w:b/>
                <w:sz w:val="24"/>
              </w:rPr>
            </w:pPr>
            <w:r>
              <w:rPr>
                <w:b/>
                <w:color w:val="231F20"/>
                <w:sz w:val="24"/>
              </w:rPr>
              <w:t>3.2</w:t>
            </w:r>
          </w:p>
        </w:tc>
        <w:tc>
          <w:tcPr>
            <w:tcW w:w="3978" w:type="dxa"/>
          </w:tcPr>
          <w:p>
            <w:pPr>
              <w:pStyle w:val="TableParagraph"/>
              <w:spacing w:line="240" w:lineRule="auto" w:before="17"/>
              <w:ind w:left="53"/>
              <w:rPr>
                <w:b/>
                <w:sz w:val="24"/>
              </w:rPr>
            </w:pPr>
            <w:hyperlink w:history="true" w:anchor="_bookmark18">
              <w:r>
                <w:rPr>
                  <w:b/>
                  <w:color w:val="231F20"/>
                  <w:sz w:val="24"/>
                </w:rPr>
                <w:t>Employment and unemployment</w:t>
              </w:r>
            </w:hyperlink>
          </w:p>
        </w:tc>
        <w:tc>
          <w:tcPr>
            <w:tcW w:w="464" w:type="dxa"/>
          </w:tcPr>
          <w:p>
            <w:pPr>
              <w:pStyle w:val="TableParagraph"/>
              <w:spacing w:line="240" w:lineRule="auto" w:before="17"/>
              <w:ind w:right="47"/>
              <w:jc w:val="right"/>
              <w:rPr>
                <w:sz w:val="24"/>
              </w:rPr>
            </w:pPr>
            <w:r>
              <w:rPr>
                <w:color w:val="231F20"/>
                <w:sz w:val="24"/>
              </w:rPr>
              <w:t>27</w:t>
            </w:r>
          </w:p>
        </w:tc>
      </w:tr>
      <w:tr>
        <w:trPr>
          <w:trHeight w:val="319" w:hRule="atLeast"/>
        </w:trPr>
        <w:tc>
          <w:tcPr>
            <w:tcW w:w="556" w:type="dxa"/>
          </w:tcPr>
          <w:p>
            <w:pPr>
              <w:pStyle w:val="TableParagraph"/>
              <w:spacing w:line="240" w:lineRule="auto" w:before="17"/>
              <w:ind w:left="50"/>
              <w:rPr>
                <w:b/>
                <w:sz w:val="24"/>
              </w:rPr>
            </w:pPr>
            <w:r>
              <w:rPr>
                <w:b/>
                <w:color w:val="231F20"/>
                <w:sz w:val="24"/>
              </w:rPr>
              <w:t>3.3</w:t>
            </w:r>
          </w:p>
        </w:tc>
        <w:tc>
          <w:tcPr>
            <w:tcW w:w="3978" w:type="dxa"/>
          </w:tcPr>
          <w:p>
            <w:pPr>
              <w:pStyle w:val="TableParagraph"/>
              <w:spacing w:line="240" w:lineRule="auto" w:before="17"/>
              <w:ind w:left="53"/>
              <w:rPr>
                <w:b/>
                <w:sz w:val="24"/>
              </w:rPr>
            </w:pPr>
            <w:hyperlink w:history="true" w:anchor="_bookmark19">
              <w:r>
                <w:rPr>
                  <w:b/>
                  <w:color w:val="231F20"/>
                  <w:sz w:val="24"/>
                </w:rPr>
                <w:t>Reforms affecting the labour market</w:t>
              </w:r>
            </w:hyperlink>
          </w:p>
        </w:tc>
        <w:tc>
          <w:tcPr>
            <w:tcW w:w="464" w:type="dxa"/>
          </w:tcPr>
          <w:p>
            <w:pPr>
              <w:pStyle w:val="TableParagraph"/>
              <w:spacing w:line="240" w:lineRule="auto" w:before="17"/>
              <w:ind w:right="47"/>
              <w:jc w:val="right"/>
              <w:rPr>
                <w:sz w:val="24"/>
              </w:rPr>
            </w:pPr>
            <w:r>
              <w:rPr>
                <w:color w:val="231F20"/>
                <w:sz w:val="24"/>
              </w:rPr>
              <w:t>30</w:t>
            </w:r>
          </w:p>
        </w:tc>
      </w:tr>
      <w:tr>
        <w:trPr>
          <w:trHeight w:val="309" w:hRule="atLeast"/>
        </w:trPr>
        <w:tc>
          <w:tcPr>
            <w:tcW w:w="556" w:type="dxa"/>
          </w:tcPr>
          <w:p>
            <w:pPr>
              <w:pStyle w:val="TableParagraph"/>
              <w:spacing w:line="273" w:lineRule="exact" w:before="17"/>
              <w:ind w:left="50"/>
              <w:rPr>
                <w:b/>
                <w:sz w:val="24"/>
              </w:rPr>
            </w:pPr>
            <w:r>
              <w:rPr>
                <w:b/>
                <w:color w:val="231F20"/>
                <w:sz w:val="24"/>
              </w:rPr>
              <w:t>3.4</w:t>
            </w:r>
          </w:p>
        </w:tc>
        <w:tc>
          <w:tcPr>
            <w:tcW w:w="3978" w:type="dxa"/>
          </w:tcPr>
          <w:p>
            <w:pPr>
              <w:pStyle w:val="TableParagraph"/>
              <w:spacing w:line="273" w:lineRule="exact" w:before="17"/>
              <w:ind w:left="53"/>
              <w:rPr>
                <w:b/>
                <w:sz w:val="24"/>
              </w:rPr>
            </w:pPr>
            <w:hyperlink w:history="true" w:anchor="_bookmark21">
              <w:r>
                <w:rPr>
                  <w:b/>
                  <w:color w:val="231F20"/>
                  <w:sz w:val="24"/>
                </w:rPr>
                <w:t>Summary</w:t>
              </w:r>
            </w:hyperlink>
          </w:p>
        </w:tc>
        <w:tc>
          <w:tcPr>
            <w:tcW w:w="464" w:type="dxa"/>
          </w:tcPr>
          <w:p>
            <w:pPr>
              <w:pStyle w:val="TableParagraph"/>
              <w:spacing w:line="273" w:lineRule="exact" w:before="17"/>
              <w:ind w:right="47"/>
              <w:jc w:val="right"/>
              <w:rPr>
                <w:sz w:val="24"/>
              </w:rPr>
            </w:pPr>
            <w:r>
              <w:rPr>
                <w:color w:val="231F20"/>
                <w:sz w:val="24"/>
              </w:rPr>
              <w:t>32</w:t>
            </w:r>
          </w:p>
        </w:tc>
      </w:tr>
      <w:tr>
        <w:trPr>
          <w:trHeight w:val="282" w:hRule="atLeast"/>
        </w:trPr>
        <w:tc>
          <w:tcPr>
            <w:tcW w:w="556" w:type="dxa"/>
          </w:tcPr>
          <w:p>
            <w:pPr>
              <w:pStyle w:val="TableParagraph"/>
              <w:spacing w:line="256" w:lineRule="exact" w:before="7"/>
              <w:ind w:left="50"/>
              <w:rPr>
                <w:i/>
                <w:sz w:val="24"/>
              </w:rPr>
            </w:pPr>
            <w:r>
              <w:rPr>
                <w:i/>
                <w:color w:val="231F20"/>
                <w:sz w:val="24"/>
              </w:rPr>
              <w:t>Box:</w:t>
            </w:r>
          </w:p>
        </w:tc>
        <w:tc>
          <w:tcPr>
            <w:tcW w:w="3978" w:type="dxa"/>
          </w:tcPr>
          <w:p>
            <w:pPr>
              <w:pStyle w:val="TableParagraph"/>
              <w:spacing w:line="256" w:lineRule="exact" w:before="7"/>
              <w:ind w:left="354"/>
              <w:rPr>
                <w:i/>
                <w:sz w:val="24"/>
              </w:rPr>
            </w:pPr>
            <w:hyperlink w:history="true" w:anchor="_bookmark20">
              <w:r>
                <w:rPr>
                  <w:i/>
                  <w:color w:val="231F20"/>
                  <w:sz w:val="24"/>
                </w:rPr>
                <w:t>The Working Families Tax Credit</w:t>
              </w:r>
            </w:hyperlink>
          </w:p>
        </w:tc>
        <w:tc>
          <w:tcPr>
            <w:tcW w:w="464" w:type="dxa"/>
          </w:tcPr>
          <w:p>
            <w:pPr>
              <w:pStyle w:val="TableParagraph"/>
              <w:spacing w:line="256" w:lineRule="exact" w:before="7"/>
              <w:ind w:right="47"/>
              <w:jc w:val="right"/>
              <w:rPr>
                <w:sz w:val="24"/>
              </w:rPr>
            </w:pPr>
            <w:r>
              <w:rPr>
                <w:color w:val="231F20"/>
                <w:sz w:val="24"/>
              </w:rPr>
              <w:t>31</w:t>
            </w:r>
          </w:p>
        </w:tc>
      </w:tr>
    </w:tbl>
    <w:p>
      <w:pPr>
        <w:pStyle w:val="BodyText"/>
        <w:spacing w:before="7"/>
        <w:rPr>
          <w:sz w:val="31"/>
        </w:rPr>
      </w:pPr>
    </w:p>
    <w:p>
      <w:pPr>
        <w:pStyle w:val="ListParagraph"/>
        <w:numPr>
          <w:ilvl w:val="2"/>
          <w:numId w:val="1"/>
        </w:numPr>
        <w:tabs>
          <w:tab w:pos="5369" w:val="left" w:leader="none"/>
          <w:tab w:pos="5370" w:val="left" w:leader="none"/>
          <w:tab w:pos="10029" w:val="left" w:leader="none"/>
        </w:tabs>
        <w:spacing w:line="240" w:lineRule="auto" w:before="0" w:after="0"/>
        <w:ind w:left="5369" w:right="0" w:hanging="381"/>
        <w:jc w:val="left"/>
        <w:rPr>
          <w:sz w:val="24"/>
        </w:rPr>
      </w:pPr>
      <w:hyperlink w:history="true" w:anchor="_bookmark22">
        <w:r>
          <w:rPr>
            <w:b/>
            <w:color w:val="0093C1"/>
            <w:sz w:val="24"/>
          </w:rPr>
          <w:t>Costs and prices</w:t>
        </w:r>
      </w:hyperlink>
      <w:r>
        <w:rPr>
          <w:b/>
          <w:color w:val="0093C1"/>
          <w:sz w:val="24"/>
        </w:rPr>
        <w:tab/>
      </w:r>
      <w:r>
        <w:rPr>
          <w:color w:val="231F20"/>
          <w:sz w:val="24"/>
        </w:rPr>
        <w:t>33</w:t>
      </w:r>
    </w:p>
    <w:p>
      <w:pPr>
        <w:pStyle w:val="Heading3"/>
        <w:numPr>
          <w:ilvl w:val="3"/>
          <w:numId w:val="1"/>
        </w:numPr>
        <w:tabs>
          <w:tab w:pos="5929" w:val="left" w:leader="none"/>
          <w:tab w:pos="5930" w:val="left" w:leader="none"/>
          <w:tab w:pos="10269" w:val="right" w:leader="none"/>
        </w:tabs>
        <w:spacing w:line="240" w:lineRule="auto" w:before="44" w:after="0"/>
        <w:ind w:left="5929" w:right="0" w:hanging="561"/>
        <w:jc w:val="left"/>
        <w:rPr>
          <w:b w:val="0"/>
        </w:rPr>
      </w:pPr>
      <w:hyperlink w:history="true" w:anchor="_bookmark22">
        <w:r>
          <w:rPr>
            <w:color w:val="231F20"/>
          </w:rPr>
          <w:t>Raw materials and commodity prices</w:t>
        </w:r>
      </w:hyperlink>
      <w:r>
        <w:rPr>
          <w:color w:val="231F20"/>
        </w:rPr>
        <w:tab/>
      </w:r>
      <w:r>
        <w:rPr>
          <w:b w:val="0"/>
          <w:color w:val="231F20"/>
        </w:rPr>
        <w:t>33</w:t>
      </w:r>
    </w:p>
    <w:p>
      <w:pPr>
        <w:pStyle w:val="Heading3"/>
        <w:numPr>
          <w:ilvl w:val="3"/>
          <w:numId w:val="1"/>
        </w:numPr>
        <w:tabs>
          <w:tab w:pos="5929" w:val="left" w:leader="none"/>
          <w:tab w:pos="5930" w:val="left" w:leader="none"/>
          <w:tab w:pos="10269" w:val="right" w:leader="none"/>
        </w:tabs>
        <w:spacing w:line="240" w:lineRule="auto" w:before="44" w:after="0"/>
        <w:ind w:left="5929" w:right="0" w:hanging="561"/>
        <w:jc w:val="left"/>
        <w:rPr>
          <w:b w:val="0"/>
        </w:rPr>
      </w:pPr>
      <w:hyperlink w:history="true" w:anchor="_bookmark23">
        <w:r>
          <w:rPr>
            <w:color w:val="231F20"/>
          </w:rPr>
          <w:t>Import prices and the exchange rate</w:t>
        </w:r>
      </w:hyperlink>
      <w:r>
        <w:rPr>
          <w:color w:val="231F20"/>
        </w:rPr>
        <w:tab/>
      </w:r>
      <w:r>
        <w:rPr>
          <w:b w:val="0"/>
          <w:color w:val="231F20"/>
        </w:rPr>
        <w:t>34</w:t>
      </w:r>
    </w:p>
    <w:p>
      <w:pPr>
        <w:pStyle w:val="Heading3"/>
        <w:numPr>
          <w:ilvl w:val="3"/>
          <w:numId w:val="1"/>
        </w:numPr>
        <w:tabs>
          <w:tab w:pos="5929" w:val="left" w:leader="none"/>
          <w:tab w:pos="5930" w:val="left" w:leader="none"/>
          <w:tab w:pos="10269" w:val="right" w:leader="none"/>
        </w:tabs>
        <w:spacing w:line="240" w:lineRule="auto" w:before="44" w:after="0"/>
        <w:ind w:left="5929" w:right="0" w:hanging="561"/>
        <w:jc w:val="left"/>
        <w:rPr>
          <w:b w:val="0"/>
        </w:rPr>
      </w:pPr>
      <w:hyperlink w:history="true" w:anchor="_bookmark24">
        <w:r>
          <w:rPr>
            <w:color w:val="231F20"/>
          </w:rPr>
          <w:t>Costs and prices in the</w:t>
        </w:r>
        <w:r>
          <w:rPr>
            <w:color w:val="231F20"/>
            <w:spacing w:val="-2"/>
          </w:rPr>
          <w:t> </w:t>
        </w:r>
        <w:r>
          <w:rPr>
            <w:color w:val="231F20"/>
          </w:rPr>
          <w:t>service sector</w:t>
        </w:r>
      </w:hyperlink>
      <w:r>
        <w:rPr>
          <w:color w:val="231F20"/>
        </w:rPr>
        <w:tab/>
      </w:r>
      <w:r>
        <w:rPr>
          <w:b w:val="0"/>
          <w:color w:val="231F20"/>
        </w:rPr>
        <w:t>35</w:t>
      </w:r>
    </w:p>
    <w:p>
      <w:pPr>
        <w:pStyle w:val="Heading3"/>
        <w:numPr>
          <w:ilvl w:val="3"/>
          <w:numId w:val="1"/>
        </w:numPr>
        <w:tabs>
          <w:tab w:pos="5929" w:val="left" w:leader="none"/>
          <w:tab w:pos="5930" w:val="left" w:leader="none"/>
          <w:tab w:pos="10269" w:val="right" w:leader="none"/>
        </w:tabs>
        <w:spacing w:line="240" w:lineRule="auto" w:before="44" w:after="0"/>
        <w:ind w:left="5929" w:right="0" w:hanging="561"/>
        <w:jc w:val="left"/>
        <w:rPr>
          <w:b w:val="0"/>
        </w:rPr>
      </w:pPr>
      <w:hyperlink w:history="true" w:anchor="_bookmark24">
        <w:r>
          <w:rPr>
            <w:color w:val="231F20"/>
          </w:rPr>
          <w:t>Costs and prices in manufacturing</w:t>
        </w:r>
      </w:hyperlink>
      <w:r>
        <w:rPr>
          <w:color w:val="231F20"/>
        </w:rPr>
        <w:tab/>
      </w:r>
      <w:r>
        <w:rPr>
          <w:b w:val="0"/>
          <w:color w:val="231F20"/>
        </w:rPr>
        <w:t>35</w:t>
      </w:r>
    </w:p>
    <w:p>
      <w:pPr>
        <w:pStyle w:val="Heading3"/>
        <w:numPr>
          <w:ilvl w:val="3"/>
          <w:numId w:val="1"/>
        </w:numPr>
        <w:tabs>
          <w:tab w:pos="5929" w:val="left" w:leader="none"/>
          <w:tab w:pos="5930" w:val="left" w:leader="none"/>
          <w:tab w:pos="10269" w:val="right" w:leader="none"/>
        </w:tabs>
        <w:spacing w:line="240" w:lineRule="auto" w:before="44" w:after="0"/>
        <w:ind w:left="5929" w:right="0" w:hanging="561"/>
        <w:jc w:val="left"/>
        <w:rPr>
          <w:b w:val="0"/>
        </w:rPr>
      </w:pPr>
      <w:hyperlink w:history="true" w:anchor="_bookmark25">
        <w:r>
          <w:rPr>
            <w:color w:val="231F20"/>
          </w:rPr>
          <w:t>Retail prices</w:t>
        </w:r>
      </w:hyperlink>
      <w:r>
        <w:rPr>
          <w:color w:val="231F20"/>
        </w:rPr>
        <w:tab/>
      </w:r>
      <w:r>
        <w:rPr>
          <w:b w:val="0"/>
          <w:color w:val="231F20"/>
        </w:rPr>
        <w:t>36</w:t>
      </w:r>
    </w:p>
    <w:p>
      <w:pPr>
        <w:pStyle w:val="Heading3"/>
        <w:numPr>
          <w:ilvl w:val="3"/>
          <w:numId w:val="1"/>
        </w:numPr>
        <w:tabs>
          <w:tab w:pos="5929" w:val="left" w:leader="none"/>
          <w:tab w:pos="5930" w:val="left" w:leader="none"/>
          <w:tab w:pos="10269" w:val="right" w:leader="none"/>
        </w:tabs>
        <w:spacing w:line="240" w:lineRule="auto" w:before="44" w:after="0"/>
        <w:ind w:left="5929" w:right="0" w:hanging="561"/>
        <w:jc w:val="left"/>
        <w:rPr>
          <w:b w:val="0"/>
        </w:rPr>
      </w:pPr>
      <w:hyperlink w:history="true" w:anchor="_bookmark26">
        <w:r>
          <w:rPr>
            <w:color w:val="231F20"/>
          </w:rPr>
          <w:t>Other price indices</w:t>
        </w:r>
      </w:hyperlink>
      <w:r>
        <w:rPr>
          <w:color w:val="231F20"/>
        </w:rPr>
        <w:tab/>
      </w:r>
      <w:r>
        <w:rPr>
          <w:b w:val="0"/>
          <w:color w:val="231F20"/>
        </w:rPr>
        <w:t>37</w:t>
      </w:r>
    </w:p>
    <w:p>
      <w:pPr>
        <w:pStyle w:val="Heading3"/>
        <w:numPr>
          <w:ilvl w:val="3"/>
          <w:numId w:val="1"/>
        </w:numPr>
        <w:tabs>
          <w:tab w:pos="5929" w:val="left" w:leader="none"/>
          <w:tab w:pos="5930" w:val="left" w:leader="none"/>
          <w:tab w:pos="10269" w:val="right" w:leader="none"/>
        </w:tabs>
        <w:spacing w:line="240" w:lineRule="auto" w:before="44" w:after="0"/>
        <w:ind w:left="5929" w:right="0" w:hanging="561"/>
        <w:jc w:val="left"/>
        <w:rPr>
          <w:b w:val="0"/>
        </w:rPr>
      </w:pPr>
      <w:hyperlink w:history="true" w:anchor="_bookmark27">
        <w:r>
          <w:rPr>
            <w:color w:val="231F20"/>
          </w:rPr>
          <w:t>Summary</w:t>
        </w:r>
      </w:hyperlink>
      <w:r>
        <w:rPr>
          <w:color w:val="231F20"/>
        </w:rPr>
        <w:tab/>
      </w:r>
      <w:r>
        <w:rPr>
          <w:b w:val="0"/>
          <w:color w:val="231F20"/>
        </w:rPr>
        <w:t>38</w:t>
      </w:r>
    </w:p>
    <w:p>
      <w:pPr>
        <w:spacing w:after="0" w:line="240" w:lineRule="auto"/>
        <w:jc w:val="left"/>
        <w:sectPr>
          <w:footerReference w:type="default" r:id="rId10"/>
          <w:pgSz w:w="11900" w:h="16840"/>
          <w:pgMar w:footer="0" w:header="0" w:top="1200" w:bottom="280" w:left="640" w:right="600"/>
        </w:sectPr>
      </w:pPr>
    </w:p>
    <w:p>
      <w:pPr>
        <w:pStyle w:val="ListParagraph"/>
        <w:numPr>
          <w:ilvl w:val="2"/>
          <w:numId w:val="1"/>
        </w:numPr>
        <w:tabs>
          <w:tab w:pos="5359" w:val="left" w:leader="none"/>
          <w:tab w:pos="5360" w:val="left" w:leader="none"/>
        </w:tabs>
        <w:spacing w:line="240" w:lineRule="auto" w:before="73" w:after="0"/>
        <w:ind w:left="5359" w:right="0" w:hanging="380"/>
        <w:jc w:val="left"/>
        <w:rPr>
          <w:sz w:val="24"/>
        </w:rPr>
      </w:pPr>
      <w:hyperlink w:history="true" w:anchor="_bookmark28">
        <w:r>
          <w:rPr>
            <w:b/>
            <w:color w:val="0093C1"/>
            <w:sz w:val="24"/>
          </w:rPr>
          <w:t>Monetary policy since the November </w:t>
        </w:r>
        <w:r>
          <w:rPr>
            <w:b/>
            <w:i/>
            <w:color w:val="0093C1"/>
            <w:sz w:val="24"/>
          </w:rPr>
          <w:t>Report</w:t>
        </w:r>
      </w:hyperlink>
      <w:r>
        <w:rPr>
          <w:b/>
          <w:i/>
          <w:color w:val="0093C1"/>
          <w:sz w:val="24"/>
        </w:rPr>
        <w:t> </w:t>
      </w:r>
      <w:r>
        <w:rPr>
          <w:b/>
          <w:i/>
          <w:color w:val="0093C1"/>
          <w:spacing w:val="52"/>
          <w:sz w:val="24"/>
        </w:rPr>
        <w:t> </w:t>
      </w:r>
      <w:r>
        <w:rPr>
          <w:sz w:val="24"/>
        </w:rPr>
        <w:t>40</w:t>
      </w:r>
    </w:p>
    <w:p>
      <w:pPr>
        <w:pStyle w:val="Heading3"/>
        <w:numPr>
          <w:ilvl w:val="2"/>
          <w:numId w:val="1"/>
        </w:numPr>
        <w:tabs>
          <w:tab w:pos="5359" w:val="left" w:leader="none"/>
          <w:tab w:pos="5360" w:val="left" w:leader="none"/>
          <w:tab w:pos="10019" w:val="left" w:leader="none"/>
        </w:tabs>
        <w:spacing w:line="240" w:lineRule="auto" w:before="364" w:after="55"/>
        <w:ind w:left="5359" w:right="0" w:hanging="380"/>
        <w:jc w:val="left"/>
        <w:rPr>
          <w:b w:val="0"/>
        </w:rPr>
      </w:pPr>
      <w:hyperlink w:history="true" w:anchor="_bookmark29">
        <w:r>
          <w:rPr>
            <w:color w:val="0093C1"/>
          </w:rPr>
          <w:t>Prospects</w:t>
        </w:r>
        <w:r>
          <w:rPr>
            <w:color w:val="0093C1"/>
            <w:spacing w:val="-3"/>
          </w:rPr>
          <w:t> </w:t>
        </w:r>
        <w:r>
          <w:rPr>
            <w:color w:val="0093C1"/>
          </w:rPr>
          <w:t>for</w:t>
        </w:r>
        <w:r>
          <w:rPr>
            <w:color w:val="0093C1"/>
            <w:spacing w:val="-3"/>
          </w:rPr>
          <w:t> </w:t>
        </w:r>
        <w:r>
          <w:rPr>
            <w:color w:val="0093C1"/>
          </w:rPr>
          <w:t>inflation</w:t>
        </w:r>
      </w:hyperlink>
      <w:r>
        <w:rPr>
          <w:color w:val="0093C1"/>
        </w:rPr>
        <w:tab/>
      </w:r>
      <w:r>
        <w:rPr>
          <w:b w:val="0"/>
        </w:rPr>
        <w:t>43</w:t>
      </w:r>
    </w:p>
    <w:tbl>
      <w:tblPr>
        <w:tblW w:w="0" w:type="auto"/>
        <w:jc w:val="left"/>
        <w:tblInd w:w="53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56"/>
        <w:gridCol w:w="4057"/>
        <w:gridCol w:w="385"/>
      </w:tblGrid>
      <w:tr>
        <w:trPr>
          <w:trHeight w:val="292" w:hRule="atLeast"/>
        </w:trPr>
        <w:tc>
          <w:tcPr>
            <w:tcW w:w="556" w:type="dxa"/>
          </w:tcPr>
          <w:p>
            <w:pPr>
              <w:pStyle w:val="TableParagraph"/>
              <w:spacing w:line="266" w:lineRule="exact"/>
              <w:ind w:left="50"/>
              <w:rPr>
                <w:b/>
                <w:sz w:val="24"/>
              </w:rPr>
            </w:pPr>
            <w:r>
              <w:rPr>
                <w:b/>
                <w:sz w:val="24"/>
              </w:rPr>
              <w:t>6.1</w:t>
            </w:r>
          </w:p>
        </w:tc>
        <w:tc>
          <w:tcPr>
            <w:tcW w:w="4057" w:type="dxa"/>
          </w:tcPr>
          <w:p>
            <w:pPr>
              <w:pStyle w:val="TableParagraph"/>
              <w:spacing w:line="266" w:lineRule="exact"/>
              <w:ind w:left="53"/>
              <w:rPr>
                <w:b/>
                <w:sz w:val="24"/>
              </w:rPr>
            </w:pPr>
            <w:hyperlink w:history="true" w:anchor="_bookmark29">
              <w:r>
                <w:rPr>
                  <w:b/>
                  <w:sz w:val="24"/>
                </w:rPr>
                <w:t>The inflation projection assumptions</w:t>
              </w:r>
            </w:hyperlink>
          </w:p>
        </w:tc>
        <w:tc>
          <w:tcPr>
            <w:tcW w:w="385" w:type="dxa"/>
          </w:tcPr>
          <w:p>
            <w:pPr>
              <w:pStyle w:val="TableParagraph"/>
              <w:spacing w:line="266" w:lineRule="exact"/>
              <w:ind w:left="77" w:right="28"/>
              <w:jc w:val="center"/>
              <w:rPr>
                <w:sz w:val="24"/>
              </w:rPr>
            </w:pPr>
            <w:r>
              <w:rPr>
                <w:sz w:val="24"/>
              </w:rPr>
              <w:t>43</w:t>
            </w:r>
          </w:p>
        </w:tc>
      </w:tr>
      <w:tr>
        <w:trPr>
          <w:trHeight w:val="319" w:hRule="atLeast"/>
        </w:trPr>
        <w:tc>
          <w:tcPr>
            <w:tcW w:w="556" w:type="dxa"/>
          </w:tcPr>
          <w:p>
            <w:pPr>
              <w:pStyle w:val="TableParagraph"/>
              <w:spacing w:line="240" w:lineRule="auto" w:before="17"/>
              <w:ind w:left="50"/>
              <w:rPr>
                <w:b/>
                <w:sz w:val="24"/>
              </w:rPr>
            </w:pPr>
            <w:r>
              <w:rPr>
                <w:b/>
                <w:sz w:val="24"/>
              </w:rPr>
              <w:t>6.2</w:t>
            </w:r>
          </w:p>
        </w:tc>
        <w:tc>
          <w:tcPr>
            <w:tcW w:w="4057" w:type="dxa"/>
          </w:tcPr>
          <w:p>
            <w:pPr>
              <w:pStyle w:val="TableParagraph"/>
              <w:spacing w:line="240" w:lineRule="auto" w:before="17"/>
              <w:ind w:left="53"/>
              <w:rPr>
                <w:b/>
                <w:sz w:val="24"/>
              </w:rPr>
            </w:pPr>
            <w:hyperlink w:history="true" w:anchor="_bookmark30">
              <w:r>
                <w:rPr>
                  <w:b/>
                  <w:sz w:val="24"/>
                </w:rPr>
                <w:t>The medium-term inflation projection</w:t>
              </w:r>
            </w:hyperlink>
          </w:p>
        </w:tc>
        <w:tc>
          <w:tcPr>
            <w:tcW w:w="385" w:type="dxa"/>
          </w:tcPr>
          <w:p>
            <w:pPr>
              <w:pStyle w:val="TableParagraph"/>
              <w:spacing w:line="240" w:lineRule="auto" w:before="17"/>
              <w:ind w:left="77" w:right="28"/>
              <w:jc w:val="center"/>
              <w:rPr>
                <w:sz w:val="24"/>
              </w:rPr>
            </w:pPr>
            <w:r>
              <w:rPr>
                <w:sz w:val="24"/>
              </w:rPr>
              <w:t>45</w:t>
            </w:r>
          </w:p>
        </w:tc>
      </w:tr>
      <w:tr>
        <w:trPr>
          <w:trHeight w:val="309" w:hRule="atLeast"/>
        </w:trPr>
        <w:tc>
          <w:tcPr>
            <w:tcW w:w="556" w:type="dxa"/>
          </w:tcPr>
          <w:p>
            <w:pPr>
              <w:pStyle w:val="TableParagraph"/>
              <w:spacing w:line="273" w:lineRule="exact" w:before="17"/>
              <w:ind w:left="50"/>
              <w:rPr>
                <w:b/>
                <w:sz w:val="24"/>
              </w:rPr>
            </w:pPr>
            <w:r>
              <w:rPr>
                <w:b/>
                <w:sz w:val="24"/>
              </w:rPr>
              <w:t>6.3</w:t>
            </w:r>
          </w:p>
        </w:tc>
        <w:tc>
          <w:tcPr>
            <w:tcW w:w="4057" w:type="dxa"/>
          </w:tcPr>
          <w:p>
            <w:pPr>
              <w:pStyle w:val="TableParagraph"/>
              <w:spacing w:line="273" w:lineRule="exact" w:before="17"/>
              <w:ind w:left="53"/>
              <w:rPr>
                <w:b/>
                <w:sz w:val="24"/>
              </w:rPr>
            </w:pPr>
            <w:hyperlink w:history="true" w:anchor="_bookmark34">
              <w:r>
                <w:rPr>
                  <w:b/>
                  <w:sz w:val="24"/>
                </w:rPr>
                <w:t>Other forecasts</w:t>
              </w:r>
            </w:hyperlink>
          </w:p>
        </w:tc>
        <w:tc>
          <w:tcPr>
            <w:tcW w:w="385" w:type="dxa"/>
          </w:tcPr>
          <w:p>
            <w:pPr>
              <w:pStyle w:val="TableParagraph"/>
              <w:spacing w:line="273" w:lineRule="exact" w:before="17"/>
              <w:ind w:left="77" w:right="28"/>
              <w:jc w:val="center"/>
              <w:rPr>
                <w:sz w:val="24"/>
              </w:rPr>
            </w:pPr>
            <w:r>
              <w:rPr>
                <w:sz w:val="24"/>
              </w:rPr>
              <w:t>53</w:t>
            </w:r>
          </w:p>
        </w:tc>
      </w:tr>
      <w:tr>
        <w:trPr>
          <w:trHeight w:val="282" w:hRule="atLeast"/>
        </w:trPr>
        <w:tc>
          <w:tcPr>
            <w:tcW w:w="556" w:type="dxa"/>
          </w:tcPr>
          <w:p>
            <w:pPr>
              <w:pStyle w:val="TableParagraph"/>
              <w:spacing w:line="256" w:lineRule="exact" w:before="7"/>
              <w:ind w:left="50"/>
              <w:rPr>
                <w:i/>
                <w:sz w:val="24"/>
              </w:rPr>
            </w:pPr>
            <w:r>
              <w:rPr>
                <w:i/>
                <w:sz w:val="24"/>
              </w:rPr>
              <w:t>Box:</w:t>
            </w:r>
          </w:p>
        </w:tc>
        <w:tc>
          <w:tcPr>
            <w:tcW w:w="4057" w:type="dxa"/>
          </w:tcPr>
          <w:p>
            <w:pPr>
              <w:pStyle w:val="TableParagraph"/>
              <w:spacing w:line="256" w:lineRule="exact" w:before="7"/>
              <w:ind w:left="354"/>
              <w:rPr>
                <w:i/>
                <w:sz w:val="24"/>
              </w:rPr>
            </w:pPr>
            <w:hyperlink w:history="true" w:anchor="_bookmark33">
              <w:r>
                <w:rPr>
                  <w:i/>
                  <w:sz w:val="24"/>
                </w:rPr>
                <w:t>How fan charts are drawn</w:t>
              </w:r>
            </w:hyperlink>
          </w:p>
        </w:tc>
        <w:tc>
          <w:tcPr>
            <w:tcW w:w="385" w:type="dxa"/>
          </w:tcPr>
          <w:p>
            <w:pPr>
              <w:pStyle w:val="TableParagraph"/>
              <w:spacing w:line="256" w:lineRule="exact" w:before="7"/>
              <w:ind w:left="77" w:right="28"/>
              <w:jc w:val="center"/>
              <w:rPr>
                <w:sz w:val="24"/>
              </w:rPr>
            </w:pPr>
            <w:r>
              <w:rPr>
                <w:sz w:val="24"/>
              </w:rPr>
              <w:t>52</w:t>
            </w:r>
          </w:p>
        </w:tc>
      </w:tr>
    </w:tbl>
    <w:p>
      <w:pPr>
        <w:pStyle w:val="BodyText"/>
        <w:spacing w:before="7"/>
        <w:rPr>
          <w:sz w:val="31"/>
        </w:rPr>
      </w:pPr>
    </w:p>
    <w:p>
      <w:pPr>
        <w:tabs>
          <w:tab w:pos="10019" w:val="left" w:leader="none"/>
        </w:tabs>
        <w:spacing w:line="278" w:lineRule="auto" w:before="0"/>
        <w:ind w:left="5959" w:right="399" w:hanging="980"/>
        <w:jc w:val="left"/>
        <w:rPr>
          <w:sz w:val="24"/>
        </w:rPr>
      </w:pPr>
      <w:hyperlink w:history="true" w:anchor="_bookmark35">
        <w:r>
          <w:rPr>
            <w:b/>
            <w:color w:val="0093C1"/>
            <w:sz w:val="24"/>
          </w:rPr>
          <w:t>Annex:  Minutes of the Monetary Policy Committee</w:t>
        </w:r>
      </w:hyperlink>
      <w:r>
        <w:rPr>
          <w:b/>
          <w:color w:val="0093C1"/>
          <w:sz w:val="24"/>
        </w:rPr>
        <w:tab/>
      </w:r>
      <w:r>
        <w:rPr>
          <w:spacing w:val="-9"/>
          <w:sz w:val="24"/>
        </w:rPr>
        <w:t>55</w:t>
      </w:r>
    </w:p>
    <w:p>
      <w:pPr>
        <w:pStyle w:val="Heading3"/>
        <w:tabs>
          <w:tab w:pos="10019" w:val="left" w:leader="none"/>
        </w:tabs>
        <w:spacing w:line="276" w:lineRule="exact"/>
        <w:ind w:left="5920"/>
        <w:rPr>
          <w:b w:val="0"/>
        </w:rPr>
      </w:pPr>
      <w:hyperlink w:history="true" w:anchor="_bookmark36">
        <w:r>
          <w:rPr/>
          <w:t>November</w:t>
        </w:r>
        <w:r>
          <w:rPr>
            <w:spacing w:val="-2"/>
          </w:rPr>
          <w:t> </w:t>
        </w:r>
        <w:r>
          <w:rPr/>
          <w:t>meeting</w:t>
        </w:r>
      </w:hyperlink>
      <w:r>
        <w:rPr/>
        <w:tab/>
      </w:r>
      <w:r>
        <w:rPr>
          <w:b w:val="0"/>
        </w:rPr>
        <w:t>57</w:t>
      </w:r>
    </w:p>
    <w:p>
      <w:pPr>
        <w:pStyle w:val="Heading3"/>
        <w:tabs>
          <w:tab w:pos="10019" w:val="left" w:leader="none"/>
        </w:tabs>
        <w:spacing w:before="44"/>
        <w:ind w:left="5920"/>
        <w:rPr>
          <w:b w:val="0"/>
        </w:rPr>
      </w:pPr>
      <w:hyperlink w:history="true" w:anchor="_bookmark37">
        <w:r>
          <w:rPr/>
          <w:t>December meeting</w:t>
        </w:r>
      </w:hyperlink>
      <w:r>
        <w:rPr/>
        <w:tab/>
      </w:r>
      <w:r>
        <w:rPr>
          <w:b w:val="0"/>
        </w:rPr>
        <w:t>66</w:t>
      </w:r>
    </w:p>
    <w:p>
      <w:pPr>
        <w:pStyle w:val="Heading3"/>
        <w:tabs>
          <w:tab w:pos="10019" w:val="left" w:leader="none"/>
        </w:tabs>
        <w:spacing w:before="44"/>
        <w:ind w:left="5920"/>
        <w:rPr>
          <w:b w:val="0"/>
        </w:rPr>
      </w:pPr>
      <w:hyperlink w:history="true" w:anchor="_bookmark38">
        <w:r>
          <w:rPr/>
          <w:t>December</w:t>
        </w:r>
        <w:r>
          <w:rPr>
            <w:spacing w:val="-2"/>
          </w:rPr>
          <w:t> </w:t>
        </w:r>
        <w:r>
          <w:rPr/>
          <w:t>Press</w:t>
        </w:r>
        <w:r>
          <w:rPr>
            <w:spacing w:val="-1"/>
          </w:rPr>
          <w:t> </w:t>
        </w:r>
        <w:r>
          <w:rPr/>
          <w:t>Notice</w:t>
        </w:r>
      </w:hyperlink>
      <w:r>
        <w:rPr/>
        <w:tab/>
      </w:r>
      <w:r>
        <w:rPr>
          <w:b w:val="0"/>
        </w:rPr>
        <w:t>73</w:t>
      </w:r>
    </w:p>
    <w:p>
      <w:pPr>
        <w:pStyle w:val="Heading3"/>
        <w:tabs>
          <w:tab w:pos="10019" w:val="left" w:leader="none"/>
        </w:tabs>
        <w:spacing w:before="44"/>
        <w:ind w:left="5920"/>
        <w:rPr>
          <w:b w:val="0"/>
        </w:rPr>
      </w:pPr>
      <w:hyperlink w:history="true" w:anchor="_bookmark39">
        <w:r>
          <w:rPr/>
          <w:t>January</w:t>
        </w:r>
        <w:r>
          <w:rPr>
            <w:spacing w:val="-2"/>
          </w:rPr>
          <w:t> </w:t>
        </w:r>
        <w:r>
          <w:rPr/>
          <w:t>meeting</w:t>
        </w:r>
      </w:hyperlink>
      <w:r>
        <w:rPr/>
        <w:tab/>
      </w:r>
      <w:r>
        <w:rPr>
          <w:b w:val="0"/>
        </w:rPr>
        <w:t>74</w:t>
      </w:r>
    </w:p>
    <w:p>
      <w:pPr>
        <w:pStyle w:val="Heading3"/>
        <w:tabs>
          <w:tab w:pos="10019" w:val="left" w:leader="none"/>
        </w:tabs>
        <w:spacing w:before="44"/>
        <w:ind w:left="5920"/>
        <w:rPr>
          <w:b w:val="0"/>
        </w:rPr>
      </w:pPr>
      <w:hyperlink w:history="true" w:anchor="_bookmark40">
        <w:r>
          <w:rPr/>
          <w:t>January</w:t>
        </w:r>
        <w:r>
          <w:rPr>
            <w:spacing w:val="-3"/>
          </w:rPr>
          <w:t> </w:t>
        </w:r>
        <w:r>
          <w:rPr/>
          <w:t>Press</w:t>
        </w:r>
        <w:r>
          <w:rPr>
            <w:spacing w:val="-2"/>
          </w:rPr>
          <w:t> </w:t>
        </w:r>
        <w:r>
          <w:rPr/>
          <w:t>Notice</w:t>
        </w:r>
      </w:hyperlink>
      <w:r>
        <w:rPr/>
        <w:tab/>
      </w:r>
      <w:r>
        <w:rPr>
          <w:b w:val="0"/>
        </w:rPr>
        <w:t>81</w:t>
      </w:r>
    </w:p>
    <w:p>
      <w:pPr>
        <w:pStyle w:val="Heading3"/>
        <w:tabs>
          <w:tab w:pos="10019" w:val="left" w:leader="none"/>
        </w:tabs>
        <w:spacing w:before="44"/>
        <w:ind w:left="5920"/>
        <w:rPr>
          <w:b w:val="0"/>
        </w:rPr>
      </w:pPr>
      <w:hyperlink w:history="true" w:anchor="_bookmark40">
        <w:r>
          <w:rPr/>
          <w:t>February</w:t>
        </w:r>
        <w:r>
          <w:rPr>
            <w:spacing w:val="-3"/>
          </w:rPr>
          <w:t> </w:t>
        </w:r>
        <w:r>
          <w:rPr/>
          <w:t>Press</w:t>
        </w:r>
        <w:r>
          <w:rPr>
            <w:spacing w:val="-3"/>
          </w:rPr>
          <w:t> </w:t>
        </w:r>
        <w:r>
          <w:rPr/>
          <w:t>Notice</w:t>
        </w:r>
      </w:hyperlink>
      <w:r>
        <w:rPr/>
        <w:tab/>
      </w:r>
      <w:r>
        <w:rPr>
          <w:b w:val="0"/>
        </w:rPr>
        <w:t>81</w:t>
      </w:r>
    </w:p>
    <w:p>
      <w:pPr>
        <w:pStyle w:val="Heading3"/>
        <w:tabs>
          <w:tab w:pos="10019" w:val="left" w:leader="none"/>
        </w:tabs>
        <w:spacing w:before="364"/>
        <w:ind w:left="4980"/>
        <w:rPr>
          <w:b w:val="0"/>
        </w:rPr>
      </w:pPr>
      <w:hyperlink w:history="true" w:anchor="_bookmark41">
        <w:r>
          <w:rPr>
            <w:color w:val="0093C1"/>
          </w:rPr>
          <w:t>Glossary and</w:t>
        </w:r>
        <w:r>
          <w:rPr>
            <w:color w:val="0093C1"/>
            <w:spacing w:val="-3"/>
          </w:rPr>
          <w:t> </w:t>
        </w:r>
        <w:r>
          <w:rPr>
            <w:color w:val="0093C1"/>
          </w:rPr>
          <w:t>other</w:t>
        </w:r>
        <w:r>
          <w:rPr>
            <w:color w:val="0093C1"/>
            <w:spacing w:val="-1"/>
          </w:rPr>
          <w:t> </w:t>
        </w:r>
        <w:r>
          <w:rPr>
            <w:color w:val="0093C1"/>
          </w:rPr>
          <w:t>information</w:t>
        </w:r>
      </w:hyperlink>
      <w:r>
        <w:rPr>
          <w:color w:val="0093C1"/>
        </w:rPr>
        <w:tab/>
      </w:r>
      <w:r>
        <w:rPr>
          <w:b w:val="0"/>
        </w:rPr>
        <w:t>82</w:t>
      </w:r>
    </w:p>
    <w:p>
      <w:pPr>
        <w:pStyle w:val="BodyText"/>
        <w:rPr>
          <w:sz w:val="26"/>
        </w:rPr>
      </w:pPr>
    </w:p>
    <w:p>
      <w:pPr>
        <w:pStyle w:val="BodyText"/>
        <w:rPr>
          <w:sz w:val="26"/>
        </w:rPr>
      </w:pPr>
    </w:p>
    <w:p>
      <w:pPr>
        <w:pStyle w:val="BodyText"/>
        <w:rPr>
          <w:sz w:val="26"/>
        </w:rPr>
      </w:pPr>
    </w:p>
    <w:p>
      <w:pPr>
        <w:pStyle w:val="BodyText"/>
        <w:rPr>
          <w:sz w:val="26"/>
        </w:rPr>
      </w:pPr>
    </w:p>
    <w:p>
      <w:pPr>
        <w:pStyle w:val="BodyText"/>
        <w:spacing w:before="10"/>
        <w:rPr>
          <w:sz w:val="21"/>
        </w:rPr>
      </w:pPr>
    </w:p>
    <w:p>
      <w:pPr>
        <w:spacing w:before="0"/>
        <w:ind w:left="4980" w:right="0" w:firstLine="0"/>
        <w:jc w:val="left"/>
        <w:rPr>
          <w:b/>
          <w:sz w:val="28"/>
        </w:rPr>
      </w:pPr>
      <w:r>
        <w:rPr>
          <w:b/>
          <w:color w:val="009483"/>
          <w:sz w:val="28"/>
        </w:rPr>
        <w:t>Links to Quarterly Bulletin</w:t>
      </w:r>
    </w:p>
    <w:p>
      <w:pPr>
        <w:pStyle w:val="BodyText"/>
        <w:spacing w:before="10"/>
        <w:rPr>
          <w:b/>
          <w:sz w:val="30"/>
        </w:rPr>
      </w:pPr>
    </w:p>
    <w:p>
      <w:pPr>
        <w:spacing w:before="0"/>
        <w:ind w:left="4980" w:right="0" w:firstLine="0"/>
        <w:jc w:val="left"/>
        <w:rPr>
          <w:b/>
          <w:sz w:val="24"/>
        </w:rPr>
      </w:pPr>
      <w:r>
        <w:rPr>
          <w:b/>
          <w:color w:val="0093C1"/>
          <w:sz w:val="24"/>
        </w:rPr>
        <w:t>Section 2</w:t>
      </w:r>
    </w:p>
    <w:p>
      <w:pPr>
        <w:pStyle w:val="BodyText"/>
        <w:spacing w:before="2"/>
        <w:rPr>
          <w:b/>
          <w:sz w:val="21"/>
        </w:rPr>
      </w:pPr>
    </w:p>
    <w:p>
      <w:pPr>
        <w:spacing w:before="1"/>
        <w:ind w:left="4980" w:right="0" w:firstLine="0"/>
        <w:jc w:val="left"/>
        <w:rPr>
          <w:sz w:val="24"/>
        </w:rPr>
      </w:pPr>
      <w:r>
        <w:rPr>
          <w:sz w:val="24"/>
        </w:rPr>
        <w:t>The international environment</w:t>
      </w:r>
    </w:p>
    <w:p>
      <w:pPr>
        <w:spacing w:before="44"/>
        <w:ind w:left="4980" w:right="0" w:firstLine="0"/>
        <w:jc w:val="left"/>
        <w:rPr>
          <w:sz w:val="24"/>
        </w:rPr>
      </w:pPr>
      <w:r>
        <w:rPr>
          <w:sz w:val="24"/>
        </w:rPr>
        <w:t>Quarterly Bulletin, February 1999, pages 20–32.</w:t>
      </w:r>
    </w:p>
    <w:p>
      <w:pPr>
        <w:pStyle w:val="BodyText"/>
        <w:spacing w:before="7"/>
        <w:rPr>
          <w:sz w:val="31"/>
        </w:rPr>
      </w:pPr>
    </w:p>
    <w:p>
      <w:pPr>
        <w:spacing w:before="0"/>
        <w:ind w:left="4980" w:right="0" w:firstLine="0"/>
        <w:jc w:val="left"/>
        <w:rPr>
          <w:b/>
          <w:sz w:val="24"/>
        </w:rPr>
      </w:pPr>
      <w:r>
        <w:rPr>
          <w:b/>
          <w:color w:val="0093C1"/>
          <w:sz w:val="24"/>
        </w:rPr>
        <w:t>Section 4</w:t>
      </w:r>
    </w:p>
    <w:p>
      <w:pPr>
        <w:pStyle w:val="BodyText"/>
        <w:spacing w:before="3"/>
        <w:rPr>
          <w:b/>
          <w:sz w:val="21"/>
        </w:rPr>
      </w:pPr>
    </w:p>
    <w:p>
      <w:pPr>
        <w:spacing w:line="278" w:lineRule="auto" w:before="0"/>
        <w:ind w:left="4980" w:right="715" w:firstLine="0"/>
        <w:jc w:val="left"/>
        <w:rPr>
          <w:sz w:val="24"/>
        </w:rPr>
      </w:pPr>
      <w:r>
        <w:rPr>
          <w:sz w:val="24"/>
        </w:rPr>
        <w:t>Inflation and growth in a service economy Quarterly Bulletin, November 1998, pages 338–46.</w:t>
      </w:r>
    </w:p>
    <w:p>
      <w:pPr>
        <w:spacing w:after="0" w:line="278" w:lineRule="auto"/>
        <w:jc w:val="left"/>
        <w:rPr>
          <w:sz w:val="24"/>
        </w:rPr>
        <w:sectPr>
          <w:footerReference w:type="even" r:id="rId11"/>
          <w:pgSz w:w="11900" w:h="16840"/>
          <w:pgMar w:footer="0" w:header="0" w:top="980" w:bottom="280" w:left="640" w:right="600"/>
        </w:sectPr>
      </w:pPr>
    </w:p>
    <w:p>
      <w:pPr>
        <w:pStyle w:val="BodyText"/>
        <w:spacing w:line="20" w:lineRule="exact"/>
        <w:ind w:left="138"/>
        <w:rPr>
          <w:sz w:val="2"/>
        </w:rPr>
      </w:pPr>
      <w:r>
        <w:rPr>
          <w:sz w:val="2"/>
        </w:rPr>
        <w:pict>
          <v:group style="width:517pt;height:.15pt;mso-position-horizontal-relative:char;mso-position-vertical-relative:line" coordorigin="0,0" coordsize="10340,3">
            <v:line style="position:absolute" from="0,1" to="10340,1" stroked="true" strokeweight=".125pt" strokecolor="#000000">
              <v:stroke dashstyle="solid"/>
            </v:line>
          </v:group>
        </w:pict>
      </w:r>
      <w:r>
        <w:rPr>
          <w:sz w:val="2"/>
        </w:rPr>
      </w:r>
    </w:p>
    <w:p>
      <w:pPr>
        <w:pStyle w:val="BodyText"/>
        <w:rPr>
          <w:sz w:val="20"/>
        </w:rPr>
      </w:pPr>
    </w:p>
    <w:p>
      <w:pPr>
        <w:pStyle w:val="BodyText"/>
        <w:spacing w:before="9"/>
      </w:pPr>
      <w:r>
        <w:rPr/>
        <w:pict>
          <v:shape style="position:absolute;margin-left:40.090pt;margin-top:12.000977pt;width:516pt;height:48pt;mso-position-horizontal-relative:page;mso-position-vertical-relative:paragraph;z-index:-15714816;mso-wrap-distance-left:0;mso-wrap-distance-right:0" type="#_x0000_t202" filled="true" fillcolor="#b5dad6" stroked="false">
            <v:textbox inset="0,0,0,0">
              <w:txbxContent>
                <w:p>
                  <w:pPr>
                    <w:tabs>
                      <w:tab w:pos="10099" w:val="right" w:leader="none"/>
                    </w:tabs>
                    <w:spacing w:before="51"/>
                    <w:ind w:left="260" w:right="0" w:firstLine="0"/>
                    <w:jc w:val="left"/>
                    <w:rPr>
                      <w:b/>
                      <w:sz w:val="72"/>
                    </w:rPr>
                  </w:pPr>
                  <w:bookmarkStart w:name="Money and financial markets" w:id="5"/>
                  <w:bookmarkEnd w:id="5"/>
                  <w:r>
                    <w:rPr/>
                  </w:r>
                  <w:bookmarkStart w:name="Money" w:id="6"/>
                  <w:bookmarkEnd w:id="6"/>
                  <w:r>
                    <w:rPr/>
                  </w:r>
                  <w:bookmarkStart w:name="_bookmark1" w:id="7"/>
                  <w:bookmarkEnd w:id="7"/>
                  <w:r>
                    <w:rPr/>
                  </w:r>
                  <w:r>
                    <w:rPr>
                      <w:b/>
                      <w:color w:val="009483"/>
                      <w:sz w:val="48"/>
                    </w:rPr>
                    <w:t>Money and</w:t>
                  </w:r>
                  <w:r>
                    <w:rPr>
                      <w:b/>
                      <w:color w:val="009483"/>
                      <w:spacing w:val="-2"/>
                      <w:sz w:val="48"/>
                    </w:rPr>
                    <w:t> </w:t>
                  </w:r>
                  <w:r>
                    <w:rPr>
                      <w:b/>
                      <w:color w:val="009483"/>
                      <w:sz w:val="48"/>
                    </w:rPr>
                    <w:t>financial markets</w:t>
                    <w:tab/>
                  </w:r>
                  <w:r>
                    <w:rPr>
                      <w:b/>
                      <w:color w:val="009483"/>
                      <w:sz w:val="72"/>
                    </w:rPr>
                    <w:t>1</w:t>
                  </w:r>
                </w:p>
              </w:txbxContent>
            </v:textbox>
            <v:fill type="solid"/>
            <w10:wrap type="topAndBottom"/>
          </v:shape>
        </w:pict>
      </w:r>
    </w:p>
    <w:p>
      <w:pPr>
        <w:pStyle w:val="BodyText"/>
        <w:rPr>
          <w:sz w:val="20"/>
        </w:rPr>
      </w:pPr>
    </w:p>
    <w:p>
      <w:pPr>
        <w:pStyle w:val="BodyText"/>
        <w:spacing w:before="5"/>
        <w:rPr>
          <w:sz w:val="29"/>
        </w:rPr>
      </w:pPr>
    </w:p>
    <w:p>
      <w:pPr>
        <w:spacing w:line="242" w:lineRule="auto" w:before="90"/>
        <w:ind w:left="4960" w:right="261" w:firstLine="0"/>
        <w:jc w:val="left"/>
        <w:rPr>
          <w:sz w:val="24"/>
        </w:rPr>
      </w:pPr>
      <w:r>
        <w:rPr>
          <w:sz w:val="24"/>
        </w:rPr>
        <w:t>Annual broad money growth has been slowing since 1997 Q4. It eased further in the last three months of 1998, largely reflecting a contraction of balance sheets by the non-bank financial sector. Total M4 lending growth also slowed in 1998 Q4, even though unsecured lending to individuals grew by close to 20% on a year earlier. World financial markets remained volatile.</w:t>
      </w:r>
    </w:p>
    <w:p>
      <w:pPr>
        <w:spacing w:line="242" w:lineRule="auto" w:before="9"/>
        <w:ind w:left="4960" w:right="288" w:firstLine="0"/>
        <w:jc w:val="left"/>
        <w:rPr>
          <w:sz w:val="24"/>
        </w:rPr>
      </w:pPr>
      <w:r>
        <w:rPr>
          <w:sz w:val="24"/>
        </w:rPr>
        <w:t>Government bond prices rose, particularly in the United Kingdom. And despite a temporary decline following the devaluation of the Brazilian real, equity prices in most major industrialised countries were higher than in the autumn.</w:t>
      </w:r>
    </w:p>
    <w:p>
      <w:pPr>
        <w:pStyle w:val="BodyText"/>
        <w:spacing w:before="1"/>
        <w:rPr>
          <w:sz w:val="17"/>
        </w:rPr>
      </w:pPr>
    </w:p>
    <w:p>
      <w:pPr>
        <w:spacing w:after="0"/>
        <w:rPr>
          <w:sz w:val="17"/>
        </w:rPr>
        <w:sectPr>
          <w:footerReference w:type="default" r:id="rId12"/>
          <w:footerReference w:type="even" r:id="rId13"/>
          <w:pgSz w:w="11900" w:h="16840"/>
          <w:pgMar w:footer="617" w:header="0" w:top="780" w:bottom="800" w:left="640" w:right="600"/>
          <w:pgNumType w:start="3"/>
        </w:sectPr>
      </w:pPr>
    </w:p>
    <w:p>
      <w:pPr>
        <w:pStyle w:val="BodyText"/>
        <w:rPr>
          <w:sz w:val="22"/>
        </w:rPr>
      </w:pPr>
    </w:p>
    <w:p>
      <w:pPr>
        <w:pStyle w:val="BodyText"/>
        <w:rPr>
          <w:sz w:val="22"/>
        </w:rPr>
      </w:pPr>
    </w:p>
    <w:p>
      <w:pPr>
        <w:pStyle w:val="BodyText"/>
        <w:rPr>
          <w:sz w:val="22"/>
        </w:rPr>
      </w:pPr>
    </w:p>
    <w:p>
      <w:pPr>
        <w:pStyle w:val="BodyText"/>
        <w:spacing w:before="1"/>
        <w:rPr>
          <w:sz w:val="19"/>
        </w:rPr>
      </w:pPr>
    </w:p>
    <w:p>
      <w:pPr>
        <w:pStyle w:val="Heading7"/>
        <w:spacing w:before="1"/>
        <w:ind w:left="170"/>
      </w:pPr>
      <w:r>
        <w:rPr>
          <w:color w:val="0093C1"/>
        </w:rPr>
        <w:t>Table 1.A</w:t>
      </w:r>
    </w:p>
    <w:p>
      <w:pPr>
        <w:spacing w:before="10"/>
        <w:ind w:left="170" w:right="0" w:firstLine="0"/>
        <w:jc w:val="left"/>
        <w:rPr>
          <w:sz w:val="12"/>
        </w:rPr>
      </w:pPr>
      <w:r>
        <w:rPr>
          <w:b/>
          <w:color w:val="0093C1"/>
          <w:sz w:val="20"/>
        </w:rPr>
        <w:t>Growth rates of M4 and M4 lending</w:t>
      </w:r>
      <w:r>
        <w:rPr>
          <w:position w:val="4"/>
          <w:sz w:val="12"/>
        </w:rPr>
        <w:t>(a)</w:t>
      </w:r>
    </w:p>
    <w:p>
      <w:pPr>
        <w:spacing w:before="59"/>
        <w:ind w:left="170" w:right="0" w:firstLine="0"/>
        <w:jc w:val="left"/>
        <w:rPr>
          <w:sz w:val="14"/>
        </w:rPr>
      </w:pPr>
      <w:r>
        <w:rPr/>
        <w:pict>
          <v:shape style="position:absolute;margin-left:37.999901pt;margin-top:17.24737pt;width:214.4pt;height:77.8pt;mso-position-horizontal-relative:page;mso-position-vertical-relative:paragraph;z-index:15745536"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55"/>
                    <w:gridCol w:w="656"/>
                    <w:gridCol w:w="1047"/>
                    <w:gridCol w:w="980"/>
                    <w:gridCol w:w="753"/>
                  </w:tblGrid>
                  <w:tr>
                    <w:trPr>
                      <w:trHeight w:val="218" w:hRule="atLeast"/>
                    </w:trPr>
                    <w:tc>
                      <w:tcPr>
                        <w:tcW w:w="855" w:type="dxa"/>
                      </w:tcPr>
                      <w:p>
                        <w:pPr>
                          <w:pStyle w:val="TableParagraph"/>
                          <w:spacing w:line="240" w:lineRule="auto"/>
                          <w:rPr>
                            <w:sz w:val="14"/>
                          </w:rPr>
                        </w:pPr>
                      </w:p>
                    </w:tc>
                    <w:tc>
                      <w:tcPr>
                        <w:tcW w:w="656" w:type="dxa"/>
                      </w:tcPr>
                      <w:p>
                        <w:pPr>
                          <w:pStyle w:val="TableParagraph"/>
                          <w:spacing w:line="155" w:lineRule="exact"/>
                          <w:ind w:left="136" w:right="200"/>
                          <w:jc w:val="center"/>
                          <w:rPr>
                            <w:sz w:val="14"/>
                          </w:rPr>
                        </w:pPr>
                        <w:r>
                          <w:rPr>
                            <w:sz w:val="14"/>
                            <w:u w:val="single"/>
                          </w:rPr>
                          <w:t>1998</w:t>
                        </w:r>
                      </w:p>
                    </w:tc>
                    <w:tc>
                      <w:tcPr>
                        <w:tcW w:w="1047" w:type="dxa"/>
                      </w:tcPr>
                      <w:p>
                        <w:pPr>
                          <w:pStyle w:val="TableParagraph"/>
                          <w:spacing w:line="157" w:lineRule="exact"/>
                          <w:ind w:left="198" w:right="116"/>
                          <w:jc w:val="center"/>
                          <w:rPr>
                            <w:sz w:val="12"/>
                          </w:rPr>
                        </w:pPr>
                        <w:r>
                          <w:rPr>
                            <w:position w:val="1"/>
                            <w:sz w:val="14"/>
                            <w:u w:val="single"/>
                          </w:rPr>
                          <w:t>3 months </w:t>
                        </w:r>
                        <w:r>
                          <w:rPr>
                            <w:sz w:val="12"/>
                            <w:u w:val="single"/>
                          </w:rPr>
                          <w:t>(b</w:t>
                        </w:r>
                        <w:r>
                          <w:rPr>
                            <w:sz w:val="12"/>
                          </w:rPr>
                          <w:t>)</w:t>
                        </w:r>
                      </w:p>
                    </w:tc>
                    <w:tc>
                      <w:tcPr>
                        <w:tcW w:w="980" w:type="dxa"/>
                      </w:tcPr>
                      <w:p>
                        <w:pPr>
                          <w:pStyle w:val="TableParagraph"/>
                          <w:spacing w:line="157" w:lineRule="exact"/>
                          <w:ind w:left="132"/>
                          <w:rPr>
                            <w:sz w:val="12"/>
                          </w:rPr>
                        </w:pPr>
                        <w:r>
                          <w:rPr>
                            <w:position w:val="1"/>
                            <w:sz w:val="14"/>
                            <w:u w:val="single"/>
                          </w:rPr>
                          <w:t>6 months </w:t>
                        </w:r>
                        <w:r>
                          <w:rPr>
                            <w:sz w:val="12"/>
                            <w:u w:val="single"/>
                          </w:rPr>
                          <w:t>(b) </w:t>
                        </w:r>
                      </w:p>
                    </w:tc>
                    <w:tc>
                      <w:tcPr>
                        <w:tcW w:w="753" w:type="dxa"/>
                      </w:tcPr>
                      <w:p>
                        <w:pPr>
                          <w:pStyle w:val="TableParagraph"/>
                          <w:spacing w:line="155" w:lineRule="exact"/>
                          <w:ind w:left="91" w:right="33"/>
                          <w:jc w:val="center"/>
                          <w:rPr>
                            <w:sz w:val="14"/>
                          </w:rPr>
                        </w:pPr>
                        <w:r>
                          <w:rPr>
                            <w:sz w:val="14"/>
                            <w:u w:val="single"/>
                          </w:rPr>
                          <w:t>12 months</w:t>
                        </w:r>
                      </w:p>
                    </w:tc>
                  </w:tr>
                  <w:tr>
                    <w:trPr>
                      <w:trHeight w:val="208" w:hRule="atLeast"/>
                    </w:trPr>
                    <w:tc>
                      <w:tcPr>
                        <w:tcW w:w="855" w:type="dxa"/>
                      </w:tcPr>
                      <w:p>
                        <w:pPr>
                          <w:pStyle w:val="TableParagraph"/>
                          <w:spacing w:line="133" w:lineRule="exact" w:before="55"/>
                          <w:ind w:left="50"/>
                          <w:rPr>
                            <w:sz w:val="14"/>
                          </w:rPr>
                        </w:pPr>
                        <w:r>
                          <w:rPr>
                            <w:sz w:val="14"/>
                          </w:rPr>
                          <w:t>M4</w:t>
                        </w:r>
                      </w:p>
                    </w:tc>
                    <w:tc>
                      <w:tcPr>
                        <w:tcW w:w="656" w:type="dxa"/>
                      </w:tcPr>
                      <w:p>
                        <w:pPr>
                          <w:pStyle w:val="TableParagraph"/>
                          <w:spacing w:line="133" w:lineRule="exact" w:before="55"/>
                          <w:ind w:left="28" w:right="200"/>
                          <w:jc w:val="center"/>
                          <w:rPr>
                            <w:sz w:val="14"/>
                          </w:rPr>
                        </w:pPr>
                        <w:r>
                          <w:rPr>
                            <w:sz w:val="14"/>
                          </w:rPr>
                          <w:t>Q1</w:t>
                        </w:r>
                      </w:p>
                    </w:tc>
                    <w:tc>
                      <w:tcPr>
                        <w:tcW w:w="1047" w:type="dxa"/>
                      </w:tcPr>
                      <w:p>
                        <w:pPr>
                          <w:pStyle w:val="TableParagraph"/>
                          <w:spacing w:line="133" w:lineRule="exact" w:before="55"/>
                          <w:ind w:left="85" w:right="116"/>
                          <w:jc w:val="center"/>
                          <w:rPr>
                            <w:sz w:val="14"/>
                          </w:rPr>
                        </w:pPr>
                        <w:r>
                          <w:rPr>
                            <w:sz w:val="14"/>
                          </w:rPr>
                          <w:t>8.1</w:t>
                        </w:r>
                      </w:p>
                    </w:tc>
                    <w:tc>
                      <w:tcPr>
                        <w:tcW w:w="980" w:type="dxa"/>
                      </w:tcPr>
                      <w:p>
                        <w:pPr>
                          <w:pStyle w:val="TableParagraph"/>
                          <w:spacing w:line="133" w:lineRule="exact" w:before="55"/>
                          <w:ind w:left="322"/>
                          <w:rPr>
                            <w:sz w:val="14"/>
                          </w:rPr>
                        </w:pPr>
                        <w:r>
                          <w:rPr>
                            <w:sz w:val="14"/>
                          </w:rPr>
                          <w:t>9.4</w:t>
                        </w:r>
                      </w:p>
                    </w:tc>
                    <w:tc>
                      <w:tcPr>
                        <w:tcW w:w="753" w:type="dxa"/>
                      </w:tcPr>
                      <w:p>
                        <w:pPr>
                          <w:pStyle w:val="TableParagraph"/>
                          <w:spacing w:line="133" w:lineRule="exact" w:before="55"/>
                          <w:ind w:left="91" w:right="152"/>
                          <w:jc w:val="center"/>
                          <w:rPr>
                            <w:sz w:val="14"/>
                          </w:rPr>
                        </w:pPr>
                        <w:r>
                          <w:rPr>
                            <w:sz w:val="14"/>
                          </w:rPr>
                          <w:t>10.0</w:t>
                        </w:r>
                      </w:p>
                    </w:tc>
                  </w:tr>
                  <w:tr>
                    <w:trPr>
                      <w:trHeight w:val="140" w:hRule="atLeast"/>
                    </w:trPr>
                    <w:tc>
                      <w:tcPr>
                        <w:tcW w:w="855" w:type="dxa"/>
                      </w:tcPr>
                      <w:p>
                        <w:pPr>
                          <w:pStyle w:val="TableParagraph"/>
                          <w:spacing w:line="240" w:lineRule="auto"/>
                          <w:rPr>
                            <w:sz w:val="8"/>
                          </w:rPr>
                        </w:pPr>
                      </w:p>
                    </w:tc>
                    <w:tc>
                      <w:tcPr>
                        <w:tcW w:w="656" w:type="dxa"/>
                      </w:tcPr>
                      <w:p>
                        <w:pPr>
                          <w:pStyle w:val="TableParagraph"/>
                          <w:ind w:left="28" w:right="200"/>
                          <w:jc w:val="center"/>
                          <w:rPr>
                            <w:sz w:val="14"/>
                          </w:rPr>
                        </w:pPr>
                        <w:r>
                          <w:rPr>
                            <w:sz w:val="14"/>
                          </w:rPr>
                          <w:t>Q2</w:t>
                        </w:r>
                      </w:p>
                    </w:tc>
                    <w:tc>
                      <w:tcPr>
                        <w:tcW w:w="1047" w:type="dxa"/>
                      </w:tcPr>
                      <w:p>
                        <w:pPr>
                          <w:pStyle w:val="TableParagraph"/>
                          <w:ind w:left="85" w:right="116"/>
                          <w:jc w:val="center"/>
                          <w:rPr>
                            <w:sz w:val="14"/>
                          </w:rPr>
                        </w:pPr>
                        <w:r>
                          <w:rPr>
                            <w:sz w:val="14"/>
                          </w:rPr>
                          <w:t>9.0</w:t>
                        </w:r>
                      </w:p>
                    </w:tc>
                    <w:tc>
                      <w:tcPr>
                        <w:tcW w:w="980" w:type="dxa"/>
                      </w:tcPr>
                      <w:p>
                        <w:pPr>
                          <w:pStyle w:val="TableParagraph"/>
                          <w:ind w:left="322"/>
                          <w:rPr>
                            <w:sz w:val="14"/>
                          </w:rPr>
                        </w:pPr>
                        <w:r>
                          <w:rPr>
                            <w:sz w:val="14"/>
                          </w:rPr>
                          <w:t>8.6</w:t>
                        </w:r>
                      </w:p>
                    </w:tc>
                    <w:tc>
                      <w:tcPr>
                        <w:tcW w:w="753" w:type="dxa"/>
                      </w:tcPr>
                      <w:p>
                        <w:pPr>
                          <w:pStyle w:val="TableParagraph"/>
                          <w:ind w:left="39" w:right="33"/>
                          <w:jc w:val="center"/>
                          <w:rPr>
                            <w:sz w:val="14"/>
                          </w:rPr>
                        </w:pPr>
                        <w:r>
                          <w:rPr>
                            <w:sz w:val="14"/>
                          </w:rPr>
                          <w:t>9.4</w:t>
                        </w:r>
                      </w:p>
                    </w:tc>
                  </w:tr>
                  <w:tr>
                    <w:trPr>
                      <w:trHeight w:val="140" w:hRule="atLeast"/>
                    </w:trPr>
                    <w:tc>
                      <w:tcPr>
                        <w:tcW w:w="855" w:type="dxa"/>
                      </w:tcPr>
                      <w:p>
                        <w:pPr>
                          <w:pStyle w:val="TableParagraph"/>
                          <w:spacing w:line="240" w:lineRule="auto"/>
                          <w:rPr>
                            <w:sz w:val="8"/>
                          </w:rPr>
                        </w:pPr>
                      </w:p>
                    </w:tc>
                    <w:tc>
                      <w:tcPr>
                        <w:tcW w:w="656" w:type="dxa"/>
                      </w:tcPr>
                      <w:p>
                        <w:pPr>
                          <w:pStyle w:val="TableParagraph"/>
                          <w:ind w:left="28" w:right="200"/>
                          <w:jc w:val="center"/>
                          <w:rPr>
                            <w:sz w:val="14"/>
                          </w:rPr>
                        </w:pPr>
                        <w:r>
                          <w:rPr>
                            <w:sz w:val="14"/>
                          </w:rPr>
                          <w:t>Q3</w:t>
                        </w:r>
                      </w:p>
                    </w:tc>
                    <w:tc>
                      <w:tcPr>
                        <w:tcW w:w="1047" w:type="dxa"/>
                      </w:tcPr>
                      <w:p>
                        <w:pPr>
                          <w:pStyle w:val="TableParagraph"/>
                          <w:ind w:left="85" w:right="116"/>
                          <w:jc w:val="center"/>
                          <w:rPr>
                            <w:sz w:val="14"/>
                          </w:rPr>
                        </w:pPr>
                        <w:r>
                          <w:rPr>
                            <w:sz w:val="14"/>
                          </w:rPr>
                          <w:t>8.7</w:t>
                        </w:r>
                      </w:p>
                    </w:tc>
                    <w:tc>
                      <w:tcPr>
                        <w:tcW w:w="980" w:type="dxa"/>
                      </w:tcPr>
                      <w:p>
                        <w:pPr>
                          <w:pStyle w:val="TableParagraph"/>
                          <w:ind w:left="322"/>
                          <w:rPr>
                            <w:sz w:val="14"/>
                          </w:rPr>
                        </w:pPr>
                        <w:r>
                          <w:rPr>
                            <w:sz w:val="14"/>
                          </w:rPr>
                          <w:t>8.9</w:t>
                        </w:r>
                      </w:p>
                    </w:tc>
                    <w:tc>
                      <w:tcPr>
                        <w:tcW w:w="753" w:type="dxa"/>
                      </w:tcPr>
                      <w:p>
                        <w:pPr>
                          <w:pStyle w:val="TableParagraph"/>
                          <w:ind w:left="39" w:right="33"/>
                          <w:jc w:val="center"/>
                          <w:rPr>
                            <w:sz w:val="14"/>
                          </w:rPr>
                        </w:pPr>
                        <w:r>
                          <w:rPr>
                            <w:sz w:val="14"/>
                          </w:rPr>
                          <w:t>9.2</w:t>
                        </w:r>
                      </w:p>
                    </w:tc>
                  </w:tr>
                  <w:tr>
                    <w:trPr>
                      <w:trHeight w:val="210" w:hRule="atLeast"/>
                    </w:trPr>
                    <w:tc>
                      <w:tcPr>
                        <w:tcW w:w="855" w:type="dxa"/>
                      </w:tcPr>
                      <w:p>
                        <w:pPr>
                          <w:pStyle w:val="TableParagraph"/>
                          <w:spacing w:line="240" w:lineRule="auto"/>
                          <w:rPr>
                            <w:sz w:val="14"/>
                          </w:rPr>
                        </w:pPr>
                      </w:p>
                    </w:tc>
                    <w:tc>
                      <w:tcPr>
                        <w:tcW w:w="656" w:type="dxa"/>
                      </w:tcPr>
                      <w:p>
                        <w:pPr>
                          <w:pStyle w:val="TableParagraph"/>
                          <w:spacing w:line="148" w:lineRule="exact"/>
                          <w:ind w:left="28" w:right="200"/>
                          <w:jc w:val="center"/>
                          <w:rPr>
                            <w:sz w:val="14"/>
                          </w:rPr>
                        </w:pPr>
                        <w:r>
                          <w:rPr>
                            <w:sz w:val="14"/>
                          </w:rPr>
                          <w:t>Q4</w:t>
                        </w:r>
                      </w:p>
                    </w:tc>
                    <w:tc>
                      <w:tcPr>
                        <w:tcW w:w="1047" w:type="dxa"/>
                      </w:tcPr>
                      <w:p>
                        <w:pPr>
                          <w:pStyle w:val="TableParagraph"/>
                          <w:spacing w:line="148" w:lineRule="exact"/>
                          <w:ind w:left="85" w:right="116"/>
                          <w:jc w:val="center"/>
                          <w:rPr>
                            <w:sz w:val="14"/>
                          </w:rPr>
                        </w:pPr>
                        <w:r>
                          <w:rPr>
                            <w:sz w:val="14"/>
                          </w:rPr>
                          <w:t>6.3</w:t>
                        </w:r>
                      </w:p>
                    </w:tc>
                    <w:tc>
                      <w:tcPr>
                        <w:tcW w:w="980" w:type="dxa"/>
                      </w:tcPr>
                      <w:p>
                        <w:pPr>
                          <w:pStyle w:val="TableParagraph"/>
                          <w:spacing w:line="148" w:lineRule="exact"/>
                          <w:ind w:left="322"/>
                          <w:rPr>
                            <w:sz w:val="14"/>
                          </w:rPr>
                        </w:pPr>
                        <w:r>
                          <w:rPr>
                            <w:sz w:val="14"/>
                          </w:rPr>
                          <w:t>7.5</w:t>
                        </w:r>
                      </w:p>
                    </w:tc>
                    <w:tc>
                      <w:tcPr>
                        <w:tcW w:w="753" w:type="dxa"/>
                      </w:tcPr>
                      <w:p>
                        <w:pPr>
                          <w:pStyle w:val="TableParagraph"/>
                          <w:spacing w:line="148" w:lineRule="exact"/>
                          <w:ind w:left="39" w:right="33"/>
                          <w:jc w:val="center"/>
                          <w:rPr>
                            <w:sz w:val="14"/>
                          </w:rPr>
                        </w:pPr>
                        <w:r>
                          <w:rPr>
                            <w:sz w:val="14"/>
                          </w:rPr>
                          <w:t>8.1</w:t>
                        </w:r>
                      </w:p>
                    </w:tc>
                  </w:tr>
                  <w:tr>
                    <w:trPr>
                      <w:trHeight w:val="210" w:hRule="atLeast"/>
                    </w:trPr>
                    <w:tc>
                      <w:tcPr>
                        <w:tcW w:w="855" w:type="dxa"/>
                      </w:tcPr>
                      <w:p>
                        <w:pPr>
                          <w:pStyle w:val="TableParagraph"/>
                          <w:spacing w:line="133" w:lineRule="exact" w:before="56"/>
                          <w:ind w:left="50"/>
                          <w:rPr>
                            <w:sz w:val="14"/>
                          </w:rPr>
                        </w:pPr>
                        <w:r>
                          <w:rPr>
                            <w:sz w:val="14"/>
                          </w:rPr>
                          <w:t>M4 lending</w:t>
                        </w:r>
                      </w:p>
                    </w:tc>
                    <w:tc>
                      <w:tcPr>
                        <w:tcW w:w="656" w:type="dxa"/>
                      </w:tcPr>
                      <w:p>
                        <w:pPr>
                          <w:pStyle w:val="TableParagraph"/>
                          <w:spacing w:line="133" w:lineRule="exact" w:before="56"/>
                          <w:ind w:left="28" w:right="200"/>
                          <w:jc w:val="center"/>
                          <w:rPr>
                            <w:sz w:val="14"/>
                          </w:rPr>
                        </w:pPr>
                        <w:r>
                          <w:rPr>
                            <w:sz w:val="14"/>
                          </w:rPr>
                          <w:t>Q1</w:t>
                        </w:r>
                      </w:p>
                    </w:tc>
                    <w:tc>
                      <w:tcPr>
                        <w:tcW w:w="1047" w:type="dxa"/>
                      </w:tcPr>
                      <w:p>
                        <w:pPr>
                          <w:pStyle w:val="TableParagraph"/>
                          <w:spacing w:line="133" w:lineRule="exact" w:before="56"/>
                          <w:ind w:left="85" w:right="116"/>
                          <w:jc w:val="center"/>
                          <w:rPr>
                            <w:sz w:val="14"/>
                          </w:rPr>
                        </w:pPr>
                        <w:r>
                          <w:rPr>
                            <w:sz w:val="14"/>
                          </w:rPr>
                          <w:t>9.1</w:t>
                        </w:r>
                      </w:p>
                    </w:tc>
                    <w:tc>
                      <w:tcPr>
                        <w:tcW w:w="980" w:type="dxa"/>
                      </w:tcPr>
                      <w:p>
                        <w:pPr>
                          <w:pStyle w:val="TableParagraph"/>
                          <w:spacing w:line="133" w:lineRule="exact" w:before="56"/>
                          <w:ind w:left="322"/>
                          <w:rPr>
                            <w:sz w:val="14"/>
                          </w:rPr>
                        </w:pPr>
                        <w:r>
                          <w:rPr>
                            <w:sz w:val="14"/>
                          </w:rPr>
                          <w:t>9.0</w:t>
                        </w:r>
                      </w:p>
                    </w:tc>
                    <w:tc>
                      <w:tcPr>
                        <w:tcW w:w="753" w:type="dxa"/>
                      </w:tcPr>
                      <w:p>
                        <w:pPr>
                          <w:pStyle w:val="TableParagraph"/>
                          <w:spacing w:line="133" w:lineRule="exact" w:before="56"/>
                          <w:ind w:left="39" w:right="33"/>
                          <w:jc w:val="center"/>
                          <w:rPr>
                            <w:sz w:val="14"/>
                          </w:rPr>
                        </w:pPr>
                        <w:r>
                          <w:rPr>
                            <w:sz w:val="14"/>
                          </w:rPr>
                          <w:t>8.4</w:t>
                        </w:r>
                      </w:p>
                    </w:tc>
                  </w:tr>
                  <w:tr>
                    <w:trPr>
                      <w:trHeight w:val="140" w:hRule="atLeast"/>
                    </w:trPr>
                    <w:tc>
                      <w:tcPr>
                        <w:tcW w:w="855" w:type="dxa"/>
                      </w:tcPr>
                      <w:p>
                        <w:pPr>
                          <w:pStyle w:val="TableParagraph"/>
                          <w:spacing w:line="240" w:lineRule="auto"/>
                          <w:rPr>
                            <w:sz w:val="8"/>
                          </w:rPr>
                        </w:pPr>
                      </w:p>
                    </w:tc>
                    <w:tc>
                      <w:tcPr>
                        <w:tcW w:w="656" w:type="dxa"/>
                      </w:tcPr>
                      <w:p>
                        <w:pPr>
                          <w:pStyle w:val="TableParagraph"/>
                          <w:ind w:left="28" w:right="200"/>
                          <w:jc w:val="center"/>
                          <w:rPr>
                            <w:sz w:val="14"/>
                          </w:rPr>
                        </w:pPr>
                        <w:r>
                          <w:rPr>
                            <w:sz w:val="14"/>
                          </w:rPr>
                          <w:t>Q2</w:t>
                        </w:r>
                      </w:p>
                    </w:tc>
                    <w:tc>
                      <w:tcPr>
                        <w:tcW w:w="1047" w:type="dxa"/>
                      </w:tcPr>
                      <w:p>
                        <w:pPr>
                          <w:pStyle w:val="TableParagraph"/>
                          <w:ind w:left="85" w:right="116"/>
                          <w:jc w:val="center"/>
                          <w:rPr>
                            <w:sz w:val="14"/>
                          </w:rPr>
                        </w:pPr>
                        <w:r>
                          <w:rPr>
                            <w:sz w:val="14"/>
                          </w:rPr>
                          <w:t>6.9</w:t>
                        </w:r>
                      </w:p>
                    </w:tc>
                    <w:tc>
                      <w:tcPr>
                        <w:tcW w:w="980" w:type="dxa"/>
                      </w:tcPr>
                      <w:p>
                        <w:pPr>
                          <w:pStyle w:val="TableParagraph"/>
                          <w:ind w:left="322"/>
                          <w:rPr>
                            <w:sz w:val="14"/>
                          </w:rPr>
                        </w:pPr>
                        <w:r>
                          <w:rPr>
                            <w:sz w:val="14"/>
                          </w:rPr>
                          <w:t>8.0</w:t>
                        </w:r>
                      </w:p>
                    </w:tc>
                    <w:tc>
                      <w:tcPr>
                        <w:tcW w:w="753" w:type="dxa"/>
                      </w:tcPr>
                      <w:p>
                        <w:pPr>
                          <w:pStyle w:val="TableParagraph"/>
                          <w:ind w:left="39" w:right="33"/>
                          <w:jc w:val="center"/>
                          <w:rPr>
                            <w:sz w:val="14"/>
                          </w:rPr>
                        </w:pPr>
                        <w:r>
                          <w:rPr>
                            <w:sz w:val="14"/>
                          </w:rPr>
                          <w:t>7.6</w:t>
                        </w:r>
                      </w:p>
                    </w:tc>
                  </w:tr>
                  <w:tr>
                    <w:trPr>
                      <w:trHeight w:val="140" w:hRule="atLeast"/>
                    </w:trPr>
                    <w:tc>
                      <w:tcPr>
                        <w:tcW w:w="855" w:type="dxa"/>
                      </w:tcPr>
                      <w:p>
                        <w:pPr>
                          <w:pStyle w:val="TableParagraph"/>
                          <w:spacing w:line="240" w:lineRule="auto"/>
                          <w:rPr>
                            <w:sz w:val="8"/>
                          </w:rPr>
                        </w:pPr>
                      </w:p>
                    </w:tc>
                    <w:tc>
                      <w:tcPr>
                        <w:tcW w:w="656" w:type="dxa"/>
                      </w:tcPr>
                      <w:p>
                        <w:pPr>
                          <w:pStyle w:val="TableParagraph"/>
                          <w:ind w:left="28" w:right="200"/>
                          <w:jc w:val="center"/>
                          <w:rPr>
                            <w:sz w:val="14"/>
                          </w:rPr>
                        </w:pPr>
                        <w:r>
                          <w:rPr>
                            <w:sz w:val="14"/>
                          </w:rPr>
                          <w:t>Q3</w:t>
                        </w:r>
                      </w:p>
                    </w:tc>
                    <w:tc>
                      <w:tcPr>
                        <w:tcW w:w="1047" w:type="dxa"/>
                      </w:tcPr>
                      <w:p>
                        <w:pPr>
                          <w:pStyle w:val="TableParagraph"/>
                          <w:ind w:left="85" w:right="116"/>
                          <w:jc w:val="center"/>
                          <w:rPr>
                            <w:sz w:val="14"/>
                          </w:rPr>
                        </w:pPr>
                        <w:r>
                          <w:rPr>
                            <w:sz w:val="14"/>
                          </w:rPr>
                          <w:t>9.4</w:t>
                        </w:r>
                      </w:p>
                    </w:tc>
                    <w:tc>
                      <w:tcPr>
                        <w:tcW w:w="980" w:type="dxa"/>
                      </w:tcPr>
                      <w:p>
                        <w:pPr>
                          <w:pStyle w:val="TableParagraph"/>
                          <w:ind w:left="322"/>
                          <w:rPr>
                            <w:sz w:val="14"/>
                          </w:rPr>
                        </w:pPr>
                        <w:r>
                          <w:rPr>
                            <w:sz w:val="14"/>
                          </w:rPr>
                          <w:t>8.1</w:t>
                        </w:r>
                      </w:p>
                    </w:tc>
                    <w:tc>
                      <w:tcPr>
                        <w:tcW w:w="753" w:type="dxa"/>
                      </w:tcPr>
                      <w:p>
                        <w:pPr>
                          <w:pStyle w:val="TableParagraph"/>
                          <w:ind w:left="39" w:right="33"/>
                          <w:jc w:val="center"/>
                          <w:rPr>
                            <w:sz w:val="14"/>
                          </w:rPr>
                        </w:pPr>
                        <w:r>
                          <w:rPr>
                            <w:sz w:val="14"/>
                          </w:rPr>
                          <w:t>8.6</w:t>
                        </w:r>
                      </w:p>
                    </w:tc>
                  </w:tr>
                  <w:tr>
                    <w:trPr>
                      <w:trHeight w:val="147" w:hRule="atLeast"/>
                    </w:trPr>
                    <w:tc>
                      <w:tcPr>
                        <w:tcW w:w="855" w:type="dxa"/>
                      </w:tcPr>
                      <w:p>
                        <w:pPr>
                          <w:pStyle w:val="TableParagraph"/>
                          <w:spacing w:line="240" w:lineRule="auto"/>
                          <w:rPr>
                            <w:sz w:val="8"/>
                          </w:rPr>
                        </w:pPr>
                      </w:p>
                    </w:tc>
                    <w:tc>
                      <w:tcPr>
                        <w:tcW w:w="656" w:type="dxa"/>
                      </w:tcPr>
                      <w:p>
                        <w:pPr>
                          <w:pStyle w:val="TableParagraph"/>
                          <w:spacing w:line="128" w:lineRule="exact"/>
                          <w:ind w:left="28" w:right="200"/>
                          <w:jc w:val="center"/>
                          <w:rPr>
                            <w:sz w:val="14"/>
                          </w:rPr>
                        </w:pPr>
                        <w:r>
                          <w:rPr>
                            <w:sz w:val="14"/>
                          </w:rPr>
                          <w:t>Q4</w:t>
                        </w:r>
                      </w:p>
                    </w:tc>
                    <w:tc>
                      <w:tcPr>
                        <w:tcW w:w="1047" w:type="dxa"/>
                      </w:tcPr>
                      <w:p>
                        <w:pPr>
                          <w:pStyle w:val="TableParagraph"/>
                          <w:spacing w:line="128" w:lineRule="exact"/>
                          <w:ind w:left="85" w:right="116"/>
                          <w:jc w:val="center"/>
                          <w:rPr>
                            <w:sz w:val="14"/>
                          </w:rPr>
                        </w:pPr>
                        <w:r>
                          <w:rPr>
                            <w:sz w:val="14"/>
                          </w:rPr>
                          <w:t>4.9</w:t>
                        </w:r>
                      </w:p>
                    </w:tc>
                    <w:tc>
                      <w:tcPr>
                        <w:tcW w:w="980" w:type="dxa"/>
                      </w:tcPr>
                      <w:p>
                        <w:pPr>
                          <w:pStyle w:val="TableParagraph"/>
                          <w:spacing w:line="128" w:lineRule="exact"/>
                          <w:ind w:left="322"/>
                          <w:rPr>
                            <w:sz w:val="14"/>
                          </w:rPr>
                        </w:pPr>
                        <w:r>
                          <w:rPr>
                            <w:sz w:val="14"/>
                          </w:rPr>
                          <w:t>7.1</w:t>
                        </w:r>
                      </w:p>
                    </w:tc>
                    <w:tc>
                      <w:tcPr>
                        <w:tcW w:w="753" w:type="dxa"/>
                      </w:tcPr>
                      <w:p>
                        <w:pPr>
                          <w:pStyle w:val="TableParagraph"/>
                          <w:spacing w:line="128" w:lineRule="exact"/>
                          <w:ind w:left="39" w:right="33"/>
                          <w:jc w:val="center"/>
                          <w:rPr>
                            <w:sz w:val="14"/>
                          </w:rPr>
                        </w:pPr>
                        <w:r>
                          <w:rPr>
                            <w:sz w:val="14"/>
                          </w:rPr>
                          <w:t>7.6</w:t>
                        </w:r>
                      </w:p>
                    </w:tc>
                  </w:tr>
                </w:tbl>
                <w:p>
                  <w:pPr>
                    <w:pStyle w:val="BodyText"/>
                  </w:pPr>
                </w:p>
              </w:txbxContent>
            </v:textbox>
            <w10:wrap type="none"/>
          </v:shape>
        </w:pict>
      </w:r>
      <w:r>
        <w:rPr>
          <w:sz w:val="14"/>
        </w:rPr>
        <w:t>Per cent</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1"/>
        <w:rPr>
          <w:sz w:val="12"/>
        </w:rPr>
      </w:pPr>
    </w:p>
    <w:p>
      <w:pPr>
        <w:spacing w:before="0"/>
        <w:ind w:left="170" w:right="0" w:firstLine="0"/>
        <w:jc w:val="left"/>
        <w:rPr>
          <w:sz w:val="12"/>
        </w:rPr>
      </w:pPr>
      <w:r>
        <w:rPr>
          <w:sz w:val="12"/>
        </w:rPr>
        <w:t>Source: Bank of England.</w:t>
      </w:r>
    </w:p>
    <w:p>
      <w:pPr>
        <w:pStyle w:val="ListParagraph"/>
        <w:numPr>
          <w:ilvl w:val="0"/>
          <w:numId w:val="2"/>
        </w:numPr>
        <w:tabs>
          <w:tab w:pos="410" w:val="left" w:leader="none"/>
        </w:tabs>
        <w:spacing w:line="129" w:lineRule="exact" w:before="102" w:after="0"/>
        <w:ind w:left="409" w:right="0" w:hanging="240"/>
        <w:jc w:val="left"/>
        <w:rPr>
          <w:sz w:val="12"/>
        </w:rPr>
      </w:pPr>
      <w:r>
        <w:rPr>
          <w:sz w:val="12"/>
        </w:rPr>
        <w:t>Seasonally adjusted.</w:t>
      </w:r>
    </w:p>
    <w:p>
      <w:pPr>
        <w:pStyle w:val="ListParagraph"/>
        <w:numPr>
          <w:ilvl w:val="0"/>
          <w:numId w:val="2"/>
        </w:numPr>
        <w:tabs>
          <w:tab w:pos="411" w:val="left" w:leader="none"/>
        </w:tabs>
        <w:spacing w:line="129" w:lineRule="exact" w:before="0" w:after="0"/>
        <w:ind w:left="410" w:right="0" w:hanging="241"/>
        <w:jc w:val="left"/>
        <w:rPr>
          <w:sz w:val="12"/>
        </w:rPr>
      </w:pPr>
      <w:r>
        <w:rPr>
          <w:sz w:val="12"/>
        </w:rPr>
        <w:t>Annualised.</w:t>
      </w:r>
    </w:p>
    <w:p>
      <w:pPr>
        <w:pStyle w:val="BodyText"/>
        <w:rPr>
          <w:sz w:val="12"/>
        </w:rPr>
      </w:pPr>
    </w:p>
    <w:p>
      <w:pPr>
        <w:pStyle w:val="BodyText"/>
        <w:spacing w:before="5"/>
        <w:rPr>
          <w:sz w:val="9"/>
        </w:rPr>
      </w:pPr>
    </w:p>
    <w:p>
      <w:pPr>
        <w:pStyle w:val="Heading7"/>
        <w:spacing w:before="0"/>
        <w:ind w:left="170"/>
      </w:pPr>
      <w:r>
        <w:rPr>
          <w:color w:val="0093C1"/>
        </w:rPr>
        <w:t>Chart 1.1</w:t>
      </w:r>
    </w:p>
    <w:p>
      <w:pPr>
        <w:spacing w:before="10"/>
        <w:ind w:left="170" w:right="0" w:firstLine="0"/>
        <w:jc w:val="left"/>
        <w:rPr>
          <w:b/>
          <w:sz w:val="20"/>
        </w:rPr>
      </w:pPr>
      <w:r>
        <w:rPr>
          <w:b/>
          <w:color w:val="0093C1"/>
          <w:sz w:val="20"/>
        </w:rPr>
        <w:t>Real M4 and GDP growth</w:t>
      </w:r>
    </w:p>
    <w:p>
      <w:pPr>
        <w:spacing w:before="119"/>
        <w:ind w:left="1823" w:right="0" w:firstLine="0"/>
        <w:jc w:val="left"/>
        <w:rPr>
          <w:sz w:val="12"/>
        </w:rPr>
      </w:pPr>
      <w:r>
        <w:rPr>
          <w:sz w:val="12"/>
        </w:rPr>
        <w:t>Percentage changes on a year earl</w:t>
      </w:r>
      <w:r>
        <w:rPr>
          <w:sz w:val="12"/>
          <w:u w:val="single"/>
        </w:rPr>
        <w:t>ier</w:t>
      </w:r>
    </w:p>
    <w:p>
      <w:pPr>
        <w:pStyle w:val="BodyText"/>
        <w:spacing w:line="20" w:lineRule="exact"/>
        <w:ind w:left="255"/>
        <w:rPr>
          <w:sz w:val="2"/>
        </w:rPr>
      </w:pPr>
      <w:r>
        <w:rPr>
          <w:sz w:val="2"/>
        </w:rPr>
        <w:pict>
          <v:group style="width:5pt;height:.5pt;mso-position-horizontal-relative:char;mso-position-vertical-relative:line" coordorigin="0,0" coordsize="100,10">
            <v:line style="position:absolute" from="100,5" to="0,5" stroked="true" strokeweight=".5pt" strokecolor="#000000">
              <v:stroke dashstyle="solid"/>
            </v:line>
          </v:group>
        </w:pict>
      </w:r>
      <w:r>
        <w:rPr>
          <w:sz w:val="2"/>
        </w:rPr>
      </w:r>
    </w:p>
    <w:p>
      <w:pPr>
        <w:pStyle w:val="BodyText"/>
        <w:rPr>
          <w:sz w:val="12"/>
        </w:rPr>
      </w:pPr>
      <w:r>
        <w:rPr/>
        <w:br w:type="column"/>
      </w:r>
      <w:r>
        <w:rPr>
          <w:sz w:val="12"/>
        </w:rPr>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1"/>
        <w:rPr>
          <w:sz w:val="16"/>
        </w:rPr>
      </w:pPr>
    </w:p>
    <w:p>
      <w:pPr>
        <w:spacing w:before="1"/>
        <w:ind w:left="1" w:right="0" w:firstLine="0"/>
        <w:jc w:val="left"/>
        <w:rPr>
          <w:sz w:val="12"/>
        </w:rPr>
      </w:pPr>
      <w:r>
        <w:rPr>
          <w:sz w:val="12"/>
        </w:rPr>
        <w:t>15.0</w:t>
      </w:r>
    </w:p>
    <w:p>
      <w:pPr>
        <w:pStyle w:val="BodyText"/>
        <w:spacing w:before="6"/>
        <w:rPr>
          <w:sz w:val="17"/>
        </w:rPr>
      </w:pPr>
    </w:p>
    <w:p>
      <w:pPr>
        <w:spacing w:before="0"/>
        <w:ind w:left="1" w:right="0" w:firstLine="0"/>
        <w:jc w:val="left"/>
        <w:rPr>
          <w:sz w:val="12"/>
        </w:rPr>
      </w:pPr>
      <w:r>
        <w:rPr>
          <w:sz w:val="12"/>
        </w:rPr>
        <w:t>12.5</w:t>
      </w:r>
    </w:p>
    <w:p>
      <w:pPr>
        <w:pStyle w:val="BodyText"/>
        <w:spacing w:before="10"/>
        <w:rPr>
          <w:sz w:val="15"/>
        </w:rPr>
      </w:pPr>
    </w:p>
    <w:p>
      <w:pPr>
        <w:spacing w:before="0"/>
        <w:ind w:left="1" w:right="0" w:firstLine="0"/>
        <w:jc w:val="left"/>
        <w:rPr>
          <w:sz w:val="12"/>
        </w:rPr>
      </w:pPr>
      <w:r>
        <w:rPr>
          <w:sz w:val="12"/>
        </w:rPr>
        <w:t>10.0</w:t>
      </w:r>
    </w:p>
    <w:p>
      <w:pPr>
        <w:pStyle w:val="BodyText"/>
        <w:spacing w:before="6"/>
        <w:rPr>
          <w:sz w:val="17"/>
        </w:rPr>
      </w:pPr>
    </w:p>
    <w:p>
      <w:pPr>
        <w:spacing w:before="0"/>
        <w:ind w:left="61" w:right="0" w:firstLine="0"/>
        <w:jc w:val="left"/>
        <w:rPr>
          <w:sz w:val="12"/>
        </w:rPr>
      </w:pPr>
      <w:r>
        <w:rPr>
          <w:sz w:val="12"/>
        </w:rPr>
        <w:t>7.5</w:t>
      </w:r>
    </w:p>
    <w:p>
      <w:pPr>
        <w:pStyle w:val="BodyText"/>
        <w:spacing w:before="7"/>
        <w:rPr>
          <w:sz w:val="17"/>
        </w:rPr>
      </w:pPr>
    </w:p>
    <w:p>
      <w:pPr>
        <w:spacing w:before="0"/>
        <w:ind w:left="61" w:right="0" w:firstLine="0"/>
        <w:jc w:val="left"/>
        <w:rPr>
          <w:sz w:val="12"/>
        </w:rPr>
      </w:pPr>
      <w:r>
        <w:rPr>
          <w:sz w:val="12"/>
        </w:rPr>
        <w:t>5.0</w:t>
      </w:r>
    </w:p>
    <w:p>
      <w:pPr>
        <w:pStyle w:val="BodyText"/>
        <w:spacing w:before="6"/>
        <w:rPr>
          <w:sz w:val="17"/>
        </w:rPr>
      </w:pPr>
    </w:p>
    <w:p>
      <w:pPr>
        <w:spacing w:line="91" w:lineRule="exact" w:before="0"/>
        <w:ind w:left="61" w:right="0" w:firstLine="0"/>
        <w:jc w:val="left"/>
        <w:rPr>
          <w:sz w:val="12"/>
        </w:rPr>
      </w:pPr>
      <w:r>
        <w:rPr>
          <w:sz w:val="12"/>
        </w:rPr>
        <w:t>2.5</w:t>
      </w:r>
    </w:p>
    <w:p>
      <w:pPr>
        <w:pStyle w:val="Heading4"/>
        <w:spacing w:line="242" w:lineRule="auto" w:before="90"/>
      </w:pPr>
      <w:r>
        <w:rPr/>
        <w:br w:type="column"/>
      </w:r>
      <w:r>
        <w:rPr/>
        <w:t>The MPC has voted to cut the Bank’s repo rate on three occasions since the November </w:t>
      </w:r>
      <w:r>
        <w:rPr>
          <w:i/>
          <w:color w:val="231F20"/>
        </w:rPr>
        <w:t>Report</w:t>
      </w:r>
      <w:r>
        <w:rPr>
          <w:color w:val="231F20"/>
        </w:rPr>
        <w:t>, by a total of</w:t>
      </w:r>
    </w:p>
    <w:p>
      <w:pPr>
        <w:spacing w:before="2"/>
        <w:ind w:left="170" w:right="0" w:firstLine="0"/>
        <w:jc w:val="left"/>
        <w:rPr>
          <w:sz w:val="24"/>
        </w:rPr>
      </w:pPr>
      <w:r>
        <w:rPr>
          <w:color w:val="231F20"/>
          <w:sz w:val="24"/>
        </w:rPr>
        <w:t>1.25 percentage points, to 5.5%.</w:t>
      </w:r>
    </w:p>
    <w:p>
      <w:pPr>
        <w:pStyle w:val="BodyText"/>
        <w:spacing w:before="10"/>
        <w:rPr>
          <w:sz w:val="31"/>
        </w:rPr>
      </w:pPr>
    </w:p>
    <w:p>
      <w:pPr>
        <w:tabs>
          <w:tab w:pos="4625" w:val="left" w:leader="none"/>
          <w:tab w:pos="5664" w:val="left" w:leader="none"/>
        </w:tabs>
        <w:spacing w:before="0"/>
        <w:ind w:left="170" w:right="0" w:firstLine="0"/>
        <w:jc w:val="left"/>
        <w:rPr>
          <w:b/>
          <w:sz w:val="28"/>
        </w:rPr>
      </w:pPr>
      <w:r>
        <w:rPr>
          <w:b/>
          <w:color w:val="009483"/>
          <w:sz w:val="28"/>
          <w:u w:val="thick" w:color="0093C1"/>
        </w:rPr>
        <w:t>1.1</w:t>
        <w:tab/>
        <w:t>Money</w:t>
        <w:tab/>
      </w:r>
    </w:p>
    <w:p>
      <w:pPr>
        <w:spacing w:before="264"/>
        <w:ind w:left="170" w:right="0" w:firstLine="0"/>
        <w:jc w:val="left"/>
        <w:rPr>
          <w:sz w:val="24"/>
        </w:rPr>
      </w:pPr>
      <w:r>
        <w:rPr>
          <w:sz w:val="24"/>
        </w:rPr>
        <w:t>Notes and coin in circulation rose by 0.6% in</w:t>
      </w:r>
    </w:p>
    <w:p>
      <w:pPr>
        <w:spacing w:line="242" w:lineRule="auto" w:before="4"/>
        <w:ind w:left="170" w:right="208" w:firstLine="0"/>
        <w:jc w:val="left"/>
        <w:rPr>
          <w:sz w:val="24"/>
        </w:rPr>
      </w:pPr>
      <w:r>
        <w:rPr>
          <w:sz w:val="24"/>
        </w:rPr>
        <w:t>January 1999. The three-month annualised growth rate in notes and coin rose to 6.2% in January, compared </w:t>
      </w:r>
      <w:r>
        <w:rPr>
          <w:spacing w:val="-5"/>
          <w:sz w:val="24"/>
        </w:rPr>
        <w:t>with </w:t>
      </w:r>
      <w:r>
        <w:rPr>
          <w:sz w:val="24"/>
        </w:rPr>
        <w:t>an average rate of growth of 5.3% in 1998. Growth in notes and coin has in the past been correlated with nominal retail sales, but the rise in notes and coin since October could also </w:t>
      </w:r>
      <w:r>
        <w:rPr>
          <w:spacing w:val="-3"/>
          <w:sz w:val="24"/>
        </w:rPr>
        <w:t>have </w:t>
      </w:r>
      <w:r>
        <w:rPr>
          <w:sz w:val="24"/>
        </w:rPr>
        <w:t>reflected the falling opportunity cost of holding non interest bearing money as interest rates were</w:t>
      </w:r>
      <w:r>
        <w:rPr>
          <w:spacing w:val="-1"/>
          <w:sz w:val="24"/>
        </w:rPr>
        <w:t> </w:t>
      </w:r>
      <w:r>
        <w:rPr>
          <w:sz w:val="24"/>
        </w:rPr>
        <w:t>lowered.</w:t>
      </w:r>
    </w:p>
    <w:p>
      <w:pPr>
        <w:pStyle w:val="BodyText"/>
        <w:spacing w:before="3"/>
        <w:rPr>
          <w:sz w:val="25"/>
        </w:rPr>
      </w:pPr>
    </w:p>
    <w:p>
      <w:pPr>
        <w:spacing w:line="242" w:lineRule="auto" w:before="0"/>
        <w:ind w:left="170" w:right="290" w:firstLine="0"/>
        <w:jc w:val="left"/>
        <w:rPr>
          <w:sz w:val="24"/>
        </w:rPr>
      </w:pPr>
      <w:r>
        <w:rPr>
          <w:sz w:val="24"/>
        </w:rPr>
        <w:t>Annual growth in broad money slowed to 8.1% in the final quarter of 1998, its lowest rate of growth since 1995 Q2 and down from 11.9% in 1997 Q4 (see</w:t>
      </w:r>
    </w:p>
    <w:p>
      <w:pPr>
        <w:spacing w:line="242" w:lineRule="auto" w:before="4"/>
        <w:ind w:left="170" w:right="208" w:firstLine="0"/>
        <w:jc w:val="left"/>
        <w:rPr>
          <w:sz w:val="24"/>
        </w:rPr>
      </w:pPr>
      <w:r>
        <w:rPr>
          <w:sz w:val="24"/>
        </w:rPr>
        <w:t>Table 1.A). Annualised short-term rates of growth were below the twelve-month rate, indicating that annual growth is likely to slow further. Adjusting for inflation, real broad money growth in the year to 1998 Q4 was</w:t>
      </w:r>
    </w:p>
    <w:p>
      <w:pPr>
        <w:spacing w:after="0" w:line="242" w:lineRule="auto"/>
        <w:jc w:val="left"/>
        <w:rPr>
          <w:sz w:val="24"/>
        </w:rPr>
        <w:sectPr>
          <w:type w:val="continuous"/>
          <w:pgSz w:w="11900" w:h="16840"/>
          <w:pgMar w:top="1220" w:bottom="280" w:left="640" w:right="600"/>
          <w:cols w:num="3" w:equalWidth="0">
            <w:col w:w="3573" w:space="40"/>
            <w:col w:w="252" w:space="925"/>
            <w:col w:w="5870"/>
          </w:cols>
        </w:sect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tabs>
          <w:tab w:pos="1449" w:val="left" w:leader="none"/>
          <w:tab w:pos="2169" w:val="left" w:leader="none"/>
          <w:tab w:pos="2889" w:val="left" w:leader="none"/>
        </w:tabs>
        <w:spacing w:before="91"/>
        <w:ind w:left="610" w:right="0" w:firstLine="0"/>
        <w:jc w:val="left"/>
        <w:rPr>
          <w:sz w:val="12"/>
        </w:rPr>
      </w:pPr>
      <w:r>
        <w:rPr>
          <w:sz w:val="12"/>
        </w:rPr>
        <w:t>1980</w:t>
        <w:tab/>
        <w:t>85</w:t>
        <w:tab/>
        <w:t>90</w:t>
        <w:tab/>
        <w:t>95</w:t>
      </w:r>
    </w:p>
    <w:p>
      <w:pPr>
        <w:pStyle w:val="BodyText"/>
        <w:spacing w:before="2"/>
        <w:rPr>
          <w:sz w:val="11"/>
        </w:rPr>
      </w:pPr>
    </w:p>
    <w:p>
      <w:pPr>
        <w:spacing w:before="0"/>
        <w:ind w:left="170" w:right="0" w:firstLine="0"/>
        <w:jc w:val="left"/>
        <w:rPr>
          <w:sz w:val="12"/>
        </w:rPr>
      </w:pPr>
      <w:r>
        <w:rPr>
          <w:sz w:val="12"/>
        </w:rPr>
        <w:t>Sources: Bank of England and ONS.</w:t>
      </w:r>
    </w:p>
    <w:p>
      <w:pPr>
        <w:pStyle w:val="ListParagraph"/>
        <w:numPr>
          <w:ilvl w:val="0"/>
          <w:numId w:val="3"/>
        </w:numPr>
        <w:tabs>
          <w:tab w:pos="410" w:val="left" w:leader="none"/>
        </w:tabs>
        <w:spacing w:line="129" w:lineRule="exact" w:before="102" w:after="0"/>
        <w:ind w:left="409" w:right="0" w:hanging="240"/>
        <w:jc w:val="left"/>
        <w:rPr>
          <w:sz w:val="12"/>
        </w:rPr>
      </w:pPr>
      <w:r>
        <w:rPr>
          <w:sz w:val="12"/>
        </w:rPr>
        <w:t>Deflated by RPIX.</w:t>
      </w:r>
    </w:p>
    <w:p>
      <w:pPr>
        <w:pStyle w:val="ListParagraph"/>
        <w:numPr>
          <w:ilvl w:val="0"/>
          <w:numId w:val="3"/>
        </w:numPr>
        <w:tabs>
          <w:tab w:pos="411" w:val="left" w:leader="none"/>
        </w:tabs>
        <w:spacing w:line="129" w:lineRule="exact" w:before="0" w:after="0"/>
        <w:ind w:left="410" w:right="0" w:hanging="241"/>
        <w:jc w:val="left"/>
        <w:rPr>
          <w:sz w:val="12"/>
        </w:rPr>
      </w:pPr>
      <w:r>
        <w:rPr>
          <w:sz w:val="12"/>
        </w:rPr>
        <w:t>Gross domestic product at market prices.</w:t>
      </w:r>
    </w:p>
    <w:p>
      <w:pPr>
        <w:spacing w:line="182" w:lineRule="exact" w:before="48"/>
        <w:ind w:left="170" w:right="0" w:firstLine="0"/>
        <w:jc w:val="left"/>
        <w:rPr>
          <w:sz w:val="16"/>
        </w:rPr>
      </w:pPr>
      <w:r>
        <w:rPr/>
        <w:br w:type="column"/>
      </w:r>
      <w:r>
        <w:rPr>
          <w:sz w:val="16"/>
        </w:rPr>
        <w:t>+</w:t>
      </w:r>
    </w:p>
    <w:p>
      <w:pPr>
        <w:spacing w:line="175" w:lineRule="auto" w:before="17"/>
        <w:ind w:left="180" w:right="0" w:firstLine="0"/>
        <w:jc w:val="left"/>
        <w:rPr>
          <w:sz w:val="12"/>
        </w:rPr>
      </w:pPr>
      <w:r>
        <w:rPr/>
        <w:pict>
          <v:group style="position:absolute;margin-left:45pt;margin-top:-85.617317pt;width:166pt;height:127pt;mso-position-horizontal-relative:page;mso-position-vertical-relative:paragraph;z-index:15745024" coordorigin="900,-1712" coordsize="3320,2540">
            <v:shape style="position:absolute;left:900;top:-1583;width:3320;height:2320" coordorigin="900,-1582" coordsize="3320,2320" path="m1040,78l4060,78m1000,78l900,78m4220,78l4120,78m1000,418l900,418m1000,738l900,738m1000,-262l900,-262m1000,-582l900,-582m1000,-922l900,-922m1000,-1262l900,-1262m1000,-1582l900,-1582m4220,418l4120,418m4220,738l4120,738m4220,-262l4120,-262m4220,-582l4120,-582m4220,-922l4120,-922m4220,-1262l4120,-1262m4220,-1582l4120,-1582e" filled="false" stroked="true" strokeweight=".5pt" strokecolor="#000000">
              <v:path arrowok="t"/>
              <v:stroke dashstyle="solid"/>
            </v:shape>
            <v:shape style="position:absolute;left:1060;top:-1703;width:3000;height:2520" coordorigin="1060,-1702" coordsize="3000,2520" path="m1060,-1022l1080,-1102,1120,-1022,1160,-862,1200,-442,1240,-482,1260,238,1300,438,1340,598,1380,818,1420,-22,1440,-362,1480,-542,1520,-582,1560,-582,1600,-242,1660,-362,1700,-502,1740,-702,1780,-982,1800,-1182,1840,-982,1880,-1022,1920,-862,1960,-942,2000,-1142,2020,-1182,2060,-1122,2100,-922,2140,-942,2180,-982,2220,-1242,2240,-1562,2280,-1502,2320,-1522,2360,-1362,2400,-1382,2420,-1502,2460,-1622,2500,-1702,2540,-1582,2580,-1702,2600,-1522,2640,-1482,2680,-1522,2720,-1402,2760,-1522,2780,-1442,2820,-1102,2900,-262,2940,-62,2980,-42,3000,38,3040,38,3080,98,3120,98,3160,-2,3180,78,3220,78,3260,58,3300,58,3360,-302,3400,-322,3440,-302,3480,-242,3520,-282,3560,-482,3580,-662,3620,-862,3660,-822,3700,-862,3740,-862,3760,-782,3800,-1022,3840,-1142,3880,-1102,3920,-1142,3960,-922,3980,-782,4020,-802,4060,-662e" filled="false" stroked="true" strokeweight="1pt" strokecolor="#ed1b2d">
              <v:path arrowok="t"/>
              <v:stroke dashstyle="solid"/>
            </v:shape>
            <v:shape style="position:absolute;left:1060;top:-723;width:3000;height:1360" coordorigin="1060,-722" coordsize="3000,1360" path="m1060,-282l1080,-442,1120,-442,1160,-342,1200,-182,1240,-622,1260,-162,1300,-182,1340,-162,1380,638,1420,398,1440,638,1480,598,1520,318,1560,78,1600,-62,1640,-142,1660,-242,1700,-82,1740,-162,1780,-422,1800,-322,1840,-402,1880,-522,1920,-362,1960,-302,2000,-182,2020,-162,2060,-262,2100,-502,2140,-502,2180,-442,2220,-422,2240,-382,2280,-522,2320,-622,2360,-442,2400,-442,2420,-582,2460,-582,2500,-722,2600,-522,2640,-342,2680,-302,2720,-142,2760,-42,2780,-122,2820,-122,2860,58,2940,258,2980,418,3000,258,3040,158,3080,178,3160,18,3180,-2,3260,-202,3300,-262,3340,-342,3360,-422,3400,-522,3440,-582,3480,-542,3560,-342,3580,-202,3620,-182,3660,-262,3760,-262,3800,-282,3840,-382,3920,-462,3960,-362,3980,-282,4020,-242,4060,-142e" filled="false" stroked="true" strokeweight="1pt" strokecolor="#008256">
              <v:path arrowok="t"/>
              <v:stroke dashstyle="solid"/>
            </v:shape>
            <v:shape style="position:absolute;left:2850;top:-1080;width:600;height:133" type="#_x0000_t202" filled="false" stroked="false">
              <v:textbox inset="0,0,0,0">
                <w:txbxContent>
                  <w:p>
                    <w:pPr>
                      <w:spacing w:line="133" w:lineRule="exact" w:before="0"/>
                      <w:ind w:left="0" w:right="0" w:firstLine="0"/>
                      <w:jc w:val="left"/>
                      <w:rPr>
                        <w:sz w:val="12"/>
                      </w:rPr>
                    </w:pPr>
                    <w:r>
                      <w:rPr>
                        <w:sz w:val="12"/>
                      </w:rPr>
                      <w:t>Real M4 (a)</w:t>
                    </w:r>
                  </w:p>
                </w:txbxContent>
              </v:textbox>
              <w10:wrap type="none"/>
            </v:shape>
            <v:shape style="position:absolute;left:1930;top:-186;width:680;height:133" type="#_x0000_t202" filled="false" stroked="false">
              <v:textbox inset="0,0,0,0">
                <w:txbxContent>
                  <w:p>
                    <w:pPr>
                      <w:spacing w:line="133" w:lineRule="exact" w:before="0"/>
                      <w:ind w:left="0" w:right="0" w:firstLine="0"/>
                      <w:jc w:val="left"/>
                      <w:rPr>
                        <w:sz w:val="12"/>
                      </w:rPr>
                    </w:pPr>
                    <w:r>
                      <w:rPr>
                        <w:sz w:val="12"/>
                      </w:rPr>
                      <w:t>Real GDP (b)</w:t>
                    </w:r>
                  </w:p>
                </w:txbxContent>
              </v:textbox>
              <w10:wrap type="none"/>
            </v:shape>
            <w10:wrap type="none"/>
          </v:group>
        </w:pict>
      </w:r>
      <w:r>
        <w:rPr>
          <w:position w:val="-7"/>
          <w:sz w:val="16"/>
        </w:rPr>
        <w:t>_</w:t>
      </w:r>
      <w:r>
        <w:rPr>
          <w:spacing w:val="-24"/>
          <w:position w:val="-7"/>
          <w:sz w:val="16"/>
        </w:rPr>
        <w:t> </w:t>
      </w:r>
      <w:r>
        <w:rPr>
          <w:sz w:val="12"/>
        </w:rPr>
        <w:t>0.0</w:t>
      </w:r>
    </w:p>
    <w:p>
      <w:pPr>
        <w:spacing w:before="143"/>
        <w:ind w:left="276" w:right="0" w:firstLine="0"/>
        <w:jc w:val="left"/>
        <w:rPr>
          <w:sz w:val="12"/>
        </w:rPr>
      </w:pPr>
      <w:r>
        <w:rPr>
          <w:sz w:val="12"/>
        </w:rPr>
        <w:t>2.5</w:t>
      </w:r>
    </w:p>
    <w:p>
      <w:pPr>
        <w:pStyle w:val="BodyText"/>
        <w:spacing w:before="6"/>
        <w:rPr>
          <w:sz w:val="17"/>
        </w:rPr>
      </w:pPr>
    </w:p>
    <w:p>
      <w:pPr>
        <w:spacing w:before="1"/>
        <w:ind w:left="276" w:right="0" w:firstLine="0"/>
        <w:jc w:val="left"/>
        <w:rPr>
          <w:sz w:val="12"/>
        </w:rPr>
      </w:pPr>
      <w:r>
        <w:rPr>
          <w:sz w:val="12"/>
        </w:rPr>
        <w:t>5.0</w:t>
      </w:r>
    </w:p>
    <w:p>
      <w:pPr>
        <w:pStyle w:val="BodyText"/>
        <w:spacing w:before="6"/>
        <w:rPr>
          <w:sz w:val="17"/>
        </w:rPr>
      </w:pPr>
    </w:p>
    <w:p>
      <w:pPr>
        <w:spacing w:before="0"/>
        <w:ind w:left="276" w:right="0" w:firstLine="0"/>
        <w:jc w:val="left"/>
        <w:rPr>
          <w:sz w:val="12"/>
        </w:rPr>
      </w:pPr>
      <w:r>
        <w:rPr/>
        <w:pict>
          <v:shape style="position:absolute;margin-left:45pt;margin-top:-3.232437pt;width:166pt;height:6.2pt;mso-position-horizontal-relative:page;mso-position-vertical-relative:paragraph;z-index:15743488" coordorigin="900,-65" coordsize="3320,124" path="m3520,59l3520,-65m2780,59l2780,-65m2060,59l2060,-65m1340,59l1340,-65m1000,59l900,59m4220,59l4120,59m1040,59l4060,59m1040,59l1040,-11m1200,59l1200,-11m1480,59l1480,-11m1620,59l1620,-11m1780,59l1780,-11m1920,59l1920,-11m2200,59l2200,-11m2360,59l2360,-11m2500,59l2500,-11m2640,59l2640,-11m2940,59l2940,-11m3080,59l3080,-11m3220,59l3220,-11m3360,59l3360,-11m3660,59l3660,-11m3800,59l3800,-11m3940,59l3940,-11e" filled="false" stroked="true" strokeweight=".5pt" strokecolor="#000000">
            <v:path arrowok="t"/>
            <v:stroke dashstyle="solid"/>
            <w10:wrap type="none"/>
          </v:shape>
        </w:pict>
      </w:r>
      <w:r>
        <w:rPr>
          <w:sz w:val="12"/>
        </w:rPr>
        <w:t>7.5</w:t>
      </w:r>
    </w:p>
    <w:p>
      <w:pPr>
        <w:pStyle w:val="Heading4"/>
        <w:spacing w:line="242" w:lineRule="auto"/>
        <w:ind w:right="290"/>
      </w:pPr>
      <w:r>
        <w:rPr/>
        <w:br w:type="column"/>
      </w:r>
      <w:r>
        <w:rPr/>
        <w:t>5.6%, down from its peak of 9.1% in 1997 Q2, but still above the average rate of growth since 1992 of 4.3%. The slowdown in real M4 growth is consistent with the weakening outlook for real activity, but historical comparisons suggest that there is often a lag between real M4 and GDP growth (see Chart 1.1).</w:t>
      </w:r>
    </w:p>
    <w:p>
      <w:pPr>
        <w:pStyle w:val="BodyText"/>
        <w:spacing w:before="2"/>
        <w:rPr>
          <w:sz w:val="24"/>
        </w:rPr>
      </w:pPr>
    </w:p>
    <w:p>
      <w:pPr>
        <w:spacing w:line="242" w:lineRule="auto" w:before="0"/>
        <w:ind w:left="170" w:right="221" w:firstLine="0"/>
        <w:jc w:val="left"/>
        <w:rPr>
          <w:sz w:val="24"/>
        </w:rPr>
      </w:pPr>
      <w:r>
        <w:rPr>
          <w:sz w:val="24"/>
        </w:rPr>
        <w:t>The medium-term implications of broad money growth for inflation depend on the relationship between nominal</w:t>
      </w:r>
    </w:p>
    <w:p>
      <w:pPr>
        <w:spacing w:after="0" w:line="242" w:lineRule="auto"/>
        <w:jc w:val="left"/>
        <w:rPr>
          <w:sz w:val="24"/>
        </w:rPr>
        <w:sectPr>
          <w:type w:val="continuous"/>
          <w:pgSz w:w="11900" w:h="16840"/>
          <w:pgMar w:top="1220" w:bottom="280" w:left="640" w:right="600"/>
          <w:cols w:num="3" w:equalWidth="0">
            <w:col w:w="3051" w:space="346"/>
            <w:col w:w="467" w:space="926"/>
            <w:col w:w="5870"/>
          </w:cols>
        </w:sectPr>
      </w:pPr>
    </w:p>
    <w:p>
      <w:pPr>
        <w:pStyle w:val="BodyText"/>
        <w:rPr>
          <w:sz w:val="20"/>
        </w:rPr>
      </w:pPr>
    </w:p>
    <w:p>
      <w:pPr>
        <w:spacing w:after="0"/>
        <w:rPr>
          <w:sz w:val="20"/>
        </w:rPr>
        <w:sectPr>
          <w:headerReference w:type="even" r:id="rId14"/>
          <w:headerReference w:type="default" r:id="rId15"/>
          <w:pgSz w:w="11900" w:h="16840"/>
          <w:pgMar w:header="586" w:footer="597" w:top="780" w:bottom="780" w:left="640" w:right="600"/>
        </w:sectPr>
      </w:pPr>
    </w:p>
    <w:p>
      <w:pPr>
        <w:pStyle w:val="BodyText"/>
        <w:spacing w:before="6"/>
        <w:rPr>
          <w:sz w:val="20"/>
        </w:rPr>
      </w:pPr>
    </w:p>
    <w:p>
      <w:pPr>
        <w:pStyle w:val="Heading7"/>
        <w:spacing w:before="0"/>
        <w:ind w:left="200"/>
      </w:pPr>
      <w:bookmarkStart w:name="Other financial corporations" w:id="8"/>
      <w:bookmarkEnd w:id="8"/>
      <w:r>
        <w:rPr>
          <w:b w:val="0"/>
        </w:rPr>
      </w:r>
      <w:bookmarkStart w:name="_bookmark2" w:id="9"/>
      <w:bookmarkEnd w:id="9"/>
      <w:r>
        <w:rPr>
          <w:b w:val="0"/>
        </w:rPr>
      </w:r>
      <w:r>
        <w:rPr>
          <w:color w:val="0093C1"/>
        </w:rPr>
        <w:t>Chart 1.2</w:t>
      </w:r>
    </w:p>
    <w:p>
      <w:pPr>
        <w:spacing w:before="10"/>
        <w:ind w:left="200" w:right="0" w:firstLine="0"/>
        <w:jc w:val="left"/>
        <w:rPr>
          <w:sz w:val="12"/>
        </w:rPr>
      </w:pPr>
      <w:r>
        <w:rPr>
          <w:b/>
          <w:color w:val="0093C1"/>
          <w:sz w:val="20"/>
        </w:rPr>
        <w:t>M4 and M0 income velocity</w:t>
      </w:r>
      <w:r>
        <w:rPr>
          <w:position w:val="4"/>
          <w:sz w:val="12"/>
        </w:rPr>
        <w:t>(a)</w:t>
      </w:r>
    </w:p>
    <w:p>
      <w:pPr>
        <w:tabs>
          <w:tab w:pos="3022" w:val="left" w:leader="none"/>
        </w:tabs>
        <w:spacing w:line="119" w:lineRule="exact" w:before="105"/>
        <w:ind w:left="214" w:right="0" w:firstLine="0"/>
        <w:jc w:val="center"/>
        <w:rPr>
          <w:sz w:val="12"/>
        </w:rPr>
      </w:pPr>
      <w:r>
        <w:rPr>
          <w:sz w:val="12"/>
        </w:rPr>
        <w:t>1990 = 100</w:t>
        <w:tab/>
        <w:t>1990 = 100</w:t>
      </w:r>
    </w:p>
    <w:p>
      <w:pPr>
        <w:tabs>
          <w:tab w:pos="3799" w:val="left" w:leader="none"/>
        </w:tabs>
        <w:spacing w:line="119" w:lineRule="exact" w:before="0"/>
        <w:ind w:left="220" w:right="0" w:firstLine="0"/>
        <w:jc w:val="center"/>
        <w:rPr>
          <w:sz w:val="12"/>
        </w:rPr>
      </w:pPr>
      <w:r>
        <w:rPr/>
        <w:pict>
          <v:group style="position:absolute;margin-left:55.25pt;margin-top:1.901855pt;width:167.25pt;height:151.5pt;mso-position-horizontal-relative:page;mso-position-vertical-relative:paragraph;z-index:-21271040" coordorigin="1105,38" coordsize="3345,3030">
            <v:shape style="position:absolute;left:1105;top:43;width:3185;height:3020" coordorigin="1105,43" coordsize="3185,3020" path="m1210,3063l1110,3063m1270,3063l4290,3063m1270,3063l1270,3003m1410,3063l1410,3003m1530,3063l1530,3003m1670,3063l1670,3003m1810,3063l1810,3003m1930,3063l1930,3003m2070,3063l2070,3003m2210,3063l2210,3003m2350,3063l2350,3003m2470,3063l2470,3003m2610,3063l2610,3003m2750,3063l2750,3003m2890,3063l2890,3003m3010,3063l3010,3003m3150,3063l3150,3003m3290,3063l3290,3003m3410,3063l3410,3003m3550,3063l3550,3003m3690,3063l3690,3003m3810,3063l3810,3003m3950,3063l3950,3003m4090,3063l4090,3003m4210,3063l4210,3003m1210,2723l1110,2723m1210,2383l1110,2383m1210,2063l1110,2063m1210,1723l1110,1723m1210,1383l1110,1383m1210,1043l1110,1043m1210,723l1110,723m1210,383l1110,383m1205,43l1105,43e" filled="false" stroked="true" strokeweight=".5pt" strokecolor="#000000">
              <v:path arrowok="t"/>
              <v:stroke dashstyle="solid"/>
            </v:shape>
            <v:shape style="position:absolute;left:1270;top:83;width:3020;height:2800" coordorigin="1270,83" coordsize="3020,2800" path="m1270,623l1310,663,1350,663,1370,443,1410,343,1450,343,1470,383,1550,463,1570,423,1610,423,1650,443,1670,463,1710,283,1750,183,1770,103,1810,83,1870,203,1910,323,1950,383,1990,523,2010,563,2050,543,2070,563,2110,623,2150,703,2170,723,2210,743,2250,863,2290,863,2310,903,2350,963,2390,1043,2410,1143,2470,1203,2510,1163,2550,1263,2610,1443,2690,1563,2710,1603,2750,1643,2790,1723,2810,1723,2850,1823,2870,1863,2910,1903,2950,1963,2990,1983,3010,2063,3090,2223,3110,2283,3150,2343,3190,2363,3210,2383,3250,2463,3290,2443,3310,2463,3430,2463,3450,2483,3490,2503,3550,2443,3590,2443,3610,2423,3650,2423,3690,2443,3710,2423,3750,2403,3790,2363,3830,2423,3850,2463,3910,2523,3950,2543,4050,2643,4090,2703,4130,2743,4150,2743,4290,2883e" filled="false" stroked="true" strokeweight="1pt" strokecolor="#ed1b2d">
              <v:path arrowok="t"/>
              <v:stroke dashstyle="solid"/>
            </v:shape>
            <v:shape style="position:absolute;left:4370;top:43;width:80;height:2520" coordorigin="4370,43" coordsize="80,2520" path="m4370,2563l4450,2563m4370,2063l4450,2063m4370,1543l4450,1543m4370,1043l4450,1043m4370,543l4450,543m4370,43l4450,43e" filled="false" stroked="true" strokeweight=".5pt" strokecolor="#000000">
              <v:path arrowok="t"/>
              <v:stroke dashstyle="solid"/>
            </v:shape>
            <v:shape style="position:absolute;left:1270;top:303;width:3020;height:2420" coordorigin="1270,303" coordsize="3020,2420" path="m1270,2723l1350,2723,1370,2603,1410,2563,1450,2583,1470,2543,1510,2563,1550,2543,1670,2543,1710,2423,1750,2383,1770,2283,1810,2203,1850,2183,1870,2143,1910,2083,1990,2063,2050,1923,2070,1843,2110,1803,2150,1783,2170,1723,2210,1663,2250,1723,2290,1663,2310,1623,2350,1623,2390,1603,2410,1623,2450,1563,2470,1523,2510,1423,2550,1363,2570,1343,2610,1343,2650,1303,2690,1283,2750,1163,2790,1103,2810,1023,2850,963,2870,943,2950,903,3010,723,3050,723,3090,683,3110,683,3190,563,3210,503,3250,503,3290,463,3310,463,3350,403,3450,303,3490,323,3510,363,3550,343,3590,343,3610,303,3650,343,3690,343,3710,363,3750,383,3790,363,3830,383,3850,343,3910,403,3950,383,3990,423,4010,423,4050,463,4090,423,4130,443,4150,383,4190,463,4230,463,4250,443,4290,463e" filled="false" stroked="true" strokeweight="1pt" strokecolor="#0066a5">
              <v:path arrowok="t"/>
              <v:stroke dashstyle="solid"/>
            </v:shape>
            <v:shape style="position:absolute;left:1270;top:2963;width:3020;height:100" coordorigin="1270,2963" coordsize="3020,100" path="m1810,3063l1810,2963m2470,3063l2470,2963m3150,3063l3150,2963m3810,3063l3810,2963m1270,3063l4290,3063m1270,3063l1270,3003m1410,3063l1410,3003m1530,3063l1530,3003m1670,3063l1670,3003m1810,3063l1810,3003m1930,3063l1930,3003m2070,3063l2070,3003m2210,3063l2210,3003m2350,3063l2350,3003m2470,3063l2470,3003m2610,3063l2610,3003m2750,3063l2750,3003m2890,3063l2890,3003m3010,3063l3010,3003m3150,3063l3150,3003m3290,3063l3290,3003m3410,3063l3410,3003m3550,3063l3550,3003m3690,3063l3690,3003m3810,3063l3810,3003m3950,3063l3950,3003m4090,3063l4090,3003m4210,3063l4210,3003m1810,3063l1810,2963m2470,3063l2470,2963m3150,3063l3150,2963m3810,3063l3810,2963e" filled="false" stroked="true" strokeweight=".5pt" strokecolor="#000000">
              <v:path arrowok="t"/>
              <v:stroke dashstyle="solid"/>
            </v:shape>
            <v:shape style="position:absolute;left:2890;top:1656;width:1000;height:133" type="#_x0000_t202" filled="false" stroked="false">
              <v:textbox inset="0,0,0,0">
                <w:txbxContent>
                  <w:p>
                    <w:pPr>
                      <w:spacing w:line="133" w:lineRule="exact" w:before="0"/>
                      <w:ind w:left="0" w:right="0" w:firstLine="0"/>
                      <w:jc w:val="left"/>
                      <w:rPr>
                        <w:sz w:val="12"/>
                      </w:rPr>
                    </w:pPr>
                    <w:r>
                      <w:rPr>
                        <w:sz w:val="12"/>
                      </w:rPr>
                      <w:t>M4 (left-hand scale)</w:t>
                    </w:r>
                  </w:p>
                </w:txbxContent>
              </v:textbox>
              <w10:wrap type="none"/>
            </v:shape>
            <v:shape style="position:absolute;left:1800;top:2266;width:1067;height:133" type="#_x0000_t202" filled="false" stroked="false">
              <v:textbox inset="0,0,0,0">
                <w:txbxContent>
                  <w:p>
                    <w:pPr>
                      <w:spacing w:line="133" w:lineRule="exact" w:before="0"/>
                      <w:ind w:left="0" w:right="0" w:firstLine="0"/>
                      <w:jc w:val="left"/>
                      <w:rPr>
                        <w:sz w:val="12"/>
                      </w:rPr>
                    </w:pPr>
                    <w:r>
                      <w:rPr>
                        <w:sz w:val="12"/>
                      </w:rPr>
                      <w:t>M0 (right-hand scale)</w:t>
                    </w:r>
                  </w:p>
                </w:txbxContent>
              </v:textbox>
              <w10:wrap type="none"/>
            </v:shape>
            <w10:wrap type="none"/>
          </v:group>
        </w:pict>
      </w:r>
      <w:r>
        <w:rPr>
          <w:sz w:val="12"/>
        </w:rPr>
        <w:t>170</w:t>
        <w:tab/>
        <w:t>110</w:t>
      </w:r>
    </w:p>
    <w:p>
      <w:pPr>
        <w:pStyle w:val="BodyText"/>
        <w:spacing w:before="10"/>
        <w:rPr>
          <w:sz w:val="15"/>
        </w:rPr>
      </w:pPr>
    </w:p>
    <w:p>
      <w:pPr>
        <w:spacing w:line="106" w:lineRule="exact" w:before="0"/>
        <w:ind w:left="260" w:right="0" w:firstLine="0"/>
        <w:jc w:val="left"/>
        <w:rPr>
          <w:sz w:val="12"/>
        </w:rPr>
      </w:pPr>
      <w:r>
        <w:rPr>
          <w:sz w:val="12"/>
        </w:rPr>
        <w:t>160</w:t>
      </w:r>
    </w:p>
    <w:p>
      <w:pPr>
        <w:pStyle w:val="Heading4"/>
        <w:spacing w:line="242" w:lineRule="auto" w:before="207"/>
        <w:ind w:left="200" w:right="274"/>
      </w:pPr>
      <w:r>
        <w:rPr/>
        <w:br w:type="column"/>
      </w:r>
      <w:r>
        <w:rPr/>
        <w:t>expenditure and the stock of broad money—the velocity of M4. But M4 velocity has been unstable over recent decades. Chart 1.2 shows that the ratio of nominal GDP to the stock of broad money fell sharply in the 1980s</w:t>
      </w:r>
    </w:p>
    <w:p>
      <w:pPr>
        <w:spacing w:after="0" w:line="242" w:lineRule="auto"/>
        <w:sectPr>
          <w:type w:val="continuous"/>
          <w:pgSz w:w="11900" w:h="16840"/>
          <w:pgMar w:top="1220" w:bottom="280" w:left="640" w:right="600"/>
          <w:cols w:num="2" w:equalWidth="0">
            <w:col w:w="4061" w:space="699"/>
            <w:col w:w="5900"/>
          </w:cols>
        </w:sectPr>
      </w:pPr>
    </w:p>
    <w:p>
      <w:pPr>
        <w:pStyle w:val="BodyText"/>
        <w:rPr>
          <w:sz w:val="12"/>
        </w:rPr>
      </w:pPr>
    </w:p>
    <w:p>
      <w:pPr>
        <w:spacing w:before="96"/>
        <w:ind w:left="260" w:right="0" w:firstLine="0"/>
        <w:jc w:val="left"/>
        <w:rPr>
          <w:sz w:val="12"/>
        </w:rPr>
      </w:pPr>
      <w:r>
        <w:rPr>
          <w:sz w:val="12"/>
        </w:rPr>
        <w:t>150</w:t>
      </w:r>
    </w:p>
    <w:p>
      <w:pPr>
        <w:pStyle w:val="BodyText"/>
        <w:spacing w:before="6"/>
        <w:rPr>
          <w:sz w:val="17"/>
        </w:rPr>
      </w:pPr>
    </w:p>
    <w:p>
      <w:pPr>
        <w:spacing w:before="0"/>
        <w:ind w:left="260" w:right="0" w:firstLine="0"/>
        <w:jc w:val="left"/>
        <w:rPr>
          <w:sz w:val="12"/>
        </w:rPr>
      </w:pPr>
      <w:r>
        <w:rPr>
          <w:sz w:val="12"/>
        </w:rPr>
        <w:t>140</w:t>
      </w:r>
    </w:p>
    <w:p>
      <w:pPr>
        <w:pStyle w:val="BodyText"/>
        <w:spacing w:before="10"/>
        <w:rPr>
          <w:sz w:val="15"/>
        </w:rPr>
      </w:pPr>
    </w:p>
    <w:p>
      <w:pPr>
        <w:spacing w:before="0"/>
        <w:ind w:left="260" w:right="0" w:firstLine="0"/>
        <w:jc w:val="left"/>
        <w:rPr>
          <w:sz w:val="12"/>
        </w:rPr>
      </w:pPr>
      <w:r>
        <w:rPr>
          <w:sz w:val="12"/>
        </w:rPr>
        <w:t>130</w:t>
      </w:r>
    </w:p>
    <w:p>
      <w:pPr>
        <w:pStyle w:val="BodyText"/>
        <w:spacing w:before="6"/>
        <w:rPr>
          <w:sz w:val="17"/>
        </w:rPr>
      </w:pPr>
    </w:p>
    <w:p>
      <w:pPr>
        <w:spacing w:before="0"/>
        <w:ind w:left="260" w:right="0" w:firstLine="0"/>
        <w:jc w:val="left"/>
        <w:rPr>
          <w:sz w:val="12"/>
        </w:rPr>
      </w:pPr>
      <w:r>
        <w:rPr>
          <w:sz w:val="12"/>
        </w:rPr>
        <w:t>120</w:t>
      </w:r>
    </w:p>
    <w:p>
      <w:pPr>
        <w:pStyle w:val="BodyText"/>
        <w:spacing w:before="7"/>
        <w:rPr>
          <w:sz w:val="17"/>
        </w:rPr>
      </w:pPr>
    </w:p>
    <w:p>
      <w:pPr>
        <w:spacing w:before="0"/>
        <w:ind w:left="260" w:right="0" w:firstLine="0"/>
        <w:jc w:val="left"/>
        <w:rPr>
          <w:sz w:val="12"/>
        </w:rPr>
      </w:pPr>
      <w:r>
        <w:rPr>
          <w:sz w:val="12"/>
        </w:rPr>
        <w:t>110</w:t>
      </w:r>
    </w:p>
    <w:p>
      <w:pPr>
        <w:pStyle w:val="BodyText"/>
        <w:spacing w:before="6"/>
        <w:rPr>
          <w:sz w:val="17"/>
        </w:rPr>
      </w:pPr>
    </w:p>
    <w:p>
      <w:pPr>
        <w:spacing w:before="1"/>
        <w:ind w:left="260" w:right="0" w:firstLine="0"/>
        <w:jc w:val="left"/>
        <w:rPr>
          <w:sz w:val="12"/>
        </w:rPr>
      </w:pPr>
      <w:r>
        <w:rPr>
          <w:sz w:val="12"/>
        </w:rPr>
        <w:t>100</w:t>
      </w:r>
    </w:p>
    <w:p>
      <w:pPr>
        <w:pStyle w:val="BodyText"/>
        <w:spacing w:before="9"/>
        <w:rPr>
          <w:sz w:val="15"/>
        </w:rPr>
      </w:pPr>
    </w:p>
    <w:p>
      <w:pPr>
        <w:spacing w:before="0"/>
        <w:ind w:left="290" w:right="0" w:firstLine="0"/>
        <w:jc w:val="left"/>
        <w:rPr>
          <w:sz w:val="12"/>
        </w:rPr>
      </w:pPr>
      <w:r>
        <w:rPr>
          <w:sz w:val="12"/>
        </w:rPr>
        <w:t>90</w:t>
      </w:r>
    </w:p>
    <w:p>
      <w:pPr>
        <w:pStyle w:val="BodyText"/>
        <w:spacing w:before="6"/>
        <w:rPr>
          <w:sz w:val="17"/>
        </w:rPr>
      </w:pPr>
    </w:p>
    <w:p>
      <w:pPr>
        <w:spacing w:before="1"/>
        <w:ind w:left="290" w:right="0" w:firstLine="0"/>
        <w:jc w:val="left"/>
        <w:rPr>
          <w:sz w:val="12"/>
        </w:rPr>
      </w:pPr>
      <w:r>
        <w:rPr>
          <w:sz w:val="12"/>
        </w:rPr>
        <w:t>80</w:t>
      </w:r>
    </w:p>
    <w:p>
      <w:pPr>
        <w:pStyle w:val="BodyText"/>
        <w:rPr>
          <w:sz w:val="12"/>
        </w:rPr>
      </w:pPr>
      <w:r>
        <w:rPr/>
        <w:br w:type="column"/>
      </w:r>
      <w:r>
        <w:rPr>
          <w:sz w:val="12"/>
        </w:rPr>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tabs>
          <w:tab w:pos="639" w:val="left" w:leader="none"/>
        </w:tabs>
        <w:spacing w:line="106" w:lineRule="exact" w:before="72"/>
        <w:ind w:left="99" w:right="0" w:firstLine="0"/>
        <w:jc w:val="left"/>
        <w:rPr>
          <w:sz w:val="12"/>
        </w:rPr>
      </w:pPr>
      <w:r>
        <w:rPr>
          <w:sz w:val="12"/>
        </w:rPr>
        <w:t>1976</w:t>
        <w:tab/>
        <w:t>80</w:t>
      </w:r>
    </w:p>
    <w:p>
      <w:pPr>
        <w:pStyle w:val="BodyText"/>
        <w:rPr>
          <w:sz w:val="12"/>
        </w:rPr>
      </w:pPr>
      <w:r>
        <w:rPr/>
        <w:br w:type="column"/>
      </w:r>
      <w:r>
        <w:rPr>
          <w:sz w:val="12"/>
        </w:rPr>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tabs>
          <w:tab w:pos="939" w:val="left" w:leader="none"/>
          <w:tab w:pos="1599" w:val="left" w:leader="none"/>
        </w:tabs>
        <w:spacing w:line="106" w:lineRule="exact" w:before="72"/>
        <w:ind w:left="260" w:right="0" w:firstLine="0"/>
        <w:jc w:val="left"/>
        <w:rPr>
          <w:sz w:val="12"/>
        </w:rPr>
      </w:pPr>
      <w:r>
        <w:rPr>
          <w:sz w:val="12"/>
        </w:rPr>
        <w:t>85</w:t>
        <w:tab/>
        <w:t>90</w:t>
        <w:tab/>
        <w:t>95</w:t>
      </w:r>
    </w:p>
    <w:p>
      <w:pPr>
        <w:spacing w:before="74"/>
        <w:ind w:left="260" w:right="0" w:firstLine="0"/>
        <w:jc w:val="left"/>
        <w:rPr>
          <w:sz w:val="12"/>
        </w:rPr>
      </w:pPr>
      <w:r>
        <w:rPr/>
        <w:br w:type="column"/>
      </w:r>
      <w:r>
        <w:rPr>
          <w:sz w:val="12"/>
        </w:rPr>
        <w:t>100</w:t>
      </w:r>
    </w:p>
    <w:p>
      <w:pPr>
        <w:pStyle w:val="BodyText"/>
        <w:rPr>
          <w:sz w:val="12"/>
        </w:rPr>
      </w:pPr>
    </w:p>
    <w:p>
      <w:pPr>
        <w:pStyle w:val="BodyText"/>
        <w:rPr>
          <w:sz w:val="12"/>
        </w:rPr>
      </w:pPr>
    </w:p>
    <w:p>
      <w:pPr>
        <w:spacing w:before="86"/>
        <w:ind w:left="320" w:right="0" w:firstLine="0"/>
        <w:jc w:val="left"/>
        <w:rPr>
          <w:sz w:val="12"/>
        </w:rPr>
      </w:pPr>
      <w:r>
        <w:rPr>
          <w:sz w:val="12"/>
        </w:rPr>
        <w:t>90</w:t>
      </w:r>
    </w:p>
    <w:p>
      <w:pPr>
        <w:pStyle w:val="BodyText"/>
        <w:rPr>
          <w:sz w:val="12"/>
        </w:rPr>
      </w:pPr>
    </w:p>
    <w:p>
      <w:pPr>
        <w:pStyle w:val="BodyText"/>
        <w:rPr>
          <w:sz w:val="12"/>
        </w:rPr>
      </w:pPr>
    </w:p>
    <w:p>
      <w:pPr>
        <w:spacing w:before="86"/>
        <w:ind w:left="320" w:right="0" w:firstLine="0"/>
        <w:jc w:val="left"/>
        <w:rPr>
          <w:sz w:val="12"/>
        </w:rPr>
      </w:pPr>
      <w:r>
        <w:rPr>
          <w:sz w:val="12"/>
        </w:rPr>
        <w:t>80</w:t>
      </w:r>
    </w:p>
    <w:p>
      <w:pPr>
        <w:pStyle w:val="BodyText"/>
        <w:rPr>
          <w:sz w:val="12"/>
        </w:rPr>
      </w:pPr>
    </w:p>
    <w:p>
      <w:pPr>
        <w:pStyle w:val="BodyText"/>
        <w:rPr>
          <w:sz w:val="12"/>
        </w:rPr>
      </w:pPr>
    </w:p>
    <w:p>
      <w:pPr>
        <w:spacing w:before="86"/>
        <w:ind w:left="320" w:right="0" w:firstLine="0"/>
        <w:jc w:val="left"/>
        <w:rPr>
          <w:sz w:val="12"/>
        </w:rPr>
      </w:pPr>
      <w:r>
        <w:rPr>
          <w:sz w:val="12"/>
        </w:rPr>
        <w:t>70</w:t>
      </w:r>
    </w:p>
    <w:p>
      <w:pPr>
        <w:pStyle w:val="BodyText"/>
        <w:rPr>
          <w:sz w:val="12"/>
        </w:rPr>
      </w:pPr>
    </w:p>
    <w:p>
      <w:pPr>
        <w:pStyle w:val="BodyText"/>
        <w:rPr>
          <w:sz w:val="12"/>
        </w:rPr>
      </w:pPr>
    </w:p>
    <w:p>
      <w:pPr>
        <w:spacing w:before="86"/>
        <w:ind w:left="320" w:right="0" w:firstLine="0"/>
        <w:jc w:val="left"/>
        <w:rPr>
          <w:sz w:val="12"/>
        </w:rPr>
      </w:pPr>
      <w:r>
        <w:rPr>
          <w:sz w:val="12"/>
        </w:rPr>
        <w:t>60</w:t>
      </w:r>
    </w:p>
    <w:p>
      <w:pPr>
        <w:pStyle w:val="BodyText"/>
        <w:rPr>
          <w:sz w:val="12"/>
        </w:rPr>
      </w:pPr>
    </w:p>
    <w:p>
      <w:pPr>
        <w:pStyle w:val="BodyText"/>
        <w:rPr>
          <w:sz w:val="12"/>
        </w:rPr>
      </w:pPr>
    </w:p>
    <w:p>
      <w:pPr>
        <w:spacing w:before="86"/>
        <w:ind w:left="320" w:right="0" w:firstLine="0"/>
        <w:jc w:val="left"/>
        <w:rPr>
          <w:sz w:val="12"/>
        </w:rPr>
      </w:pPr>
      <w:r>
        <w:rPr/>
        <w:pict>
          <v:line style="position:absolute;mso-position-horizontal-relative:page;mso-position-vertical-relative:paragraph;z-index:15747584" from="218.5pt,8.401563pt" to="222.5pt,8.401563pt" stroked="true" strokeweight=".5pt" strokecolor="#000000">
            <v:stroke dashstyle="solid"/>
            <w10:wrap type="none"/>
          </v:line>
        </w:pict>
      </w:r>
      <w:r>
        <w:rPr>
          <w:sz w:val="12"/>
        </w:rPr>
        <w:t>50</w:t>
      </w:r>
    </w:p>
    <w:p>
      <w:pPr>
        <w:pStyle w:val="Heading4"/>
        <w:spacing w:line="242" w:lineRule="auto"/>
        <w:ind w:left="260" w:right="288"/>
      </w:pPr>
      <w:r>
        <w:rPr/>
        <w:br w:type="column"/>
      </w:r>
      <w:r>
        <w:rPr/>
        <w:t>and, after stabilising in the early 1990s, has fallen again since 1995. There was a corresponding rise in M0 velocity during the 1980s (see Chart 1.2). The shifts in broad and narrow money velocity in the 1980s reflected the impact of financial liberalisation and a variety of financial innovations, which increased sterling deposits but reduced the demand for notes and coin. These factors appear to have been less important in the 1990s, which would be consistent with the stabilisation of M0 velocity since 1992, but does not explain the continued</w:t>
      </w:r>
    </w:p>
    <w:p>
      <w:pPr>
        <w:spacing w:after="0" w:line="242" w:lineRule="auto"/>
        <w:sectPr>
          <w:type w:val="continuous"/>
          <w:pgSz w:w="11900" w:h="16840"/>
          <w:pgMar w:top="1220" w:bottom="280" w:left="640" w:right="600"/>
          <w:cols w:num="5" w:equalWidth="0">
            <w:col w:w="441" w:space="40"/>
            <w:col w:w="800" w:space="239"/>
            <w:col w:w="1761" w:space="299"/>
            <w:col w:w="481" w:space="639"/>
            <w:col w:w="5960"/>
          </w:cols>
        </w:sectPr>
      </w:pPr>
    </w:p>
    <w:p>
      <w:pPr>
        <w:spacing w:before="68"/>
        <w:ind w:left="190" w:right="0" w:firstLine="0"/>
        <w:jc w:val="left"/>
        <w:rPr>
          <w:sz w:val="12"/>
        </w:rPr>
      </w:pPr>
      <w:r>
        <w:rPr>
          <w:sz w:val="12"/>
        </w:rPr>
        <w:t>Sources: Bank of England and ONS.</w:t>
      </w:r>
    </w:p>
    <w:p>
      <w:pPr>
        <w:spacing w:before="102"/>
        <w:ind w:left="190" w:right="0" w:firstLine="0"/>
        <w:jc w:val="left"/>
        <w:rPr>
          <w:sz w:val="12"/>
        </w:rPr>
      </w:pPr>
      <w:r>
        <w:rPr>
          <w:sz w:val="12"/>
        </w:rPr>
        <w:t>(a) Defined as the ratio of nominal GDP to the stock of money.</w:t>
      </w:r>
    </w:p>
    <w:p>
      <w:pPr>
        <w:pStyle w:val="BodyText"/>
        <w:rPr>
          <w:sz w:val="12"/>
        </w:rPr>
      </w:pPr>
    </w:p>
    <w:p>
      <w:pPr>
        <w:pStyle w:val="BodyText"/>
        <w:rPr>
          <w:sz w:val="12"/>
        </w:rPr>
      </w:pPr>
    </w:p>
    <w:p>
      <w:pPr>
        <w:pStyle w:val="BodyText"/>
        <w:spacing w:before="2"/>
        <w:rPr>
          <w:sz w:val="10"/>
        </w:rPr>
      </w:pPr>
    </w:p>
    <w:p>
      <w:pPr>
        <w:pStyle w:val="Heading7"/>
        <w:spacing w:before="0"/>
        <w:ind w:left="170"/>
      </w:pPr>
      <w:r>
        <w:rPr>
          <w:color w:val="0093C1"/>
        </w:rPr>
        <w:t>Table 1.B</w:t>
      </w:r>
    </w:p>
    <w:p>
      <w:pPr>
        <w:spacing w:before="10"/>
        <w:ind w:left="170" w:right="0" w:firstLine="0"/>
        <w:jc w:val="left"/>
        <w:rPr>
          <w:b/>
          <w:sz w:val="20"/>
        </w:rPr>
      </w:pPr>
      <w:r>
        <w:rPr>
          <w:b/>
          <w:color w:val="0093C1"/>
          <w:sz w:val="20"/>
        </w:rPr>
        <w:t>Sectoral contributions to total M4 growth</w:t>
      </w:r>
    </w:p>
    <w:p>
      <w:pPr>
        <w:spacing w:before="106"/>
        <w:ind w:left="170" w:right="0" w:firstLine="0"/>
        <w:jc w:val="left"/>
        <w:rPr>
          <w:sz w:val="12"/>
        </w:rPr>
      </w:pPr>
      <w:r>
        <w:rPr>
          <w:sz w:val="14"/>
        </w:rPr>
        <w:t>Percentage point contribution to annual change </w:t>
      </w:r>
      <w:r>
        <w:rPr>
          <w:sz w:val="12"/>
        </w:rPr>
        <w:t>(a)</w:t>
      </w:r>
    </w:p>
    <w:p>
      <w:pPr>
        <w:tabs>
          <w:tab w:pos="3729" w:val="left" w:leader="none"/>
        </w:tabs>
        <w:spacing w:line="160" w:lineRule="exact" w:before="119"/>
        <w:ind w:left="1130" w:right="0" w:firstLine="0"/>
        <w:jc w:val="left"/>
        <w:rPr>
          <w:sz w:val="14"/>
        </w:rPr>
      </w:pPr>
      <w:r>
        <w:rPr>
          <w:sz w:val="14"/>
          <w:u w:val="single"/>
        </w:rPr>
        <w:t>1996</w:t>
      </w:r>
      <w:r>
        <w:rPr>
          <w:sz w:val="14"/>
        </w:rPr>
        <w:t>      </w:t>
      </w:r>
      <w:r>
        <w:rPr>
          <w:sz w:val="14"/>
          <w:u w:val="single"/>
        </w:rPr>
        <w:t>1997</w:t>
      </w:r>
      <w:r>
        <w:rPr>
          <w:sz w:val="14"/>
        </w:rPr>
        <w:t>    </w:t>
      </w:r>
      <w:r>
        <w:rPr>
          <w:spacing w:val="15"/>
          <w:sz w:val="14"/>
        </w:rPr>
        <w:t> </w:t>
      </w:r>
      <w:r>
        <w:rPr>
          <w:sz w:val="14"/>
          <w:u w:val="single"/>
        </w:rPr>
        <w:t>1998</w:t>
        <w:tab/>
      </w:r>
    </w:p>
    <w:p>
      <w:pPr>
        <w:tabs>
          <w:tab w:pos="3049" w:val="left" w:leader="none"/>
          <w:tab w:pos="3529" w:val="left" w:leader="none"/>
        </w:tabs>
        <w:spacing w:line="160" w:lineRule="exact" w:before="0"/>
        <w:ind w:left="1130" w:right="0" w:firstLine="0"/>
        <w:jc w:val="left"/>
        <w:rPr>
          <w:sz w:val="14"/>
        </w:rPr>
      </w:pPr>
      <w:r>
        <w:rPr>
          <w:sz w:val="14"/>
          <w:u w:val="single"/>
        </w:rPr>
        <w:t>Q4   </w:t>
      </w:r>
      <w:r>
        <w:rPr>
          <w:sz w:val="14"/>
        </w:rPr>
        <w:t>      </w:t>
      </w:r>
      <w:r>
        <w:rPr>
          <w:sz w:val="14"/>
          <w:u w:val="single"/>
        </w:rPr>
        <w:t>Q4  </w:t>
      </w:r>
      <w:r>
        <w:rPr>
          <w:sz w:val="14"/>
        </w:rPr>
        <w:t>     </w:t>
      </w:r>
      <w:r>
        <w:rPr>
          <w:spacing w:val="18"/>
          <w:sz w:val="14"/>
        </w:rPr>
        <w:t> </w:t>
      </w:r>
      <w:r>
        <w:rPr>
          <w:sz w:val="14"/>
          <w:u w:val="single"/>
        </w:rPr>
        <w:t>Q1   </w:t>
      </w:r>
      <w:r>
        <w:rPr>
          <w:sz w:val="14"/>
        </w:rPr>
        <w:t>    </w:t>
      </w:r>
      <w:r>
        <w:rPr>
          <w:spacing w:val="27"/>
          <w:sz w:val="14"/>
        </w:rPr>
        <w:t> </w:t>
      </w:r>
      <w:r>
        <w:rPr>
          <w:sz w:val="14"/>
          <w:u w:val="single"/>
        </w:rPr>
        <w:t>Q2</w:t>
      </w:r>
      <w:r>
        <w:rPr>
          <w:sz w:val="14"/>
        </w:rPr>
        <w:tab/>
      </w:r>
      <w:r>
        <w:rPr>
          <w:sz w:val="14"/>
          <w:u w:val="single"/>
        </w:rPr>
        <w:t>Q3</w:t>
      </w:r>
      <w:r>
        <w:rPr>
          <w:sz w:val="14"/>
        </w:rPr>
        <w:tab/>
      </w:r>
      <w:r>
        <w:rPr>
          <w:sz w:val="14"/>
          <w:u w:val="single"/>
        </w:rPr>
        <w:t>Q4</w:t>
      </w:r>
      <w:r>
        <w:rPr>
          <w:spacing w:val="4"/>
          <w:sz w:val="14"/>
          <w:u w:val="single"/>
        </w:rPr>
        <w:t> </w:t>
      </w:r>
    </w:p>
    <w:p>
      <w:pPr>
        <w:tabs>
          <w:tab w:pos="1170" w:val="left" w:leader="none"/>
          <w:tab w:pos="1709" w:val="left" w:leader="none"/>
          <w:tab w:pos="2179" w:val="left" w:leader="none"/>
          <w:tab w:pos="2579" w:val="left" w:leader="none"/>
          <w:tab w:pos="3060" w:val="left" w:leader="none"/>
          <w:tab w:pos="3704" w:val="right" w:leader="none"/>
        </w:tabs>
        <w:spacing w:line="150" w:lineRule="exact" w:before="119"/>
        <w:ind w:left="170" w:right="0" w:firstLine="0"/>
        <w:jc w:val="left"/>
        <w:rPr>
          <w:sz w:val="14"/>
        </w:rPr>
      </w:pPr>
      <w:r>
        <w:rPr>
          <w:sz w:val="14"/>
        </w:rPr>
        <w:t>OFCs</w:t>
        <w:tab/>
        <w:t>4.3</w:t>
        <w:tab/>
        <w:t>5.6</w:t>
        <w:tab/>
        <w:t>5.0</w:t>
        <w:tab/>
        <w:t>4.8</w:t>
        <w:tab/>
        <w:t>4.5</w:t>
        <w:tab/>
        <w:t>3.5</w:t>
      </w:r>
    </w:p>
    <w:p>
      <w:pPr>
        <w:tabs>
          <w:tab w:pos="1170" w:val="left" w:leader="none"/>
          <w:tab w:pos="1710" w:val="left" w:leader="none"/>
          <w:tab w:pos="2179" w:val="left" w:leader="none"/>
          <w:tab w:pos="2579" w:val="left" w:leader="none"/>
          <w:tab w:pos="3060" w:val="left" w:leader="none"/>
          <w:tab w:pos="3705" w:val="right" w:leader="none"/>
        </w:tabs>
        <w:spacing w:line="140" w:lineRule="exact" w:before="0"/>
        <w:ind w:left="170" w:right="0" w:firstLine="0"/>
        <w:jc w:val="left"/>
        <w:rPr>
          <w:sz w:val="14"/>
        </w:rPr>
      </w:pPr>
      <w:r>
        <w:rPr>
          <w:sz w:val="14"/>
        </w:rPr>
        <w:t>PNFCs</w:t>
        <w:tab/>
        <w:t>1.2</w:t>
        <w:tab/>
        <w:t>0.9</w:t>
        <w:tab/>
        <w:t>0.8</w:t>
        <w:tab/>
        <w:t>0.7</w:t>
        <w:tab/>
        <w:t>0.8</w:t>
        <w:tab/>
        <w:t>0.5</w:t>
      </w:r>
    </w:p>
    <w:p>
      <w:pPr>
        <w:tabs>
          <w:tab w:pos="1169" w:val="left" w:leader="none"/>
          <w:tab w:pos="1709" w:val="left" w:leader="none"/>
          <w:tab w:pos="2179" w:val="left" w:leader="none"/>
          <w:tab w:pos="2579" w:val="left" w:leader="none"/>
          <w:tab w:pos="3059" w:val="left" w:leader="none"/>
          <w:tab w:pos="3529" w:val="left" w:leader="none"/>
        </w:tabs>
        <w:spacing w:line="150" w:lineRule="exact" w:before="0"/>
        <w:ind w:left="170" w:right="0" w:firstLine="0"/>
        <w:jc w:val="left"/>
        <w:rPr>
          <w:sz w:val="14"/>
        </w:rPr>
      </w:pPr>
      <w:r>
        <w:rPr>
          <w:sz w:val="14"/>
        </w:rPr>
        <w:t>Households</w:t>
        <w:tab/>
        <w:t>4.1</w:t>
        <w:tab/>
        <w:t>5.3</w:t>
        <w:tab/>
        <w:t>3.9</w:t>
        <w:tab/>
        <w:t>3.6</w:t>
        <w:tab/>
        <w:t>3.8</w:t>
        <w:tab/>
        <w:t>4.0</w:t>
      </w:r>
    </w:p>
    <w:p>
      <w:pPr>
        <w:tabs>
          <w:tab w:pos="1169" w:val="left" w:leader="none"/>
          <w:tab w:pos="1639" w:val="left" w:leader="none"/>
          <w:tab w:pos="2109" w:val="left" w:leader="none"/>
          <w:tab w:pos="2579" w:val="left" w:leader="none"/>
          <w:tab w:pos="3059" w:val="left" w:leader="none"/>
          <w:tab w:pos="3704" w:val="right" w:leader="none"/>
        </w:tabs>
        <w:spacing w:line="160" w:lineRule="exact" w:before="0"/>
        <w:ind w:left="170" w:right="0" w:firstLine="0"/>
        <w:jc w:val="left"/>
        <w:rPr>
          <w:b/>
          <w:sz w:val="14"/>
        </w:rPr>
      </w:pPr>
      <w:r>
        <w:rPr>
          <w:b/>
          <w:sz w:val="14"/>
        </w:rPr>
        <w:t>Total M4</w:t>
        <w:tab/>
        <w:t>9.7</w:t>
        <w:tab/>
        <w:t>11.9</w:t>
        <w:tab/>
        <w:t>10.0</w:t>
        <w:tab/>
        <w:t>9.4</w:t>
        <w:tab/>
        <w:t>9.2</w:t>
        <w:tab/>
        <w:t>8.1</w:t>
      </w:r>
    </w:p>
    <w:p>
      <w:pPr>
        <w:spacing w:before="98"/>
        <w:ind w:left="170" w:right="0" w:firstLine="0"/>
        <w:jc w:val="left"/>
        <w:rPr>
          <w:sz w:val="12"/>
        </w:rPr>
      </w:pPr>
      <w:r>
        <w:rPr>
          <w:sz w:val="12"/>
        </w:rPr>
        <w:t>(a) Columns do not sum owing to seasonal adjustment.</w:t>
      </w: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6"/>
        <w:rPr>
          <w:sz w:val="13"/>
        </w:rPr>
      </w:pPr>
    </w:p>
    <w:p>
      <w:pPr>
        <w:pStyle w:val="Heading7"/>
        <w:spacing w:before="0"/>
        <w:ind w:left="190"/>
      </w:pPr>
      <w:r>
        <w:rPr>
          <w:color w:val="0093C1"/>
        </w:rPr>
        <w:t>Chart 1.3</w:t>
      </w:r>
    </w:p>
    <w:p>
      <w:pPr>
        <w:spacing w:before="10"/>
        <w:ind w:left="190" w:right="0" w:firstLine="0"/>
        <w:jc w:val="left"/>
        <w:rPr>
          <w:b/>
          <w:sz w:val="20"/>
        </w:rPr>
      </w:pPr>
      <w:r>
        <w:rPr>
          <w:b/>
          <w:color w:val="0093C1"/>
          <w:sz w:val="20"/>
        </w:rPr>
        <w:t>Alternative measures of broad money growth</w:t>
      </w:r>
    </w:p>
    <w:p>
      <w:pPr>
        <w:spacing w:before="169"/>
        <w:ind w:left="2010" w:right="0" w:firstLine="0"/>
        <w:jc w:val="left"/>
        <w:rPr>
          <w:sz w:val="11"/>
        </w:rPr>
      </w:pPr>
      <w:r>
        <w:rPr/>
        <w:pict>
          <v:group style="position:absolute;margin-left:46pt;margin-top:15.942546pt;width:166pt;height:121.55pt;mso-position-horizontal-relative:page;mso-position-vertical-relative:paragraph;z-index:-21268480" coordorigin="920,319" coordsize="3320,2431">
            <v:shape style="position:absolute;left:920;top:1543;width:100;height:1202" coordorigin="920,1543" coordsize="100,1202" path="m1020,2744l920,2744m1020,2453l920,2453m1020,2144l920,2144m1020,1834l920,1834m1020,1543l920,1543e" filled="false" stroked="true" strokeweight=".5pt" strokecolor="#000000">
              <v:path arrowok="t"/>
              <v:stroke dashstyle="solid"/>
            </v:shape>
            <v:shape style="position:absolute;left:1080;top:1579;width:3020;height:1147" coordorigin="1080,1580" coordsize="3020,1147" path="m1080,2399l1240,2599,1400,2599,1560,2726,1720,2635,1880,2417,2040,2144,2200,1798,2360,1871,2500,1707,2660,1871,2820,1962,2980,1707,3140,1616,3300,1616,3460,1580,3620,2126,3780,2235,3940,2180,4100,2198e" filled="false" stroked="true" strokeweight="1pt" strokecolor="#ac6e90">
              <v:path arrowok="t"/>
              <v:stroke dashstyle="solid"/>
            </v:shape>
            <v:shape style="position:absolute;left:920;top:323;width:100;height:910" coordorigin="920,324" coordsize="100,910" path="m1020,1234l920,1234m1020,924l920,924m1020,615l920,615m1020,324l920,324e" filled="false" stroked="true" strokeweight=".5pt" strokecolor="#000000">
              <v:path arrowok="t"/>
              <v:stroke dashstyle="solid"/>
            </v:shape>
            <v:shape style="position:absolute;left:1080;top:342;width:3020;height:2203" coordorigin="1080,342" coordsize="3020,2203" path="m1080,2271l1240,2326,1400,2417,1560,2544,1720,2289,1880,1871,2200,961,2360,1015,2500,961,2660,924,2820,1015,2980,597,3140,415,3300,433,3460,342,3620,924,3780,1106,3940,1179,4100,1507e" filled="false" stroked="true" strokeweight="1.0pt" strokecolor="#ed1b2d">
              <v:path arrowok="t"/>
              <v:stroke dashstyle="solid"/>
            </v:shape>
            <v:shape style="position:absolute;left:4140;top:323;width:100;height:2421" coordorigin="4140,324" coordsize="100,2421" path="m4240,2744l4140,2744m4240,2453l4140,2453m4240,2144l4140,2144m4240,1834l4140,1834m4240,1543l4140,1543m4240,1234l4140,1234m4240,924l4140,924m4240,615l4140,615m4240,324l4140,324e" filled="false" stroked="true" strokeweight=".5pt" strokecolor="#000000">
              <v:path arrowok="t"/>
              <v:stroke dashstyle="solid"/>
            </v:shape>
            <v:shape style="position:absolute;left:2583;top:793;width:172;height:121" type="#_x0000_t202" filled="false" stroked="false">
              <v:textbox inset="0,0,0,0">
                <w:txbxContent>
                  <w:p>
                    <w:pPr>
                      <w:spacing w:line="121" w:lineRule="exact" w:before="0"/>
                      <w:ind w:left="0" w:right="0" w:firstLine="0"/>
                      <w:jc w:val="left"/>
                      <w:rPr>
                        <w:sz w:val="11"/>
                      </w:rPr>
                    </w:pPr>
                    <w:r>
                      <w:rPr>
                        <w:sz w:val="11"/>
                      </w:rPr>
                      <w:t>M4</w:t>
                    </w:r>
                  </w:p>
                </w:txbxContent>
              </v:textbox>
              <w10:wrap type="none"/>
            </v:shape>
            <v:shape style="position:absolute;left:2190;top:2001;width:671;height:237" type="#_x0000_t202" filled="false" stroked="false">
              <v:textbox inset="0,0,0,0">
                <w:txbxContent>
                  <w:p>
                    <w:pPr>
                      <w:spacing w:line="218" w:lineRule="auto" w:before="4"/>
                      <w:ind w:left="53" w:right="-5" w:hanging="54"/>
                      <w:jc w:val="left"/>
                      <w:rPr>
                        <w:sz w:val="11"/>
                      </w:rPr>
                    </w:pPr>
                    <w:r>
                      <w:rPr>
                        <w:sz w:val="11"/>
                      </w:rPr>
                      <w:t>M4 excluding OFC deposits</w:t>
                    </w:r>
                  </w:p>
                </w:txbxContent>
              </v:textbox>
              <w10:wrap type="none"/>
            </v:shape>
            <w10:wrap type="none"/>
          </v:group>
        </w:pict>
      </w:r>
      <w:r>
        <w:rPr>
          <w:sz w:val="11"/>
        </w:rPr>
        <w:t>Percentage changes on a year earlier</w:t>
      </w:r>
      <w:r>
        <w:rPr>
          <w:spacing w:val="-11"/>
          <w:sz w:val="11"/>
        </w:rPr>
        <w:t> </w:t>
      </w:r>
      <w:r>
        <w:rPr>
          <w:position w:val="-7"/>
          <w:sz w:val="11"/>
        </w:rPr>
        <w:t>12</w:t>
      </w:r>
    </w:p>
    <w:p>
      <w:pPr>
        <w:spacing w:before="164"/>
        <w:ind w:left="3635" w:right="0" w:firstLine="0"/>
        <w:jc w:val="left"/>
        <w:rPr>
          <w:sz w:val="11"/>
        </w:rPr>
      </w:pPr>
      <w:r>
        <w:rPr>
          <w:sz w:val="11"/>
        </w:rPr>
        <w:t>11</w:t>
      </w:r>
    </w:p>
    <w:p>
      <w:pPr>
        <w:pStyle w:val="BodyText"/>
        <w:spacing w:before="10"/>
        <w:rPr>
          <w:sz w:val="15"/>
        </w:rPr>
      </w:pPr>
    </w:p>
    <w:p>
      <w:pPr>
        <w:spacing w:before="0"/>
        <w:ind w:left="3635" w:right="0" w:firstLine="0"/>
        <w:jc w:val="left"/>
        <w:rPr>
          <w:sz w:val="11"/>
        </w:rPr>
      </w:pPr>
      <w:r>
        <w:rPr>
          <w:sz w:val="11"/>
        </w:rPr>
        <w:t>10</w:t>
      </w:r>
    </w:p>
    <w:p>
      <w:pPr>
        <w:pStyle w:val="BodyText"/>
        <w:spacing w:before="10"/>
        <w:rPr>
          <w:sz w:val="15"/>
        </w:rPr>
      </w:pPr>
    </w:p>
    <w:p>
      <w:pPr>
        <w:spacing w:before="1"/>
        <w:ind w:left="3690" w:right="0" w:firstLine="0"/>
        <w:jc w:val="left"/>
        <w:rPr>
          <w:sz w:val="11"/>
        </w:rPr>
      </w:pPr>
      <w:r>
        <w:rPr>
          <w:w w:val="99"/>
          <w:sz w:val="11"/>
        </w:rPr>
        <w:t>9</w:t>
      </w:r>
    </w:p>
    <w:p>
      <w:pPr>
        <w:pStyle w:val="BodyText"/>
        <w:spacing w:before="3"/>
        <w:rPr>
          <w:sz w:val="14"/>
        </w:rPr>
      </w:pPr>
    </w:p>
    <w:p>
      <w:pPr>
        <w:spacing w:before="0"/>
        <w:ind w:left="3690" w:right="0" w:firstLine="0"/>
        <w:jc w:val="left"/>
        <w:rPr>
          <w:sz w:val="11"/>
        </w:rPr>
      </w:pPr>
      <w:r>
        <w:rPr>
          <w:w w:val="99"/>
          <w:sz w:val="11"/>
        </w:rPr>
        <w:t>8</w:t>
      </w:r>
    </w:p>
    <w:p>
      <w:pPr>
        <w:pStyle w:val="BodyText"/>
        <w:spacing w:before="11"/>
        <w:rPr>
          <w:sz w:val="15"/>
        </w:rPr>
      </w:pPr>
    </w:p>
    <w:p>
      <w:pPr>
        <w:spacing w:before="0"/>
        <w:ind w:left="3690" w:right="0" w:firstLine="0"/>
        <w:jc w:val="left"/>
        <w:rPr>
          <w:sz w:val="11"/>
        </w:rPr>
      </w:pPr>
      <w:r>
        <w:rPr>
          <w:w w:val="99"/>
          <w:sz w:val="11"/>
        </w:rPr>
        <w:t>7</w:t>
      </w:r>
    </w:p>
    <w:p>
      <w:pPr>
        <w:pStyle w:val="BodyText"/>
        <w:spacing w:before="10"/>
        <w:rPr>
          <w:sz w:val="15"/>
        </w:rPr>
      </w:pPr>
    </w:p>
    <w:p>
      <w:pPr>
        <w:spacing w:before="0"/>
        <w:ind w:left="3690" w:right="0" w:firstLine="0"/>
        <w:jc w:val="left"/>
        <w:rPr>
          <w:sz w:val="11"/>
        </w:rPr>
      </w:pPr>
      <w:r>
        <w:rPr>
          <w:w w:val="99"/>
          <w:sz w:val="11"/>
        </w:rPr>
        <w:t>6</w:t>
      </w:r>
    </w:p>
    <w:p>
      <w:pPr>
        <w:pStyle w:val="BodyText"/>
        <w:spacing w:before="10"/>
        <w:rPr>
          <w:sz w:val="15"/>
        </w:rPr>
      </w:pPr>
    </w:p>
    <w:p>
      <w:pPr>
        <w:spacing w:before="1"/>
        <w:ind w:left="3690" w:right="0" w:firstLine="0"/>
        <w:jc w:val="left"/>
        <w:rPr>
          <w:sz w:val="11"/>
        </w:rPr>
      </w:pPr>
      <w:r>
        <w:rPr>
          <w:w w:val="99"/>
          <w:sz w:val="11"/>
        </w:rPr>
        <w:t>5</w:t>
      </w:r>
    </w:p>
    <w:p>
      <w:pPr>
        <w:pStyle w:val="BodyText"/>
        <w:spacing w:before="3"/>
        <w:rPr>
          <w:sz w:val="14"/>
        </w:rPr>
      </w:pPr>
    </w:p>
    <w:p>
      <w:pPr>
        <w:spacing w:before="0"/>
        <w:ind w:left="3690" w:right="0" w:firstLine="0"/>
        <w:jc w:val="left"/>
        <w:rPr>
          <w:sz w:val="11"/>
        </w:rPr>
      </w:pPr>
      <w:r>
        <w:rPr>
          <w:w w:val="99"/>
          <w:sz w:val="11"/>
        </w:rPr>
        <w:t>4</w:t>
      </w:r>
    </w:p>
    <w:p>
      <w:pPr>
        <w:pStyle w:val="BodyText"/>
        <w:spacing w:before="11"/>
        <w:rPr>
          <w:sz w:val="15"/>
        </w:rPr>
      </w:pPr>
    </w:p>
    <w:p>
      <w:pPr>
        <w:spacing w:before="0"/>
        <w:ind w:left="3690" w:right="0" w:firstLine="0"/>
        <w:jc w:val="left"/>
        <w:rPr>
          <w:sz w:val="11"/>
        </w:rPr>
      </w:pPr>
      <w:r>
        <w:rPr/>
        <w:pict>
          <v:group style="position:absolute;margin-left:45.75pt;margin-top:3.46276pt;width:168pt;height:7.9pt;mso-position-horizontal-relative:page;mso-position-vertical-relative:paragraph;z-index:15748096" coordorigin="915,69" coordsize="3360,158">
            <v:shape style="position:absolute;left:915;top:75;width:3335;height:146" coordorigin="915,75" coordsize="3335,146" path="m3620,221l3620,130m2980,221l2980,130m2360,221l2360,130m1080,219l1080,128m1029,75l920,75m1720,221l1720,130m915,221l4246,221m1240,221l1240,185m1400,221l1400,185m1560,221l1560,185m1880,221l1880,185m2040,221l2040,185m2200,221l2200,185m2515,221l2515,185m2670,221l2670,185m2825,221l2825,185m3140,221l3140,185m3300,221l3300,185m3460,221l3460,185m3780,221l3780,185m3940,221l3940,185m4100,221l4100,185m4250,75l4140,75e" filled="false" stroked="true" strokeweight=".5pt" strokecolor="#000000">
              <v:path arrowok="t"/>
              <v:stroke dashstyle="solid"/>
            </v:shape>
            <v:shape style="position:absolute;left:1008;top:74;width:3262;height:148" coordorigin="1009,74" coordsize="3262,148" path="m4250,74l4250,113,4230,128,4270,140,4230,158,4270,174,4247,183,4246,221m1029,74l1029,117,1009,132,1049,144,1009,162,1049,177,1025,186,1025,222e" filled="false" stroked="true" strokeweight=".5pt" strokecolor="#000000">
              <v:path arrowok="t"/>
              <v:stroke dashstyle="solid"/>
            </v:shape>
            <w10:wrap type="none"/>
          </v:group>
        </w:pict>
      </w:r>
      <w:r>
        <w:rPr>
          <w:w w:val="99"/>
          <w:sz w:val="11"/>
        </w:rPr>
        <w:t>3</w:t>
      </w:r>
    </w:p>
    <w:p>
      <w:pPr>
        <w:spacing w:line="112" w:lineRule="exact" w:before="37"/>
        <w:ind w:left="3690" w:right="0" w:firstLine="0"/>
        <w:jc w:val="left"/>
        <w:rPr>
          <w:sz w:val="11"/>
        </w:rPr>
      </w:pPr>
      <w:r>
        <w:rPr>
          <w:w w:val="99"/>
          <w:sz w:val="11"/>
        </w:rPr>
        <w:t>0</w:t>
      </w:r>
    </w:p>
    <w:p>
      <w:pPr>
        <w:tabs>
          <w:tab w:pos="1349" w:val="left" w:leader="none"/>
          <w:tab w:pos="2023" w:val="left" w:leader="none"/>
          <w:tab w:pos="2609" w:val="left" w:leader="none"/>
          <w:tab w:pos="3223" w:val="left" w:leader="none"/>
        </w:tabs>
        <w:spacing w:line="112" w:lineRule="exact" w:before="0"/>
        <w:ind w:left="623" w:right="0" w:firstLine="0"/>
        <w:jc w:val="left"/>
        <w:rPr>
          <w:sz w:val="11"/>
        </w:rPr>
      </w:pPr>
      <w:r>
        <w:rPr>
          <w:sz w:val="11"/>
        </w:rPr>
        <w:t>1994</w:t>
        <w:tab/>
        <w:t>95</w:t>
        <w:tab/>
        <w:t>96</w:t>
        <w:tab/>
        <w:t>97</w:t>
        <w:tab/>
        <w:t>98</w:t>
      </w:r>
    </w:p>
    <w:p>
      <w:pPr>
        <w:pStyle w:val="BodyText"/>
        <w:spacing w:before="10"/>
        <w:rPr>
          <w:sz w:val="9"/>
        </w:rPr>
      </w:pPr>
    </w:p>
    <w:p>
      <w:pPr>
        <w:spacing w:before="0"/>
        <w:ind w:left="170" w:right="0" w:firstLine="0"/>
        <w:jc w:val="left"/>
        <w:rPr>
          <w:sz w:val="12"/>
        </w:rPr>
      </w:pPr>
      <w:r>
        <w:rPr>
          <w:sz w:val="12"/>
        </w:rPr>
        <w:t>Source: Bank of England.</w:t>
      </w:r>
    </w:p>
    <w:p>
      <w:pPr>
        <w:pStyle w:val="Heading4"/>
        <w:spacing w:line="266" w:lineRule="exact"/>
      </w:pPr>
      <w:r>
        <w:rPr/>
        <w:br w:type="column"/>
      </w:r>
      <w:r>
        <w:rPr/>
        <w:t>fall in M4 velocity.</w:t>
      </w:r>
    </w:p>
    <w:p>
      <w:pPr>
        <w:pStyle w:val="BodyText"/>
        <w:spacing w:before="7"/>
        <w:rPr>
          <w:sz w:val="31"/>
        </w:rPr>
      </w:pPr>
    </w:p>
    <w:p>
      <w:pPr>
        <w:pStyle w:val="Heading5"/>
        <w:rPr>
          <w:i/>
        </w:rPr>
      </w:pPr>
      <w:r>
        <w:rPr>
          <w:i/>
          <w:color w:val="009483"/>
        </w:rPr>
        <w:t>Other financial corporations (OFCs)</w:t>
      </w:r>
    </w:p>
    <w:p>
      <w:pPr>
        <w:spacing w:line="242" w:lineRule="auto" w:before="164"/>
        <w:ind w:left="170" w:right="234" w:firstLine="0"/>
        <w:jc w:val="both"/>
        <w:rPr>
          <w:sz w:val="24"/>
        </w:rPr>
      </w:pPr>
      <w:r>
        <w:rPr>
          <w:sz w:val="24"/>
        </w:rPr>
        <w:t>At a sectoral level, the fall in M4 velocity since 1995 </w:t>
      </w:r>
      <w:r>
        <w:rPr>
          <w:spacing w:val="-6"/>
          <w:sz w:val="24"/>
        </w:rPr>
        <w:t>has </w:t>
      </w:r>
      <w:r>
        <w:rPr>
          <w:sz w:val="24"/>
        </w:rPr>
        <w:t>primarily been accounted for by higher deposits by other financial corporations (see </w:t>
      </w:r>
      <w:r>
        <w:rPr>
          <w:spacing w:val="-4"/>
          <w:sz w:val="24"/>
        </w:rPr>
        <w:t>Table </w:t>
      </w:r>
      <w:r>
        <w:rPr>
          <w:sz w:val="24"/>
        </w:rPr>
        <w:t>1.B). OFCs are</w:t>
      </w:r>
    </w:p>
    <w:p>
      <w:pPr>
        <w:spacing w:line="242" w:lineRule="auto" w:before="4"/>
        <w:ind w:left="170" w:right="0" w:firstLine="0"/>
        <w:jc w:val="left"/>
        <w:rPr>
          <w:sz w:val="24"/>
        </w:rPr>
      </w:pPr>
      <w:r>
        <w:rPr>
          <w:sz w:val="24"/>
        </w:rPr>
        <w:t>non-bank financial intermediaries, which specialise in buying and selling financial contracts and securities. As such, this category covers a wide range of institutions including securities and derivatives dealers; mutual, unit and investment funds; and institutional investors such as pension funds and insurance companies.</w:t>
      </w:r>
    </w:p>
    <w:p>
      <w:pPr>
        <w:pStyle w:val="BodyText"/>
        <w:spacing w:before="6"/>
        <w:rPr>
          <w:sz w:val="21"/>
        </w:rPr>
      </w:pPr>
    </w:p>
    <w:p>
      <w:pPr>
        <w:spacing w:line="242" w:lineRule="auto" w:before="0"/>
        <w:ind w:left="170" w:right="231" w:firstLine="0"/>
        <w:jc w:val="left"/>
        <w:rPr>
          <w:sz w:val="24"/>
        </w:rPr>
      </w:pPr>
      <w:r>
        <w:rPr>
          <w:sz w:val="24"/>
        </w:rPr>
        <w:t>The annual rate of growth in OFCs’ deposits has slowed during the past </w:t>
      </w:r>
      <w:r>
        <w:rPr>
          <w:spacing w:val="-3"/>
          <w:sz w:val="24"/>
        </w:rPr>
        <w:t>year. </w:t>
      </w:r>
      <w:r>
        <w:rPr>
          <w:sz w:val="24"/>
        </w:rPr>
        <w:t>But growth of 16.0% in the year to 1998 Q4 was still considerably stronger than the growth in either personal or corporate sector deposits. Annual growth in deposits held by non-bank financial intermediaries has averaged 22.3% since 1995, compared with growth of 6.6% and 6.5% in household and corporate deposits respectively. So although they hold only around one fifth of the stock of M4, OFCs </w:t>
      </w:r>
      <w:r>
        <w:rPr>
          <w:spacing w:val="-3"/>
          <w:sz w:val="24"/>
        </w:rPr>
        <w:t>have </w:t>
      </w:r>
      <w:r>
        <w:rPr>
          <w:sz w:val="24"/>
        </w:rPr>
        <w:t>accounted for 45% of the increase in aggregate broad money since 1995.  Chart 1.3 shows that excluding these deposits, the rise in broad money</w:t>
      </w:r>
      <w:r>
        <w:rPr>
          <w:spacing w:val="-14"/>
          <w:sz w:val="24"/>
        </w:rPr>
        <w:t> </w:t>
      </w:r>
      <w:r>
        <w:rPr>
          <w:sz w:val="24"/>
        </w:rPr>
        <w:t>growth since 1995 has been much less marked, and remained close to 6% during 1998. The velocity of M4 excluding other financial corporations has therefore also been </w:t>
      </w:r>
      <w:r>
        <w:rPr>
          <w:spacing w:val="-5"/>
          <w:sz w:val="24"/>
        </w:rPr>
        <w:t>more </w:t>
      </w:r>
      <w:r>
        <w:rPr>
          <w:sz w:val="24"/>
        </w:rPr>
        <w:t>stable since 1995 than aggregate M4 </w:t>
      </w:r>
      <w:r>
        <w:rPr>
          <w:spacing w:val="-3"/>
          <w:sz w:val="24"/>
        </w:rPr>
        <w:t>velocity.</w:t>
      </w:r>
    </w:p>
    <w:p>
      <w:pPr>
        <w:pStyle w:val="BodyText"/>
        <w:spacing w:before="7"/>
        <w:rPr>
          <w:sz w:val="22"/>
        </w:rPr>
      </w:pPr>
    </w:p>
    <w:p>
      <w:pPr>
        <w:spacing w:line="242" w:lineRule="auto" w:before="1"/>
        <w:ind w:left="170" w:right="290" w:firstLine="0"/>
        <w:jc w:val="left"/>
        <w:rPr>
          <w:sz w:val="24"/>
        </w:rPr>
      </w:pPr>
      <w:r>
        <w:rPr>
          <w:sz w:val="24"/>
        </w:rPr>
        <w:t>The implications of the behaviour of deposits held by non-bank financial intermediaries for activity and inflation are not straightforward. Their demand for money depends largely on portfolio considerations such as the relative rates of return in the money, equity and bond markets, and on assets such as physical capital or land, rather than on the demand for goods and services.</w:t>
      </w:r>
    </w:p>
    <w:p>
      <w:pPr>
        <w:spacing w:after="0" w:line="242" w:lineRule="auto"/>
        <w:jc w:val="left"/>
        <w:rPr>
          <w:sz w:val="24"/>
        </w:rPr>
        <w:sectPr>
          <w:type w:val="continuous"/>
          <w:pgSz w:w="11900" w:h="16840"/>
          <w:pgMar w:top="1220" w:bottom="280" w:left="640" w:right="600"/>
          <w:cols w:num="2" w:equalWidth="0">
            <w:col w:w="4102" w:space="688"/>
            <w:col w:w="5870"/>
          </w:cols>
        </w:sectPr>
      </w:pPr>
    </w:p>
    <w:p>
      <w:pPr>
        <w:pStyle w:val="BodyText"/>
        <w:rPr>
          <w:sz w:val="20"/>
        </w:rPr>
      </w:pPr>
    </w:p>
    <w:p>
      <w:pPr>
        <w:spacing w:after="0"/>
        <w:rPr>
          <w:sz w:val="20"/>
        </w:rPr>
        <w:sectPr>
          <w:footerReference w:type="default" r:id="rId16"/>
          <w:footerReference w:type="even" r:id="rId17"/>
          <w:pgSz w:w="11900" w:h="16840"/>
          <w:pgMar w:footer="617" w:header="586" w:top="780" w:bottom="800" w:left="640" w:right="600"/>
          <w:pgNumType w:start="5"/>
        </w:sectPr>
      </w:pPr>
    </w:p>
    <w:p>
      <w:pPr>
        <w:pStyle w:val="BodyText"/>
        <w:spacing w:before="3"/>
        <w:rPr>
          <w:sz w:val="22"/>
        </w:rPr>
      </w:pPr>
    </w:p>
    <w:p>
      <w:pPr>
        <w:pStyle w:val="Heading7"/>
        <w:spacing w:before="0"/>
        <w:ind w:left="160"/>
      </w:pPr>
      <w:bookmarkStart w:name="Household sector" w:id="10"/>
      <w:bookmarkEnd w:id="10"/>
      <w:r>
        <w:rPr>
          <w:b w:val="0"/>
        </w:rPr>
      </w:r>
      <w:bookmarkStart w:name="Private non-financial corporations" w:id="11"/>
      <w:bookmarkEnd w:id="11"/>
      <w:r>
        <w:rPr>
          <w:b w:val="0"/>
        </w:rPr>
      </w:r>
      <w:bookmarkStart w:name="Credit" w:id="12"/>
      <w:bookmarkEnd w:id="12"/>
      <w:r>
        <w:rPr>
          <w:b w:val="0"/>
        </w:rPr>
      </w:r>
      <w:bookmarkStart w:name="_bookmark3" w:id="13"/>
      <w:bookmarkEnd w:id="13"/>
      <w:r>
        <w:rPr>
          <w:b w:val="0"/>
        </w:rPr>
      </w:r>
      <w:r>
        <w:rPr>
          <w:color w:val="0093C1"/>
        </w:rPr>
        <w:t>Chart 1.4</w:t>
      </w:r>
    </w:p>
    <w:p>
      <w:pPr>
        <w:spacing w:before="10"/>
        <w:ind w:left="160" w:right="0" w:firstLine="0"/>
        <w:jc w:val="left"/>
        <w:rPr>
          <w:sz w:val="12"/>
        </w:rPr>
      </w:pPr>
      <w:r>
        <w:rPr>
          <w:b/>
          <w:color w:val="0093C1"/>
          <w:sz w:val="20"/>
        </w:rPr>
        <w:t>OFCs’ M4 deposits and lending</w:t>
      </w:r>
      <w:r>
        <w:rPr>
          <w:position w:val="4"/>
          <w:sz w:val="12"/>
        </w:rPr>
        <w:t>(a)</w:t>
      </w:r>
    </w:p>
    <w:p>
      <w:pPr>
        <w:spacing w:before="52"/>
        <w:ind w:left="1833" w:right="0" w:firstLine="0"/>
        <w:jc w:val="left"/>
        <w:rPr>
          <w:sz w:val="12"/>
        </w:rPr>
      </w:pPr>
      <w:r>
        <w:rPr/>
        <w:pict>
          <v:group style="position:absolute;margin-left:44.5pt;margin-top:14.868555pt;width:169.05pt;height:131pt;mso-position-horizontal-relative:page;mso-position-vertical-relative:paragraph;z-index:15751680" coordorigin="890,297" coordsize="3381,2620">
            <v:line style="position:absolute" from="1033,2464" to="4060,2464" stroked="true" strokeweight=".5pt" strokecolor="#231f20">
              <v:stroke dashstyle="solid"/>
            </v:line>
            <v:shape style="position:absolute;left:890;top:587;width:3320;height:2260" coordorigin="890,587" coordsize="3320,2260" path="m990,2467l890,2467m4210,2467l4110,2467m990,2847l890,2847m990,2087l890,2087m990,1707l890,1707m990,1327l890,1327m990,967l890,967m990,587l890,587m4210,2847l4110,2847m4210,2087l4110,2087m4210,1707l4110,1707m4210,1327l4110,1327m4210,967l4110,967m4210,587l4110,587e" filled="false" stroked="true" strokeweight=".5pt" strokecolor="#000000">
              <v:path arrowok="t"/>
              <v:stroke dashstyle="solid"/>
            </v:shape>
            <v:shape style="position:absolute;left:1050;top:307;width:3000;height:2600" coordorigin="1050,307" coordsize="3000,2600" path="m1050,2467l1090,1667,1110,1987,1150,2907,1170,2307,1210,2647,1250,2387,1270,1967,1310,2487,1330,1907,1370,1887,1390,1787,1430,907,1470,1647,1490,1867,1530,1667,1550,2247,1590,2147,1610,2207,1650,2487,1690,2307,1710,2107,1750,1987,1770,2047,1810,2267,1850,2267,1870,1947,1910,1247,1930,927,1970,987,1990,1107,2030,1527,2070,1387,2090,1247,2130,1487,2150,1547,2190,1687,2230,1507,2250,1267,2290,1027,2310,1067,2350,1287,2370,1327,2410,1427,2510,1527,2530,1327,2570,647,2610,567,2630,307,2670,447,2690,1127,2730,1187,2770,1347,2790,1487,2830,1387,2850,1327,2890,1327,2930,1287,2950,1207,2990,1267,3010,1527,3050,1667,3070,2067,3110,2407,3150,2487,3170,2567,3210,2527,3230,2407,3270,2327,3290,2427,3330,2387,3370,2427,3390,2407,3430,2207,3450,2147,3490,2067,3530,2167,3550,2167,3590,2027,3610,1867,3650,1687,3670,1567,3710,1587,3750,1667,3770,1567,3810,1587,3830,1467,3870,1407,3890,1467,3930,1427,3970,1527,3990,1587,4030,1647,4050,1867e" filled="false" stroked="true" strokeweight="1pt" strokecolor="#df6f1d">
              <v:path arrowok="t"/>
              <v:stroke dashstyle="solid"/>
            </v:shape>
            <v:shape style="position:absolute;left:1050;top:867;width:3000;height:1700" coordorigin="1050,867" coordsize="3000,1700" path="m1050,2447l1090,2567,1110,2547,1150,2547,1170,2407,1210,2507,1250,2507,1270,1967,1310,2147,1330,2007,1370,1907,1390,2107,1430,1787,1470,1547,1490,1467,1530,1367,1550,1307,1590,1227,1610,1087,1650,887,1690,967,1750,1267,1770,1587,1810,1607,1850,1707,1870,1747,1910,1587,1930,1707,1970,1747,1990,1647,2030,1667,2070,1647,2090,1547,2130,1467,2150,1627,2190,1567,2230,1727,2250,1867,2290,1747,2310,1627,2350,1527,2370,1607,2450,1687,2470,1587,2510,1267,2530,1007,2570,967,2610,867,2630,1007,2690,1487,2730,1627,2770,1627,2790,1507,2830,1407,2850,1447,2890,1467,2930,1467,2950,1447,2990,1467,3010,1587,3050,1727,3070,1887,3110,2007,3150,2087,3210,2267,3230,2207,3270,2247,3290,2307,3330,2167,3370,2247,3390,2147,3430,2067,3450,2227,3490,2187,3530,2167,3550,2067,3590,1947,3610,1907,3650,1887,3670,1907,3710,1887,3750,1887,3770,1907,3810,2007,3830,1827,3870,1687,3890,1747,3930,1587,3970,1807,3990,1947,4030,1867,4050,2107e" filled="false" stroked="true" strokeweight="1pt" strokecolor="#009483">
              <v:path arrowok="t"/>
              <v:stroke dashstyle="solid"/>
            </v:shape>
            <v:shape style="position:absolute;left:3620;top:1270;width:440;height:133" type="#_x0000_t202" filled="false" stroked="false">
              <v:textbox inset="0,0,0,0">
                <w:txbxContent>
                  <w:p>
                    <w:pPr>
                      <w:spacing w:line="133" w:lineRule="exact" w:before="0"/>
                      <w:ind w:left="0" w:right="0" w:firstLine="0"/>
                      <w:jc w:val="left"/>
                      <w:rPr>
                        <w:sz w:val="12"/>
                      </w:rPr>
                    </w:pPr>
                    <w:r>
                      <w:rPr>
                        <w:sz w:val="12"/>
                      </w:rPr>
                      <w:t>Deposits</w:t>
                    </w:r>
                  </w:p>
                </w:txbxContent>
              </v:textbox>
              <w10:wrap type="none"/>
            </v:shape>
            <v:shape style="position:absolute;left:2113;top:1857;width:420;height:133" type="#_x0000_t202" filled="false" stroked="false">
              <v:textbox inset="0,0,0,0">
                <w:txbxContent>
                  <w:p>
                    <w:pPr>
                      <w:spacing w:line="133" w:lineRule="exact" w:before="0"/>
                      <w:ind w:left="0" w:right="0" w:firstLine="0"/>
                      <w:jc w:val="left"/>
                      <w:rPr>
                        <w:sz w:val="12"/>
                      </w:rPr>
                    </w:pPr>
                    <w:r>
                      <w:rPr>
                        <w:sz w:val="12"/>
                      </w:rPr>
                      <w:t>Lending</w:t>
                    </w:r>
                  </w:p>
                </w:txbxContent>
              </v:textbox>
              <w10:wrap type="none"/>
            </v:shape>
            <v:shape style="position:absolute;left:4160;top:2174;width:111;height:478" type="#_x0000_t202" filled="false" stroked="false">
              <v:textbox inset="0,0,0,0">
                <w:txbxContent>
                  <w:p>
                    <w:pPr>
                      <w:spacing w:line="177" w:lineRule="exact" w:before="0"/>
                      <w:ind w:left="0" w:right="0" w:firstLine="0"/>
                      <w:jc w:val="left"/>
                      <w:rPr>
                        <w:sz w:val="16"/>
                      </w:rPr>
                    </w:pPr>
                    <w:r>
                      <w:rPr>
                        <w:sz w:val="16"/>
                      </w:rPr>
                      <w:t>+</w:t>
                    </w:r>
                  </w:p>
                  <w:p>
                    <w:pPr>
                      <w:spacing w:before="116"/>
                      <w:ind w:left="10" w:right="0" w:firstLine="0"/>
                      <w:jc w:val="left"/>
                      <w:rPr>
                        <w:sz w:val="16"/>
                      </w:rPr>
                    </w:pPr>
                    <w:r>
                      <w:rPr>
                        <w:sz w:val="16"/>
                      </w:rPr>
                      <w:t>_</w:t>
                    </w:r>
                  </w:p>
                </w:txbxContent>
              </v:textbox>
              <w10:wrap type="none"/>
            </v:shape>
            <w10:wrap type="none"/>
          </v:group>
        </w:pict>
      </w:r>
      <w:r>
        <w:rPr/>
        <w:pict>
          <v:line style="position:absolute;mso-position-horizontal-relative:page;mso-position-vertical-relative:paragraph;z-index:15752704" from="49.5pt,10.368555pt" to="44.5pt,10.368555pt" stroked="true" strokeweight=".5pt" strokecolor="#000000">
            <v:stroke dashstyle="solid"/>
            <w10:wrap type="none"/>
          </v:line>
        </w:pict>
      </w:r>
      <w:r>
        <w:rPr>
          <w:sz w:val="12"/>
        </w:rPr>
        <w:t>Percentage changes on a year earl</w:t>
      </w:r>
      <w:r>
        <w:rPr>
          <w:sz w:val="12"/>
          <w:u w:val="single"/>
        </w:rPr>
        <w:t>ie</w:t>
      </w:r>
      <w:r>
        <w:rPr>
          <w:sz w:val="12"/>
        </w:rPr>
        <w:t>r</w:t>
      </w:r>
      <w:r>
        <w:rPr>
          <w:spacing w:val="17"/>
          <w:sz w:val="12"/>
        </w:rPr>
        <w:t> </w:t>
      </w:r>
      <w:r>
        <w:rPr>
          <w:position w:val="-8"/>
          <w:sz w:val="12"/>
        </w:rPr>
        <w:t>60</w:t>
      </w:r>
    </w:p>
    <w:p>
      <w:pPr>
        <w:pStyle w:val="BodyText"/>
        <w:spacing w:before="7"/>
        <w:rPr>
          <w:sz w:val="19"/>
        </w:rPr>
      </w:pPr>
    </w:p>
    <w:p>
      <w:pPr>
        <w:spacing w:before="0"/>
        <w:ind w:left="0" w:right="38" w:firstLine="0"/>
        <w:jc w:val="right"/>
        <w:rPr>
          <w:sz w:val="12"/>
        </w:rPr>
      </w:pPr>
      <w:r>
        <w:rPr>
          <w:sz w:val="12"/>
        </w:rPr>
        <w:t>50</w:t>
      </w:r>
    </w:p>
    <w:p>
      <w:pPr>
        <w:pStyle w:val="BodyText"/>
        <w:rPr>
          <w:sz w:val="12"/>
        </w:rPr>
      </w:pPr>
    </w:p>
    <w:p>
      <w:pPr>
        <w:pStyle w:val="BodyText"/>
        <w:spacing w:before="7"/>
        <w:rPr>
          <w:sz w:val="9"/>
        </w:rPr>
      </w:pPr>
    </w:p>
    <w:p>
      <w:pPr>
        <w:spacing w:before="0"/>
        <w:ind w:left="0" w:right="38" w:firstLine="0"/>
        <w:jc w:val="right"/>
        <w:rPr>
          <w:sz w:val="12"/>
        </w:rPr>
      </w:pPr>
      <w:r>
        <w:rPr>
          <w:sz w:val="12"/>
        </w:rPr>
        <w:t>40</w:t>
      </w:r>
    </w:p>
    <w:p>
      <w:pPr>
        <w:pStyle w:val="BodyText"/>
        <w:rPr>
          <w:sz w:val="12"/>
        </w:rPr>
      </w:pPr>
    </w:p>
    <w:p>
      <w:pPr>
        <w:spacing w:before="77"/>
        <w:ind w:left="0" w:right="38" w:firstLine="0"/>
        <w:jc w:val="right"/>
        <w:rPr>
          <w:sz w:val="12"/>
        </w:rPr>
      </w:pPr>
      <w:r>
        <w:rPr>
          <w:sz w:val="12"/>
        </w:rPr>
        <w:t>30</w:t>
      </w:r>
    </w:p>
    <w:p>
      <w:pPr>
        <w:pStyle w:val="BodyText"/>
        <w:rPr>
          <w:sz w:val="12"/>
        </w:rPr>
      </w:pPr>
    </w:p>
    <w:p>
      <w:pPr>
        <w:pStyle w:val="BodyText"/>
        <w:spacing w:before="7"/>
        <w:rPr>
          <w:sz w:val="9"/>
        </w:rPr>
      </w:pPr>
    </w:p>
    <w:p>
      <w:pPr>
        <w:spacing w:before="1"/>
        <w:ind w:left="0" w:right="38" w:firstLine="0"/>
        <w:jc w:val="right"/>
        <w:rPr>
          <w:sz w:val="12"/>
        </w:rPr>
      </w:pPr>
      <w:r>
        <w:rPr>
          <w:sz w:val="12"/>
        </w:rPr>
        <w:t>20</w:t>
      </w:r>
    </w:p>
    <w:p>
      <w:pPr>
        <w:pStyle w:val="BodyText"/>
        <w:rPr>
          <w:sz w:val="12"/>
        </w:rPr>
      </w:pPr>
    </w:p>
    <w:p>
      <w:pPr>
        <w:spacing w:before="97"/>
        <w:ind w:left="0" w:right="38" w:firstLine="0"/>
        <w:jc w:val="right"/>
        <w:rPr>
          <w:sz w:val="12"/>
        </w:rPr>
      </w:pPr>
      <w:r>
        <w:rPr>
          <w:sz w:val="12"/>
        </w:rPr>
        <w:t>10</w:t>
      </w:r>
    </w:p>
    <w:p>
      <w:pPr>
        <w:pStyle w:val="BodyText"/>
        <w:rPr>
          <w:sz w:val="12"/>
        </w:rPr>
      </w:pPr>
    </w:p>
    <w:p>
      <w:pPr>
        <w:pStyle w:val="BodyText"/>
        <w:spacing w:before="7"/>
        <w:rPr>
          <w:sz w:val="9"/>
        </w:rPr>
      </w:pPr>
    </w:p>
    <w:p>
      <w:pPr>
        <w:spacing w:before="0"/>
        <w:ind w:left="0" w:right="38" w:firstLine="0"/>
        <w:jc w:val="right"/>
        <w:rPr>
          <w:sz w:val="12"/>
        </w:rPr>
      </w:pPr>
      <w:r>
        <w:rPr>
          <w:sz w:val="12"/>
        </w:rPr>
        <w:t>0</w:t>
      </w:r>
    </w:p>
    <w:p>
      <w:pPr>
        <w:pStyle w:val="BodyText"/>
        <w:rPr>
          <w:sz w:val="12"/>
        </w:rPr>
      </w:pPr>
    </w:p>
    <w:p>
      <w:pPr>
        <w:spacing w:before="98"/>
        <w:ind w:left="0" w:right="38" w:firstLine="0"/>
        <w:jc w:val="right"/>
        <w:rPr>
          <w:sz w:val="12"/>
        </w:rPr>
      </w:pPr>
      <w:r>
        <w:rPr>
          <w:sz w:val="12"/>
        </w:rPr>
        <w:t>10</w:t>
      </w:r>
    </w:p>
    <w:p>
      <w:pPr>
        <w:pStyle w:val="BodyText"/>
        <w:rPr>
          <w:sz w:val="12"/>
        </w:rPr>
      </w:pPr>
    </w:p>
    <w:p>
      <w:pPr>
        <w:tabs>
          <w:tab w:pos="986" w:val="left" w:leader="none"/>
          <w:tab w:pos="1626" w:val="left" w:leader="none"/>
          <w:tab w:pos="2266" w:val="left" w:leader="none"/>
          <w:tab w:pos="2899" w:val="left" w:leader="none"/>
          <w:tab w:pos="3629" w:val="left" w:leader="none"/>
        </w:tabs>
        <w:spacing w:before="100"/>
        <w:ind w:left="313" w:right="0" w:firstLine="0"/>
        <w:jc w:val="left"/>
        <w:rPr>
          <w:sz w:val="12"/>
        </w:rPr>
      </w:pPr>
      <w:r>
        <w:rPr/>
        <w:pict>
          <v:shape style="position:absolute;margin-left:44.5pt;margin-top:3.434944pt;width:166pt;height:4.850pt;mso-position-horizontal-relative:page;mso-position-vertical-relative:paragraph;z-index:-21265920" coordorigin="890,69" coordsize="3320,97" path="m2950,165l2950,69m3590,165l3590,69m2310,165l2310,69m1670,165l1670,69m1050,165l1050,69m990,165l890,165m4210,165l4110,165m1050,165l4050,165m1174,165l1174,115m1298,165l1298,115m1422,165l1422,115m1546,165l1546,115m1798,165l1798,115m1926,165l1926,115m2054,165l2054,115m2182,165l2182,115m2438,165l2438,115m2566,165l2566,115m2694,165l2694,115m2822,165l2822,115m3078,165l3078,115m3206,165l3206,115m3334,165l3334,115m3462,165l3462,115m3717,165l3717,115m3843,165l3843,115m3970,165l3970,115e" filled="false" stroked="true" strokeweight=".5pt" strokecolor="#000000">
            <v:path arrowok="t"/>
            <v:stroke dashstyle="solid"/>
            <w10:wrap type="none"/>
          </v:shape>
        </w:pict>
      </w:r>
      <w:r>
        <w:rPr>
          <w:sz w:val="12"/>
        </w:rPr>
        <w:t>1975</w:t>
        <w:tab/>
        <w:t>80</w:t>
        <w:tab/>
        <w:t>85</w:t>
        <w:tab/>
        <w:t>90</w:t>
        <w:tab/>
        <w:t>95</w:t>
        <w:tab/>
      </w:r>
      <w:r>
        <w:rPr>
          <w:position w:val="7"/>
          <w:sz w:val="12"/>
        </w:rPr>
        <w:t>20</w:t>
      </w:r>
    </w:p>
    <w:p>
      <w:pPr>
        <w:spacing w:before="79"/>
        <w:ind w:left="145" w:right="0" w:firstLine="0"/>
        <w:jc w:val="left"/>
        <w:rPr>
          <w:sz w:val="12"/>
        </w:rPr>
      </w:pPr>
      <w:r>
        <w:rPr>
          <w:sz w:val="12"/>
        </w:rPr>
        <w:t>Source: Bank of England.</w:t>
      </w:r>
    </w:p>
    <w:p>
      <w:pPr>
        <w:spacing w:before="102"/>
        <w:ind w:left="145" w:right="0" w:firstLine="0"/>
        <w:jc w:val="left"/>
        <w:rPr>
          <w:sz w:val="12"/>
        </w:rPr>
      </w:pPr>
      <w:r>
        <w:rPr>
          <w:sz w:val="12"/>
        </w:rPr>
        <w:t>(a) Excluding the effects of securitisations and other loan transfers.</w:t>
      </w:r>
    </w:p>
    <w:p>
      <w:pPr>
        <w:pStyle w:val="Heading4"/>
        <w:spacing w:line="242" w:lineRule="auto" w:before="207"/>
        <w:ind w:left="145" w:right="227"/>
      </w:pPr>
      <w:r>
        <w:rPr/>
        <w:br w:type="column"/>
      </w:r>
      <w:r>
        <w:rPr/>
        <w:t>Previous </w:t>
      </w:r>
      <w:r>
        <w:rPr>
          <w:i/>
        </w:rPr>
        <w:t>Reports </w:t>
      </w:r>
      <w:r>
        <w:rPr>
          <w:spacing w:val="-3"/>
        </w:rPr>
        <w:t>have </w:t>
      </w:r>
      <w:r>
        <w:rPr/>
        <w:t>highlighted the upside risk to consumption if these balances were run down through purchases of financial assets. But changes in other financial corporations’ M4 deposits </w:t>
      </w:r>
      <w:r>
        <w:rPr>
          <w:spacing w:val="-3"/>
        </w:rPr>
        <w:t>have </w:t>
      </w:r>
      <w:r>
        <w:rPr/>
        <w:t>been closely correlated with changes in their borrowing since 1990 (see Chart 1.4). And there was a corresponding slowdown in borrowing by non-bank financial institutions in 1998 Q4 (see Section 1.2). According to the latest Merrill Lynch-Gallup </w:t>
      </w:r>
      <w:r>
        <w:rPr>
          <w:spacing w:val="-4"/>
        </w:rPr>
        <w:t>survey, </w:t>
      </w:r>
      <w:r>
        <w:rPr/>
        <w:t>UK fund managers planned to reduce the proportion of their holdings in cash in January for the fifth successive month; and the share of M4 in pension fund assets fell </w:t>
      </w:r>
      <w:r>
        <w:rPr>
          <w:spacing w:val="-9"/>
        </w:rPr>
        <w:t>to </w:t>
      </w:r>
      <w:r>
        <w:rPr/>
        <w:t>5.3% in January from 6.4% in </w:t>
      </w:r>
      <w:r>
        <w:rPr>
          <w:spacing w:val="-3"/>
        </w:rPr>
        <w:t>November. </w:t>
      </w:r>
      <w:r>
        <w:rPr/>
        <w:t>If OFCs’ M4 growth continues to decline, that could stabilise M4 </w:t>
      </w:r>
      <w:r>
        <w:rPr>
          <w:spacing w:val="-3"/>
        </w:rPr>
        <w:t>velocity.</w:t>
      </w:r>
    </w:p>
    <w:p>
      <w:pPr>
        <w:pStyle w:val="BodyText"/>
        <w:spacing w:before="8"/>
        <w:rPr>
          <w:sz w:val="27"/>
        </w:rPr>
      </w:pPr>
    </w:p>
    <w:p>
      <w:pPr>
        <w:pStyle w:val="Heading5"/>
        <w:spacing w:before="1"/>
        <w:ind w:left="145"/>
        <w:rPr>
          <w:i/>
        </w:rPr>
      </w:pPr>
      <w:r>
        <w:rPr>
          <w:i/>
          <w:color w:val="009483"/>
        </w:rPr>
        <w:t>Household sector</w:t>
      </w:r>
    </w:p>
    <w:p>
      <w:pPr>
        <w:spacing w:line="242" w:lineRule="auto" w:before="184"/>
        <w:ind w:left="145" w:right="246" w:firstLine="0"/>
        <w:jc w:val="left"/>
        <w:rPr>
          <w:sz w:val="24"/>
        </w:rPr>
      </w:pPr>
      <w:r>
        <w:rPr>
          <w:sz w:val="24"/>
        </w:rPr>
        <w:t>Households’ M4 deposit growth had been on a downward trend since 1997 Q4.  But it picked up in 1998 Q4, and was 6.4% higher than a year earlier, compared with a rise of 6.0% in the previous quarter. One possibility is that the rise in households’ M4 </w:t>
      </w:r>
      <w:r>
        <w:rPr>
          <w:spacing w:val="-3"/>
          <w:sz w:val="24"/>
        </w:rPr>
        <w:t>deposit </w:t>
      </w:r>
      <w:r>
        <w:rPr>
          <w:sz w:val="24"/>
        </w:rPr>
        <w:t>growth reflected a rise in precautionary saving, which would be consistent with the slowdown in consumer spending.</w:t>
      </w:r>
    </w:p>
    <w:p>
      <w:pPr>
        <w:pStyle w:val="BodyText"/>
        <w:spacing w:before="11"/>
        <w:rPr>
          <w:sz w:val="26"/>
        </w:rPr>
      </w:pPr>
    </w:p>
    <w:p>
      <w:pPr>
        <w:spacing w:before="0"/>
        <w:ind w:left="145" w:right="0" w:firstLine="0"/>
        <w:jc w:val="left"/>
        <w:rPr>
          <w:i/>
          <w:sz w:val="24"/>
        </w:rPr>
      </w:pPr>
      <w:r>
        <w:rPr>
          <w:i/>
          <w:color w:val="009483"/>
          <w:sz w:val="24"/>
        </w:rPr>
        <w:t>Private non-financial corporations (P</w:t>
      </w:r>
      <w:r>
        <w:rPr>
          <w:i/>
          <w:color w:val="009483"/>
          <w:sz w:val="20"/>
        </w:rPr>
        <w:t>NFC</w:t>
      </w:r>
      <w:r>
        <w:rPr>
          <w:i/>
          <w:color w:val="009483"/>
          <w:sz w:val="24"/>
        </w:rPr>
        <w:t>s)</w:t>
      </w:r>
    </w:p>
    <w:p>
      <w:pPr>
        <w:spacing w:line="242" w:lineRule="auto" w:before="164"/>
        <w:ind w:left="145" w:right="227" w:firstLine="0"/>
        <w:jc w:val="left"/>
        <w:rPr>
          <w:sz w:val="24"/>
        </w:rPr>
      </w:pPr>
      <w:r>
        <w:rPr>
          <w:sz w:val="24"/>
        </w:rPr>
        <w:t>Corporate M4 deposits fell by 0.2% in 1998 Q4, and were only 3.5% higher than a year earlier. Lower corporate deposit growth could be consistent with the slowdown in nominal demand and a reduction in cashflo</w:t>
      </w:r>
      <w:hyperlink w:history="true" w:anchor="_bookmark11">
        <w:r>
          <w:rPr>
            <w:sz w:val="24"/>
          </w:rPr>
          <w:t>w (see Section 2).</w:t>
        </w:r>
      </w:hyperlink>
    </w:p>
    <w:p>
      <w:pPr>
        <w:spacing w:after="0" w:line="242" w:lineRule="auto"/>
        <w:jc w:val="left"/>
        <w:rPr>
          <w:sz w:val="24"/>
        </w:rPr>
        <w:sectPr>
          <w:type w:val="continuous"/>
          <w:pgSz w:w="11900" w:h="16840"/>
          <w:pgMar w:top="1220" w:bottom="280" w:left="640" w:right="600"/>
          <w:cols w:num="2" w:equalWidth="0">
            <w:col w:w="3791" w:space="1004"/>
            <w:col w:w="5865"/>
          </w:cols>
        </w:sectPr>
      </w:pPr>
    </w:p>
    <w:p>
      <w:pPr>
        <w:pStyle w:val="BodyText"/>
        <w:spacing w:before="10"/>
        <w:rPr>
          <w:sz w:val="20"/>
        </w:rPr>
      </w:pPr>
    </w:p>
    <w:p>
      <w:pPr>
        <w:pStyle w:val="ListParagraph"/>
        <w:numPr>
          <w:ilvl w:val="1"/>
          <w:numId w:val="4"/>
        </w:numPr>
        <w:tabs>
          <w:tab w:pos="9447" w:val="left" w:leader="none"/>
          <w:tab w:pos="9448" w:val="left" w:leader="none"/>
          <w:tab w:pos="10459" w:val="left" w:leader="none"/>
        </w:tabs>
        <w:spacing w:line="240" w:lineRule="auto" w:before="89" w:after="0"/>
        <w:ind w:left="9447" w:right="0" w:hanging="4508"/>
        <w:jc w:val="left"/>
        <w:rPr>
          <w:b/>
          <w:sz w:val="28"/>
        </w:rPr>
      </w:pPr>
      <w:r>
        <w:rPr>
          <w:b/>
          <w:color w:val="009483"/>
          <w:sz w:val="28"/>
          <w:u w:val="thick" w:color="0093C1"/>
        </w:rPr>
        <w:t>Credit</w:t>
        <w:tab/>
      </w:r>
    </w:p>
    <w:p>
      <w:pPr>
        <w:spacing w:line="242" w:lineRule="auto" w:before="263"/>
        <w:ind w:left="4940" w:right="207" w:firstLine="0"/>
        <w:jc w:val="left"/>
        <w:rPr>
          <w:sz w:val="24"/>
        </w:rPr>
      </w:pPr>
      <w:r>
        <w:rPr>
          <w:sz w:val="24"/>
        </w:rPr>
        <w:t>Annual growth in bank and building society lending to the rest of the private sector (M4 lending) has slowed in the past year, from 9.0% in 1997 Q4 to 7.6% in 1998 Q4 (see Table 1.A).</w:t>
      </w:r>
    </w:p>
    <w:p>
      <w:pPr>
        <w:pStyle w:val="BodyText"/>
        <w:spacing w:before="9"/>
        <w:rPr>
          <w:sz w:val="24"/>
        </w:rPr>
      </w:pPr>
    </w:p>
    <w:p>
      <w:pPr>
        <w:spacing w:line="242" w:lineRule="auto" w:before="1"/>
        <w:ind w:left="4940" w:right="194" w:firstLine="0"/>
        <w:jc w:val="left"/>
        <w:rPr>
          <w:sz w:val="24"/>
        </w:rPr>
      </w:pPr>
      <w:r>
        <w:rPr>
          <w:sz w:val="24"/>
        </w:rPr>
        <w:t>Concerns about a possible sharp restriction in the amount and/or increase in the price of credit, following the financial turbulence in the autumn, have eased further.</w:t>
      </w:r>
    </w:p>
    <w:p>
      <w:pPr>
        <w:spacing w:line="242" w:lineRule="auto" w:before="3"/>
        <w:ind w:left="4940" w:right="288" w:firstLine="0"/>
        <w:jc w:val="left"/>
        <w:rPr>
          <w:sz w:val="24"/>
        </w:rPr>
      </w:pPr>
      <w:r>
        <w:rPr>
          <w:sz w:val="24"/>
        </w:rPr>
        <w:t>The devaluation of the Brazilian real had a significant impact on emerging market debt spreads. But there was little impact on credit spreads in the major industrialised economies, which remain above their levels at the beginning of 1998, but have fallen since October. Bank estimates of the real yields on corporate debt for all but the lower credit-rated companies have fallen back to</w:t>
      </w:r>
    </w:p>
    <w:p>
      <w:pPr>
        <w:spacing w:after="0" w:line="242" w:lineRule="auto"/>
        <w:jc w:val="left"/>
        <w:rPr>
          <w:sz w:val="24"/>
        </w:rPr>
        <w:sectPr>
          <w:type w:val="continuous"/>
          <w:pgSz w:w="11900" w:h="16840"/>
          <w:pgMar w:top="1220" w:bottom="280" w:left="640" w:right="600"/>
        </w:sectPr>
      </w:pPr>
    </w:p>
    <w:p>
      <w:pPr>
        <w:pStyle w:val="BodyText"/>
        <w:rPr>
          <w:sz w:val="20"/>
        </w:rPr>
      </w:pPr>
    </w:p>
    <w:p>
      <w:pPr>
        <w:spacing w:after="0"/>
        <w:rPr>
          <w:sz w:val="20"/>
        </w:rPr>
        <w:sectPr>
          <w:pgSz w:w="11900" w:h="16840"/>
          <w:pgMar w:header="586" w:footer="597" w:top="780" w:bottom="780" w:left="640" w:right="600"/>
        </w:sectPr>
      </w:pPr>
    </w:p>
    <w:p>
      <w:pPr>
        <w:pStyle w:val="BodyText"/>
        <w:spacing w:before="1"/>
        <w:rPr>
          <w:sz w:val="20"/>
        </w:rPr>
      </w:pPr>
    </w:p>
    <w:p>
      <w:pPr>
        <w:pStyle w:val="Heading7"/>
        <w:spacing w:before="0"/>
        <w:ind w:left="210"/>
      </w:pPr>
      <w:bookmarkStart w:name="Other financial corporations" w:id="14"/>
      <w:bookmarkEnd w:id="14"/>
      <w:r>
        <w:rPr>
          <w:b w:val="0"/>
        </w:rPr>
      </w:r>
      <w:bookmarkStart w:name="Private non-financial corporations" w:id="15"/>
      <w:bookmarkEnd w:id="15"/>
      <w:r>
        <w:rPr>
          <w:b w:val="0"/>
        </w:rPr>
      </w:r>
      <w:bookmarkStart w:name="Household sector" w:id="16"/>
      <w:bookmarkEnd w:id="16"/>
      <w:r>
        <w:rPr>
          <w:b w:val="0"/>
        </w:rPr>
      </w:r>
      <w:bookmarkStart w:name="_bookmark4" w:id="17"/>
      <w:bookmarkEnd w:id="17"/>
      <w:r>
        <w:rPr>
          <w:b w:val="0"/>
        </w:rPr>
      </w:r>
      <w:r>
        <w:rPr>
          <w:color w:val="0093C1"/>
        </w:rPr>
        <w:t>Chart 1.5</w:t>
      </w:r>
    </w:p>
    <w:p>
      <w:pPr>
        <w:spacing w:line="249" w:lineRule="auto" w:before="10"/>
        <w:ind w:left="209" w:right="0" w:firstLine="0"/>
        <w:jc w:val="left"/>
        <w:rPr>
          <w:b/>
          <w:sz w:val="20"/>
        </w:rPr>
      </w:pPr>
      <w:r>
        <w:rPr>
          <w:b/>
          <w:color w:val="0093C1"/>
          <w:sz w:val="20"/>
        </w:rPr>
        <w:t>Average real yields</w:t>
      </w:r>
      <w:r>
        <w:rPr>
          <w:position w:val="4"/>
          <w:sz w:val="12"/>
        </w:rPr>
        <w:t>(a) </w:t>
      </w:r>
      <w:r>
        <w:rPr>
          <w:b/>
          <w:color w:val="0093C1"/>
          <w:sz w:val="20"/>
        </w:rPr>
        <w:t>for UK corporate bonds issued in sterling</w:t>
      </w:r>
    </w:p>
    <w:p>
      <w:pPr>
        <w:spacing w:line="242" w:lineRule="auto" w:before="207"/>
        <w:ind w:left="210" w:right="701" w:firstLine="0"/>
        <w:jc w:val="left"/>
        <w:rPr>
          <w:sz w:val="24"/>
        </w:rPr>
      </w:pPr>
      <w:r>
        <w:rPr/>
        <w:br w:type="column"/>
      </w:r>
      <w:r>
        <w:rPr>
          <w:sz w:val="24"/>
        </w:rPr>
        <w:t>levels well below those at the end of 1997 (see Chart 1.5).</w:t>
      </w:r>
    </w:p>
    <w:p>
      <w:pPr>
        <w:spacing w:after="0" w:line="242" w:lineRule="auto"/>
        <w:jc w:val="left"/>
        <w:rPr>
          <w:sz w:val="24"/>
        </w:rPr>
        <w:sectPr>
          <w:type w:val="continuous"/>
          <w:pgSz w:w="11900" w:h="16840"/>
          <w:pgMar w:top="1220" w:bottom="280" w:left="640" w:right="600"/>
          <w:cols w:num="2" w:equalWidth="0">
            <w:col w:w="4116" w:space="634"/>
            <w:col w:w="5910"/>
          </w:cols>
        </w:sectPr>
      </w:pPr>
    </w:p>
    <w:p>
      <w:pPr>
        <w:spacing w:before="60"/>
        <w:ind w:left="0" w:right="141" w:firstLine="0"/>
        <w:jc w:val="right"/>
        <w:rPr>
          <w:sz w:val="12"/>
        </w:rPr>
      </w:pPr>
      <w:r>
        <w:rPr/>
        <w:pict>
          <v:line style="position:absolute;mso-position-horizontal-relative:page;mso-position-vertical-relative:paragraph;z-index:15757824" from="50.5pt,10.434570pt" to="45.5pt,10.434570pt" stroked="true" strokeweight=".5pt" strokecolor="#000000">
            <v:stroke dashstyle="solid"/>
            <w10:wrap type="none"/>
          </v:line>
        </w:pict>
      </w:r>
      <w:r>
        <w:rPr>
          <w:sz w:val="12"/>
        </w:rPr>
        <w:t>Per c</w:t>
      </w:r>
      <w:r>
        <w:rPr>
          <w:sz w:val="12"/>
          <w:u w:val="single"/>
        </w:rPr>
        <w:t>en</w:t>
      </w:r>
      <w:r>
        <w:rPr>
          <w:sz w:val="12"/>
        </w:rPr>
        <w:t>t</w:t>
      </w:r>
      <w:r>
        <w:rPr>
          <w:spacing w:val="26"/>
          <w:sz w:val="12"/>
        </w:rPr>
        <w:t> </w:t>
      </w:r>
      <w:r>
        <w:rPr>
          <w:position w:val="-8"/>
          <w:sz w:val="12"/>
        </w:rPr>
        <w:t>5.00</w:t>
      </w:r>
    </w:p>
    <w:p>
      <w:pPr>
        <w:pStyle w:val="BodyText"/>
        <w:spacing w:before="7"/>
        <w:rPr>
          <w:sz w:val="19"/>
        </w:rPr>
      </w:pPr>
    </w:p>
    <w:p>
      <w:pPr>
        <w:spacing w:before="0"/>
        <w:ind w:left="3660" w:right="0" w:firstLine="0"/>
        <w:jc w:val="left"/>
        <w:rPr>
          <w:sz w:val="12"/>
        </w:rPr>
      </w:pPr>
      <w:r>
        <w:rPr/>
        <w:pict>
          <v:group style="position:absolute;margin-left:45.5pt;margin-top:3.518555pt;width:167.55pt;height:140.75pt;mso-position-horizontal-relative:page;mso-position-vertical-relative:paragraph;z-index:15757312" coordorigin="910,70" coordsize="3351,2815">
            <v:shape style="position:absolute;left:910;top:75;width:3324;height:2805" coordorigin="910,75" coordsize="3324,2805" path="m1010,2695l910,2695m1010,2335l910,2335m1010,1955l910,1955m1010,1575l910,1575m1010,1195l910,1195m1010,815l910,815m1010,455l910,455m1010,75l910,75m4230,2695l4130,2695m4230,2335l4130,2335m4230,1955l4130,1955m4230,1575l4130,1575m4230,1195l4130,1195m4230,815l4130,815m4230,455l4130,455m4230,75l4130,75m911,2880l4233,2880m1170,2875l1170,2835m1330,2875l1330,2835m1470,2875l1470,2835m1630,2875l1630,2835m1790,2875l1790,2835m1930,2875l1930,2835m2090,2875l2090,2835m2230,2875l2230,2835m2370,2875l2370,2835m2530,2875l2530,2835m2670,2875l2670,2835m2810,2875l2810,2835m2970,2875l2970,2835m3130,2875l3130,2835m3270,2875l3270,2835m3430,2875l3430,2835m3590,2875l3590,2835m3730,2875l3730,2835m3890,2875l3890,2835m4030,2875l4030,2835m2090,2875l2090,2775m3890,2875l3890,2775e" filled="false" stroked="true" strokeweight=".5pt" strokecolor="#000000">
              <v:path arrowok="t"/>
              <v:stroke dashstyle="solid"/>
            </v:shape>
            <v:shape style="position:absolute;left:978;top:105;width:3102;height:2775" type="#_x0000_t75" stroked="false">
              <v:imagedata r:id="rId18" o:title=""/>
            </v:shape>
            <v:shape style="position:absolute;left:4203;top:2695;width:52;height:184" coordorigin="4204,2695" coordsize="52,184" path="m4230,2695l4230,2741,4204,2762,4256,2780,4204,2806,4256,2828,4226,2841,4225,2879e" filled="false" stroked="true" strokeweight=".5pt" strokecolor="#000000">
              <v:path arrowok="t"/>
              <v:stroke dashstyle="solid"/>
            </v:shape>
            <v:shape style="position:absolute;left:1160;top:511;width:1023;height:133" type="#_x0000_t202" filled="false" stroked="false">
              <v:textbox inset="0,0,0,0">
                <w:txbxContent>
                  <w:p>
                    <w:pPr>
                      <w:spacing w:line="133" w:lineRule="exact" w:before="0"/>
                      <w:ind w:left="0" w:right="0" w:firstLine="0"/>
                      <w:jc w:val="left"/>
                      <w:rPr>
                        <w:sz w:val="12"/>
                      </w:rPr>
                    </w:pPr>
                    <w:r>
                      <w:rPr>
                        <w:sz w:val="12"/>
                      </w:rPr>
                      <w:t>Low credit rating (b)</w:t>
                    </w:r>
                  </w:p>
                </w:txbxContent>
              </v:textbox>
              <w10:wrap type="none"/>
            </v:shape>
            <v:shape style="position:absolute;left:1226;top:2145;width:1210;height:133" type="#_x0000_t202" filled="false" stroked="false">
              <v:textbox inset="0,0,0,0">
                <w:txbxContent>
                  <w:p>
                    <w:pPr>
                      <w:spacing w:line="133" w:lineRule="exact" w:before="0"/>
                      <w:ind w:left="0" w:right="0" w:firstLine="0"/>
                      <w:jc w:val="left"/>
                      <w:rPr>
                        <w:sz w:val="12"/>
                      </w:rPr>
                    </w:pPr>
                    <w:r>
                      <w:rPr>
                        <w:sz w:val="12"/>
                      </w:rPr>
                      <w:t>Medium credit rating (b)</w:t>
                    </w:r>
                  </w:p>
                </w:txbxContent>
              </v:textbox>
              <w10:wrap type="none"/>
            </v:shape>
            <v:shape style="position:absolute;left:2900;top:2511;width:1043;height:133" type="#_x0000_t202" filled="false" stroked="false">
              <v:textbox inset="0,0,0,0">
                <w:txbxContent>
                  <w:p>
                    <w:pPr>
                      <w:spacing w:line="133" w:lineRule="exact" w:before="0"/>
                      <w:ind w:left="0" w:right="0" w:firstLine="0"/>
                      <w:jc w:val="left"/>
                      <w:rPr>
                        <w:sz w:val="12"/>
                      </w:rPr>
                    </w:pPr>
                    <w:r>
                      <w:rPr>
                        <w:sz w:val="12"/>
                      </w:rPr>
                      <w:t>High credit rating (b)</w:t>
                    </w:r>
                  </w:p>
                </w:txbxContent>
              </v:textbox>
              <w10:wrap type="none"/>
            </v:shape>
            <w10:wrap type="none"/>
          </v:group>
        </w:pict>
      </w:r>
      <w:r>
        <w:rPr>
          <w:sz w:val="12"/>
        </w:rPr>
        <w:t>4.75</w:t>
      </w:r>
    </w:p>
    <w:p>
      <w:pPr>
        <w:pStyle w:val="BodyText"/>
        <w:rPr>
          <w:sz w:val="12"/>
        </w:rPr>
      </w:pPr>
    </w:p>
    <w:p>
      <w:pPr>
        <w:spacing w:before="104"/>
        <w:ind w:left="3660" w:right="0" w:firstLine="0"/>
        <w:jc w:val="left"/>
        <w:rPr>
          <w:sz w:val="12"/>
        </w:rPr>
      </w:pPr>
      <w:r>
        <w:rPr>
          <w:sz w:val="12"/>
        </w:rPr>
        <w:t>4.50</w:t>
      </w:r>
    </w:p>
    <w:p>
      <w:pPr>
        <w:pStyle w:val="BodyText"/>
        <w:rPr>
          <w:sz w:val="12"/>
        </w:rPr>
      </w:pPr>
    </w:p>
    <w:p>
      <w:pPr>
        <w:spacing w:before="91"/>
        <w:ind w:left="3660" w:right="0" w:firstLine="0"/>
        <w:jc w:val="left"/>
        <w:rPr>
          <w:sz w:val="12"/>
        </w:rPr>
      </w:pPr>
      <w:r>
        <w:rPr>
          <w:sz w:val="12"/>
        </w:rPr>
        <w:t>4.25</w:t>
      </w:r>
    </w:p>
    <w:p>
      <w:pPr>
        <w:pStyle w:val="BodyText"/>
        <w:rPr>
          <w:sz w:val="12"/>
        </w:rPr>
      </w:pPr>
    </w:p>
    <w:p>
      <w:pPr>
        <w:spacing w:before="97"/>
        <w:ind w:left="3660" w:right="0" w:firstLine="0"/>
        <w:jc w:val="left"/>
        <w:rPr>
          <w:sz w:val="12"/>
        </w:rPr>
      </w:pPr>
      <w:r>
        <w:rPr>
          <w:sz w:val="12"/>
        </w:rPr>
        <w:t>4.00</w:t>
      </w:r>
    </w:p>
    <w:p>
      <w:pPr>
        <w:pStyle w:val="BodyText"/>
        <w:rPr>
          <w:sz w:val="12"/>
        </w:rPr>
      </w:pPr>
    </w:p>
    <w:p>
      <w:pPr>
        <w:pStyle w:val="BodyText"/>
        <w:spacing w:before="7"/>
        <w:rPr>
          <w:sz w:val="9"/>
        </w:rPr>
      </w:pPr>
    </w:p>
    <w:p>
      <w:pPr>
        <w:spacing w:before="0"/>
        <w:ind w:left="3660" w:right="0" w:firstLine="0"/>
        <w:jc w:val="left"/>
        <w:rPr>
          <w:sz w:val="12"/>
        </w:rPr>
      </w:pPr>
      <w:r>
        <w:rPr>
          <w:sz w:val="12"/>
        </w:rPr>
        <w:t>3.75</w:t>
      </w:r>
    </w:p>
    <w:p>
      <w:pPr>
        <w:pStyle w:val="BodyText"/>
        <w:rPr>
          <w:sz w:val="12"/>
        </w:rPr>
      </w:pPr>
    </w:p>
    <w:p>
      <w:pPr>
        <w:spacing w:before="98"/>
        <w:ind w:left="3660" w:right="0" w:firstLine="0"/>
        <w:jc w:val="left"/>
        <w:rPr>
          <w:sz w:val="12"/>
        </w:rPr>
      </w:pPr>
      <w:r>
        <w:rPr>
          <w:sz w:val="12"/>
        </w:rPr>
        <w:t>3.50</w:t>
      </w:r>
    </w:p>
    <w:p>
      <w:pPr>
        <w:pStyle w:val="BodyText"/>
        <w:rPr>
          <w:sz w:val="12"/>
        </w:rPr>
      </w:pPr>
    </w:p>
    <w:p>
      <w:pPr>
        <w:pStyle w:val="BodyText"/>
        <w:spacing w:before="7"/>
        <w:rPr>
          <w:sz w:val="9"/>
        </w:rPr>
      </w:pPr>
    </w:p>
    <w:p>
      <w:pPr>
        <w:spacing w:before="0"/>
        <w:ind w:left="3660" w:right="0" w:firstLine="0"/>
        <w:jc w:val="left"/>
        <w:rPr>
          <w:sz w:val="12"/>
        </w:rPr>
      </w:pPr>
      <w:r>
        <w:rPr>
          <w:sz w:val="12"/>
        </w:rPr>
        <w:t>3.25</w:t>
      </w:r>
    </w:p>
    <w:p>
      <w:pPr>
        <w:pStyle w:val="BodyText"/>
        <w:rPr>
          <w:sz w:val="12"/>
        </w:rPr>
      </w:pPr>
    </w:p>
    <w:p>
      <w:pPr>
        <w:spacing w:before="77"/>
        <w:ind w:left="3660" w:right="0" w:firstLine="0"/>
        <w:jc w:val="left"/>
        <w:rPr>
          <w:sz w:val="12"/>
        </w:rPr>
      </w:pPr>
      <w:r>
        <w:rPr>
          <w:sz w:val="12"/>
        </w:rPr>
        <w:t>3.00</w:t>
      </w:r>
    </w:p>
    <w:p>
      <w:pPr>
        <w:spacing w:line="119" w:lineRule="exact" w:before="36"/>
        <w:ind w:left="3660" w:right="0" w:firstLine="0"/>
        <w:jc w:val="left"/>
        <w:rPr>
          <w:sz w:val="12"/>
        </w:rPr>
      </w:pPr>
      <w:r>
        <w:rPr>
          <w:sz w:val="12"/>
        </w:rPr>
        <w:t>0.00</w:t>
      </w:r>
    </w:p>
    <w:p>
      <w:pPr>
        <w:tabs>
          <w:tab w:pos="2299" w:val="left" w:leader="none"/>
          <w:tab w:pos="3279" w:val="left" w:leader="none"/>
        </w:tabs>
        <w:spacing w:line="119" w:lineRule="exact" w:before="0"/>
        <w:ind w:left="480" w:right="0" w:firstLine="0"/>
        <w:jc w:val="left"/>
        <w:rPr>
          <w:sz w:val="12"/>
        </w:rPr>
      </w:pPr>
      <w:r>
        <w:rPr>
          <w:sz w:val="12"/>
        </w:rPr>
        <w:t>1997</w:t>
        <w:tab/>
        <w:t>98</w:t>
        <w:tab/>
        <w:t>99</w:t>
      </w:r>
    </w:p>
    <w:p>
      <w:pPr>
        <w:spacing w:before="30"/>
        <w:ind w:left="185" w:right="0" w:firstLine="0"/>
        <w:jc w:val="left"/>
        <w:rPr>
          <w:sz w:val="12"/>
        </w:rPr>
      </w:pPr>
      <w:r>
        <w:rPr>
          <w:sz w:val="12"/>
        </w:rPr>
        <w:t>Sources: Bloomberg and Bank of England.</w:t>
      </w:r>
    </w:p>
    <w:p>
      <w:pPr>
        <w:pStyle w:val="BodyText"/>
        <w:spacing w:before="2"/>
        <w:rPr>
          <w:sz w:val="10"/>
        </w:rPr>
      </w:pPr>
    </w:p>
    <w:p>
      <w:pPr>
        <w:pStyle w:val="ListParagraph"/>
        <w:numPr>
          <w:ilvl w:val="0"/>
          <w:numId w:val="5"/>
        </w:numPr>
        <w:tabs>
          <w:tab w:pos="425" w:val="left" w:leader="none"/>
        </w:tabs>
        <w:spacing w:line="208" w:lineRule="auto" w:before="0" w:after="0"/>
        <w:ind w:left="425" w:right="38" w:hanging="240"/>
        <w:jc w:val="left"/>
        <w:rPr>
          <w:sz w:val="12"/>
        </w:rPr>
      </w:pPr>
      <w:r>
        <w:rPr>
          <w:sz w:val="12"/>
        </w:rPr>
        <w:t>Real yields are calculated as the nominal corporate yield minus a </w:t>
      </w:r>
      <w:r>
        <w:rPr>
          <w:spacing w:val="-3"/>
          <w:sz w:val="12"/>
        </w:rPr>
        <w:t>measure </w:t>
      </w:r>
      <w:r>
        <w:rPr>
          <w:sz w:val="12"/>
        </w:rPr>
        <w:t>of inflation expectations for the appropriate maturity derived from the</w:t>
      </w:r>
    </w:p>
    <w:p>
      <w:pPr>
        <w:spacing w:line="114" w:lineRule="exact" w:before="0"/>
        <w:ind w:left="425" w:right="0" w:firstLine="0"/>
        <w:jc w:val="left"/>
        <w:rPr>
          <w:sz w:val="12"/>
        </w:rPr>
      </w:pPr>
      <w:r>
        <w:rPr>
          <w:sz w:val="12"/>
        </w:rPr>
        <w:t>gilt market.</w:t>
      </w:r>
    </w:p>
    <w:p>
      <w:pPr>
        <w:pStyle w:val="ListParagraph"/>
        <w:numPr>
          <w:ilvl w:val="0"/>
          <w:numId w:val="5"/>
        </w:numPr>
        <w:tabs>
          <w:tab w:pos="426" w:val="left" w:leader="none"/>
        </w:tabs>
        <w:spacing w:line="208" w:lineRule="auto" w:before="6" w:after="0"/>
        <w:ind w:left="425" w:right="107" w:hanging="240"/>
        <w:jc w:val="left"/>
        <w:rPr>
          <w:sz w:val="12"/>
        </w:rPr>
      </w:pPr>
      <w:r>
        <w:rPr>
          <w:sz w:val="12"/>
        </w:rPr>
        <w:t>These labels are categorisations of credit ratings based on a combination of Standard and Poor’s and Moodys’ credit ratings.</w:t>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8"/>
        <w:rPr>
          <w:sz w:val="11"/>
        </w:rPr>
      </w:pPr>
    </w:p>
    <w:p>
      <w:pPr>
        <w:pStyle w:val="Heading7"/>
        <w:spacing w:before="0"/>
        <w:ind w:left="172"/>
      </w:pPr>
      <w:r>
        <w:rPr>
          <w:color w:val="0093C1"/>
        </w:rPr>
        <w:t>Chart 1.6</w:t>
      </w:r>
    </w:p>
    <w:p>
      <w:pPr>
        <w:spacing w:line="249" w:lineRule="auto" w:before="10"/>
        <w:ind w:left="172" w:right="38" w:firstLine="0"/>
        <w:jc w:val="left"/>
        <w:rPr>
          <w:b/>
          <w:sz w:val="20"/>
        </w:rPr>
      </w:pPr>
      <w:r>
        <w:rPr>
          <w:b/>
          <w:color w:val="0093C1"/>
          <w:sz w:val="20"/>
        </w:rPr>
        <w:t>Corporate financial balance and M4 lending flow</w:t>
      </w:r>
    </w:p>
    <w:p>
      <w:pPr>
        <w:spacing w:line="119" w:lineRule="exact" w:before="93"/>
        <w:ind w:left="0" w:right="440" w:firstLine="0"/>
        <w:jc w:val="right"/>
        <w:rPr>
          <w:sz w:val="12"/>
        </w:rPr>
      </w:pPr>
      <w:r>
        <w:rPr>
          <w:sz w:val="12"/>
        </w:rPr>
        <w:t>Per cent of GDP</w:t>
      </w:r>
    </w:p>
    <w:p>
      <w:pPr>
        <w:spacing w:line="103" w:lineRule="exact" w:before="0"/>
        <w:ind w:left="3629" w:right="0" w:firstLine="0"/>
        <w:jc w:val="left"/>
        <w:rPr>
          <w:sz w:val="12"/>
        </w:rPr>
      </w:pPr>
      <w:r>
        <w:rPr/>
        <w:pict>
          <v:line style="position:absolute;mso-position-horizontal-relative:page;mso-position-vertical-relative:paragraph;z-index:15754752" from="49.306999pt,3.151848pt" to="45.306999pt,3.151848pt" stroked="true" strokeweight=".5pt" strokecolor="#000000">
            <v:stroke dashstyle="solid"/>
            <w10:wrap type="none"/>
          </v:line>
        </w:pict>
      </w:r>
      <w:r>
        <w:rPr/>
        <w:pict>
          <v:line style="position:absolute;mso-position-horizontal-relative:page;mso-position-vertical-relative:paragraph;z-index:15755264" from="210.307007pt,3.151848pt" to="206.307007pt,3.151848pt" stroked="true" strokeweight=".5pt" strokecolor="#000000">
            <v:stroke dashstyle="solid"/>
            <w10:wrap type="none"/>
          </v:line>
        </w:pict>
      </w:r>
      <w:r>
        <w:rPr>
          <w:sz w:val="12"/>
        </w:rPr>
        <w:t>3</w:t>
      </w:r>
    </w:p>
    <w:p>
      <w:pPr>
        <w:spacing w:line="122" w:lineRule="exact" w:before="0"/>
        <w:ind w:left="1389" w:right="0" w:firstLine="0"/>
        <w:jc w:val="left"/>
        <w:rPr>
          <w:sz w:val="12"/>
        </w:rPr>
      </w:pPr>
      <w:r>
        <w:rPr/>
        <w:pict>
          <v:group style="position:absolute;margin-left:45.306999pt;margin-top:5.484947pt;width:165pt;height:142.75pt;mso-position-horizontal-relative:page;mso-position-vertical-relative:paragraph;z-index:-21263872" coordorigin="906,110" coordsize="3300,2855">
            <v:shape style="position:absolute;left:906;top:219;width:80;height:2200" coordorigin="906,220" coordsize="80,2200" path="m986,1060l906,1060m986,1320l906,1320m986,1600l906,1600m986,1860l906,1860m986,2140l906,2140m986,2420l906,2420m986,500l906,500m986,220l906,220e" filled="false" stroked="true" strokeweight=".5pt" strokecolor="#000000">
              <v:path arrowok="t"/>
              <v:stroke dashstyle="solid"/>
            </v:shape>
            <v:shape style="position:absolute;left:1046;top:119;width:3020;height:2380" coordorigin="1046,120" coordsize="3020,2380" path="m1046,320l1126,640,1186,600,1246,860,1306,760,1386,1160,1446,1040,1506,1720,1586,1380,1646,1780,1706,2500,1766,1940,1846,2120,1906,2340,1966,1980,2026,1320,2106,1760,2166,880,2226,1040,2286,1080,2366,1400,2426,740,2486,960,2566,1200,2626,700,2686,800,2746,400,2826,520,2886,120,2946,200,3006,460,3086,360,3146,400,3206,1000,3286,1020,3346,740,3406,800,3466,400,3546,760,3606,640,3666,720,3726,1360,3806,880,3866,1400,3926,1080,4006,1480,4066,1340e" filled="false" stroked="true" strokeweight="1pt" strokecolor="#75442b">
              <v:path arrowok="t"/>
              <v:stroke dashstyle="solid"/>
            </v:shape>
            <v:line style="position:absolute" from="986,2700" to="906,2700" stroked="true" strokeweight=".5pt" strokecolor="#000000">
              <v:stroke dashstyle="solid"/>
            </v:line>
            <v:shape style="position:absolute;left:1046;top:359;width:3020;height:2420" coordorigin="1046,360" coordsize="3020,2420" path="m1046,780l1126,1540,1186,1680,1246,1740,1306,2280,1386,2240,1446,2020,1506,2240,1586,2160,1646,2380,1706,2780,1766,1980,1846,1940,1906,1760,1966,1240,2026,1480,2106,1240,2166,440,2226,780,2286,760,2366,700,2426,940,2486,660,2566,740,2626,480,2686,660,2746,560,2826,360,2886,580,2946,440,3006,840,3086,980,3146,1700,3206,1080,3286,1340,3346,1580,3406,1660,3466,1400,3546,1300,3606,1240,3666,740,3726,1140,3806,880,3866,880,3926,1280,4006,1000,4066,1120e" filled="false" stroked="true" strokeweight="1pt" strokecolor="#faab54">
              <v:path arrowok="t"/>
              <v:stroke dashstyle="solid"/>
            </v:shape>
            <v:shape style="position:absolute;left:906;top:219;width:3300;height:2740" coordorigin="906,220" coordsize="3300,2740" path="m4206,1060l4126,1060m4206,1320l4126,1320m4206,1600l4126,1600m4206,1860l4126,1860m4206,2140l4126,2140m4206,2420l4126,2420m4206,2700l4126,2700m4206,780l4126,780m4206,500l4126,500m4206,220l4126,220m986,2960l906,2960m4206,2960l4126,2960m1046,2960l4066,2960m1046,2960l1046,2920m1126,2960l1126,2920m1186,2960l1186,2920m1246,2960l1246,2920m1306,2960l1306,2920m1386,2960l1386,2920m1446,2960l1446,2920m1506,2960l1506,2920m1566,2960l1566,2920m1646,2960l1646,2920m1706,2960l1706,2920m1766,2960l1766,2920m1846,2960l1846,2920m1906,2960l1906,2920m1966,2960l1966,2920m2026,2960l2026,2920m2106,2960l2106,2920m2166,2960l2166,2920m2226,2960l2226,2920m2286,2960l2286,2920m2366,2960l2366,2920m2426,2960l2426,2920m2496,2960l2496,2920m2566,2960l2566,2920m2626,2960l2626,2920m2686,2960l2686,2920m2756,2960l2756,2920m2826,2960l2826,2920m2886,2960l2886,2920m2946,2960l2946,2920m3016,2960l3016,2920m3086,2960l3086,2920m3146,2960l3146,2920m3206,2960l3206,2920m3276,2960l3276,2920m3346,2960l3346,2920m3406,2960l3406,2920m3466,2960l3466,2920m3536,2960l3536,2920m3606,2960l3606,2920m3666,2960l3666,2920m3726,2960l3726,2920m3796,2960l3796,2920m3866,2960l3866,2920m3926,2960l3926,2920m3986,2960l3986,2920m4066,2960l4066,2920m1046,2960l1046,2860m1306,2960l1306,2860m1566,2960l1566,2860m1846,2960l1846,2860m2106,2960l2106,2860m2366,2960l2366,2860m2626,2960l2626,2860m2886,2960l2886,2860m3146,2960l3146,2860m3406,2960l3406,2860m3666,2960l3666,2860m3926,2960l3926,2860e" filled="false" stroked="true" strokeweight=".5pt" strokecolor="#000000">
              <v:path arrowok="t"/>
              <v:stroke dashstyle="solid"/>
            </v:shape>
            <v:shape style="position:absolute;left:906;top:540;width:3181;height:178" type="#_x0000_t202" filled="false" stroked="false">
              <v:textbox inset="0,0,0,0">
                <w:txbxContent>
                  <w:p>
                    <w:pPr>
                      <w:tabs>
                        <w:tab w:pos="3160" w:val="left" w:leader="none"/>
                      </w:tabs>
                      <w:spacing w:line="177" w:lineRule="exact" w:before="0"/>
                      <w:ind w:left="0" w:right="0" w:firstLine="0"/>
                      <w:jc w:val="left"/>
                      <w:rPr>
                        <w:sz w:val="16"/>
                      </w:rPr>
                    </w:pPr>
                    <w:r>
                      <w:rPr>
                        <w:sz w:val="16"/>
                        <w:u w:val="single"/>
                      </w:rPr>
                      <w:t> </w:t>
                      <w:tab/>
                    </w:r>
                  </w:p>
                </w:txbxContent>
              </v:textbox>
              <w10:wrap type="none"/>
            </v:shape>
            <v:shape style="position:absolute;left:2682;top:1709;width:990;height:133" type="#_x0000_t202" filled="false" stroked="false">
              <v:textbox inset="0,0,0,0">
                <w:txbxContent>
                  <w:p>
                    <w:pPr>
                      <w:spacing w:line="133" w:lineRule="exact" w:before="0"/>
                      <w:ind w:left="0" w:right="0" w:firstLine="0"/>
                      <w:jc w:val="left"/>
                      <w:rPr>
                        <w:sz w:val="12"/>
                      </w:rPr>
                    </w:pPr>
                    <w:r>
                      <w:rPr>
                        <w:sz w:val="12"/>
                      </w:rPr>
                      <w:t>M4 lending flow (a)</w:t>
                    </w:r>
                  </w:p>
                </w:txbxContent>
              </v:textbox>
              <w10:wrap type="none"/>
            </v:shape>
            <w10:wrap type="none"/>
          </v:group>
        </w:pict>
      </w:r>
      <w:r>
        <w:rPr>
          <w:sz w:val="12"/>
        </w:rPr>
        <w:t>Financial balance flow</w:t>
      </w:r>
    </w:p>
    <w:p>
      <w:pPr>
        <w:spacing w:before="36"/>
        <w:ind w:left="3629" w:right="0" w:firstLine="0"/>
        <w:jc w:val="left"/>
        <w:rPr>
          <w:sz w:val="12"/>
        </w:rPr>
      </w:pPr>
      <w:r>
        <w:rPr>
          <w:sz w:val="12"/>
        </w:rPr>
        <w:t>2</w:t>
      </w:r>
    </w:p>
    <w:p>
      <w:pPr>
        <w:pStyle w:val="BodyText"/>
        <w:spacing w:before="6"/>
        <w:rPr>
          <w:sz w:val="10"/>
        </w:rPr>
      </w:pPr>
    </w:p>
    <w:p>
      <w:pPr>
        <w:spacing w:line="127" w:lineRule="exact" w:before="1"/>
        <w:ind w:left="3629" w:right="0" w:firstLine="0"/>
        <w:jc w:val="left"/>
        <w:rPr>
          <w:sz w:val="12"/>
        </w:rPr>
      </w:pPr>
      <w:r>
        <w:rPr>
          <w:sz w:val="12"/>
        </w:rPr>
        <w:t>1</w:t>
      </w:r>
    </w:p>
    <w:p>
      <w:pPr>
        <w:spacing w:line="163" w:lineRule="exact" w:before="0"/>
        <w:ind w:left="3576" w:right="0" w:firstLine="0"/>
        <w:jc w:val="left"/>
        <w:rPr>
          <w:sz w:val="16"/>
        </w:rPr>
      </w:pPr>
      <w:r>
        <w:rPr>
          <w:sz w:val="16"/>
        </w:rPr>
        <w:t>+</w:t>
      </w:r>
    </w:p>
    <w:p>
      <w:pPr>
        <w:spacing w:line="107" w:lineRule="exact" w:before="0"/>
        <w:ind w:left="3629" w:right="0" w:firstLine="0"/>
        <w:jc w:val="left"/>
        <w:rPr>
          <w:sz w:val="12"/>
        </w:rPr>
      </w:pPr>
      <w:r>
        <w:rPr>
          <w:sz w:val="12"/>
        </w:rPr>
        <w:t>0</w:t>
      </w:r>
    </w:p>
    <w:p>
      <w:pPr>
        <w:spacing w:line="163" w:lineRule="exact" w:before="0"/>
        <w:ind w:left="3576" w:right="0" w:firstLine="0"/>
        <w:jc w:val="left"/>
        <w:rPr>
          <w:sz w:val="16"/>
        </w:rPr>
      </w:pPr>
      <w:r>
        <w:rPr>
          <w:sz w:val="16"/>
        </w:rPr>
        <w:t>–</w:t>
      </w:r>
    </w:p>
    <w:p>
      <w:pPr>
        <w:spacing w:before="0"/>
        <w:ind w:left="3629" w:right="0" w:firstLine="0"/>
        <w:jc w:val="left"/>
        <w:rPr>
          <w:sz w:val="12"/>
        </w:rPr>
      </w:pPr>
      <w:r>
        <w:rPr>
          <w:sz w:val="12"/>
        </w:rPr>
        <w:t>1</w:t>
      </w:r>
    </w:p>
    <w:p>
      <w:pPr>
        <w:pStyle w:val="BodyText"/>
        <w:spacing w:before="3"/>
        <w:rPr>
          <w:sz w:val="12"/>
        </w:rPr>
      </w:pPr>
    </w:p>
    <w:p>
      <w:pPr>
        <w:spacing w:before="1"/>
        <w:ind w:left="3629" w:right="0" w:firstLine="0"/>
        <w:jc w:val="left"/>
        <w:rPr>
          <w:sz w:val="12"/>
        </w:rPr>
      </w:pPr>
      <w:r>
        <w:rPr>
          <w:sz w:val="12"/>
        </w:rPr>
        <w:t>2</w:t>
      </w:r>
    </w:p>
    <w:p>
      <w:pPr>
        <w:pStyle w:val="BodyText"/>
        <w:spacing w:before="6"/>
        <w:rPr>
          <w:sz w:val="10"/>
        </w:rPr>
      </w:pPr>
    </w:p>
    <w:p>
      <w:pPr>
        <w:spacing w:before="1"/>
        <w:ind w:left="3629" w:right="0" w:firstLine="0"/>
        <w:jc w:val="left"/>
        <w:rPr>
          <w:sz w:val="12"/>
        </w:rPr>
      </w:pPr>
      <w:r>
        <w:rPr>
          <w:sz w:val="12"/>
        </w:rPr>
        <w:t>3</w:t>
      </w:r>
    </w:p>
    <w:p>
      <w:pPr>
        <w:pStyle w:val="BodyText"/>
        <w:spacing w:before="3"/>
        <w:rPr>
          <w:sz w:val="12"/>
        </w:rPr>
      </w:pPr>
    </w:p>
    <w:p>
      <w:pPr>
        <w:spacing w:before="1"/>
        <w:ind w:left="3629" w:right="0" w:firstLine="0"/>
        <w:jc w:val="left"/>
        <w:rPr>
          <w:sz w:val="12"/>
        </w:rPr>
      </w:pPr>
      <w:r>
        <w:rPr>
          <w:sz w:val="12"/>
        </w:rPr>
        <w:t>4</w:t>
      </w:r>
    </w:p>
    <w:p>
      <w:pPr>
        <w:pStyle w:val="BodyText"/>
        <w:spacing w:before="6"/>
        <w:rPr>
          <w:sz w:val="10"/>
        </w:rPr>
      </w:pPr>
    </w:p>
    <w:p>
      <w:pPr>
        <w:spacing w:before="1"/>
        <w:ind w:left="3629" w:right="0" w:firstLine="0"/>
        <w:jc w:val="left"/>
        <w:rPr>
          <w:sz w:val="12"/>
        </w:rPr>
      </w:pPr>
      <w:r>
        <w:rPr>
          <w:sz w:val="12"/>
        </w:rPr>
        <w:t>5</w:t>
      </w:r>
    </w:p>
    <w:p>
      <w:pPr>
        <w:pStyle w:val="BodyText"/>
        <w:spacing w:before="3"/>
        <w:rPr>
          <w:sz w:val="12"/>
        </w:rPr>
      </w:pPr>
    </w:p>
    <w:p>
      <w:pPr>
        <w:spacing w:before="1"/>
        <w:ind w:left="3629" w:right="0" w:firstLine="0"/>
        <w:jc w:val="left"/>
        <w:rPr>
          <w:sz w:val="12"/>
        </w:rPr>
      </w:pPr>
      <w:r>
        <w:rPr>
          <w:sz w:val="12"/>
        </w:rPr>
        <w:t>6</w:t>
      </w:r>
    </w:p>
    <w:p>
      <w:pPr>
        <w:pStyle w:val="BodyText"/>
        <w:spacing w:before="4"/>
        <w:rPr>
          <w:sz w:val="12"/>
        </w:rPr>
      </w:pPr>
    </w:p>
    <w:p>
      <w:pPr>
        <w:spacing w:before="0"/>
        <w:ind w:left="3629" w:right="0" w:firstLine="0"/>
        <w:jc w:val="left"/>
        <w:rPr>
          <w:sz w:val="12"/>
        </w:rPr>
      </w:pPr>
      <w:r>
        <w:rPr>
          <w:sz w:val="12"/>
        </w:rPr>
        <w:t>7</w:t>
      </w:r>
    </w:p>
    <w:p>
      <w:pPr>
        <w:pStyle w:val="BodyText"/>
        <w:spacing w:before="4"/>
        <w:rPr>
          <w:sz w:val="12"/>
        </w:rPr>
      </w:pPr>
    </w:p>
    <w:p>
      <w:pPr>
        <w:tabs>
          <w:tab w:pos="3629" w:val="left" w:leader="none"/>
        </w:tabs>
        <w:spacing w:before="0"/>
        <w:ind w:left="396" w:right="0" w:firstLine="0"/>
        <w:jc w:val="left"/>
        <w:rPr>
          <w:sz w:val="12"/>
        </w:rPr>
      </w:pPr>
      <w:r>
        <w:rPr>
          <w:sz w:val="12"/>
        </w:rPr>
        <w:t>1987   88     89     90     91     92     93     94     95     96 </w:t>
      </w:r>
      <w:r>
        <w:rPr>
          <w:spacing w:val="28"/>
          <w:sz w:val="12"/>
        </w:rPr>
        <w:t> </w:t>
      </w:r>
      <w:r>
        <w:rPr>
          <w:sz w:val="12"/>
        </w:rPr>
        <w:t>97 </w:t>
      </w:r>
      <w:r>
        <w:rPr>
          <w:spacing w:val="20"/>
          <w:sz w:val="12"/>
        </w:rPr>
        <w:t> </w:t>
      </w:r>
      <w:r>
        <w:rPr>
          <w:sz w:val="12"/>
        </w:rPr>
        <w:t>98</w:t>
        <w:tab/>
      </w:r>
      <w:r>
        <w:rPr>
          <w:position w:val="8"/>
          <w:sz w:val="12"/>
        </w:rPr>
        <w:t>8</w:t>
      </w:r>
    </w:p>
    <w:p>
      <w:pPr>
        <w:spacing w:before="99"/>
        <w:ind w:left="170" w:right="0" w:firstLine="0"/>
        <w:jc w:val="left"/>
        <w:rPr>
          <w:sz w:val="12"/>
        </w:rPr>
      </w:pPr>
      <w:r>
        <w:rPr>
          <w:sz w:val="12"/>
        </w:rPr>
        <w:t>Sources: Bank of England and ONS.</w:t>
      </w:r>
    </w:p>
    <w:p>
      <w:pPr>
        <w:spacing w:before="102"/>
        <w:ind w:left="170" w:right="0" w:firstLine="0"/>
        <w:jc w:val="left"/>
        <w:rPr>
          <w:sz w:val="12"/>
        </w:rPr>
      </w:pPr>
      <w:r>
        <w:rPr>
          <w:sz w:val="12"/>
        </w:rPr>
        <w:t>(a) A positive balance indicates a net repayment of debt.</w:t>
      </w:r>
    </w:p>
    <w:p>
      <w:pPr>
        <w:pStyle w:val="Heading5"/>
        <w:spacing w:before="158"/>
        <w:rPr>
          <w:i/>
        </w:rPr>
      </w:pPr>
      <w:r>
        <w:rPr>
          <w:i w:val="0"/>
        </w:rPr>
        <w:br w:type="column"/>
      </w:r>
      <w:r>
        <w:rPr>
          <w:i/>
          <w:color w:val="009483"/>
        </w:rPr>
        <w:t>Other financial corporations</w:t>
      </w:r>
    </w:p>
    <w:p>
      <w:pPr>
        <w:spacing w:line="242" w:lineRule="auto" w:before="164"/>
        <w:ind w:left="170" w:right="217" w:firstLine="0"/>
        <w:jc w:val="left"/>
        <w:rPr>
          <w:sz w:val="24"/>
        </w:rPr>
      </w:pPr>
      <w:r>
        <w:rPr>
          <w:sz w:val="24"/>
        </w:rPr>
        <w:t>In line with slower growth in OFCs’ M4 deposits, </w:t>
      </w:r>
      <w:r>
        <w:rPr>
          <w:spacing w:val="-3"/>
          <w:sz w:val="24"/>
        </w:rPr>
        <w:t>annual </w:t>
      </w:r>
      <w:r>
        <w:rPr>
          <w:sz w:val="24"/>
        </w:rPr>
        <w:t>growth in M4 lending to the non-bank financial sector has fallen markedly since the end of 1997. More recently, this slowdown in borrowing has been evident</w:t>
      </w:r>
      <w:r>
        <w:rPr>
          <w:spacing w:val="-39"/>
          <w:sz w:val="24"/>
        </w:rPr>
        <w:t> </w:t>
      </w:r>
      <w:r>
        <w:rPr>
          <w:sz w:val="24"/>
        </w:rPr>
        <w:t>in OFCs’ reverse repo </w:t>
      </w:r>
      <w:r>
        <w:rPr>
          <w:spacing w:val="-3"/>
          <w:sz w:val="24"/>
        </w:rPr>
        <w:t>activity. </w:t>
      </w:r>
      <w:r>
        <w:rPr>
          <w:sz w:val="24"/>
        </w:rPr>
        <w:t>Reverse repos, which are mostly conducted with OFCs, were £5 billion lower in 1998 Q4 (not seasonally adjusted) than in the previous quarter, and </w:t>
      </w:r>
      <w:r>
        <w:rPr>
          <w:spacing w:val="-3"/>
          <w:sz w:val="24"/>
        </w:rPr>
        <w:t>have </w:t>
      </w:r>
      <w:r>
        <w:rPr>
          <w:sz w:val="24"/>
        </w:rPr>
        <w:t>made a negative contribution to aggregate M4 lending in four of the past </w:t>
      </w:r>
      <w:r>
        <w:rPr>
          <w:spacing w:val="-4"/>
          <w:sz w:val="24"/>
        </w:rPr>
        <w:t>five</w:t>
      </w:r>
      <w:r>
        <w:rPr>
          <w:spacing w:val="-2"/>
          <w:sz w:val="24"/>
        </w:rPr>
        <w:t> </w:t>
      </w:r>
      <w:r>
        <w:rPr>
          <w:sz w:val="24"/>
        </w:rPr>
        <w:t>months.</w:t>
      </w:r>
    </w:p>
    <w:p>
      <w:pPr>
        <w:spacing w:line="242" w:lineRule="auto" w:before="11"/>
        <w:ind w:left="170" w:right="208" w:firstLine="0"/>
        <w:jc w:val="left"/>
        <w:rPr>
          <w:sz w:val="24"/>
        </w:rPr>
      </w:pPr>
      <w:r>
        <w:rPr>
          <w:sz w:val="24"/>
        </w:rPr>
        <w:t>Within the non-bank financial sector, borrowing by securities dealers fell by £11.5 billion (seasonally unadjusted) in 1998 Q4. Lower borrowing probably reflected a desire by the non-bank financial sector to reduce the size of its balance sheets towards the end of the year, in the light of financial market uncertainty and in advance of the introduction of the euro. These effects could therefore partly be temporary and may subsequently be unwound.</w:t>
      </w:r>
    </w:p>
    <w:p>
      <w:pPr>
        <w:pStyle w:val="BodyText"/>
        <w:spacing w:before="6"/>
        <w:rPr>
          <w:sz w:val="30"/>
        </w:rPr>
      </w:pPr>
    </w:p>
    <w:p>
      <w:pPr>
        <w:spacing w:before="1"/>
        <w:ind w:left="170" w:right="0" w:firstLine="0"/>
        <w:jc w:val="left"/>
        <w:rPr>
          <w:i/>
          <w:sz w:val="24"/>
        </w:rPr>
      </w:pPr>
      <w:r>
        <w:rPr>
          <w:i/>
          <w:color w:val="009483"/>
          <w:sz w:val="24"/>
        </w:rPr>
        <w:t>Private non-financial corporations</w:t>
      </w:r>
    </w:p>
    <w:p>
      <w:pPr>
        <w:spacing w:line="242" w:lineRule="auto" w:before="164"/>
        <w:ind w:left="170" w:right="225" w:firstLine="0"/>
        <w:jc w:val="left"/>
        <w:rPr>
          <w:sz w:val="24"/>
        </w:rPr>
      </w:pPr>
      <w:r>
        <w:rPr>
          <w:sz w:val="24"/>
        </w:rPr>
        <w:t>The annual rate of growth in M4 lending to the</w:t>
      </w:r>
      <w:r>
        <w:rPr>
          <w:spacing w:val="-23"/>
          <w:sz w:val="24"/>
        </w:rPr>
        <w:t> </w:t>
      </w:r>
      <w:r>
        <w:rPr>
          <w:sz w:val="24"/>
        </w:rPr>
        <w:t>corporate sector rose to 6.4% in 1998 Q4, compared with an average rate of growth of 4.2% since 1992. That indicates the continued availability of credit to the UK corporate sector. Chart 1.6 shows that firms tend to finance imbalances between current income and expenditure mainly through borrowing from banks and building societies, rather than through changes in other forms of borrowing or asset holdings. Many firms rely on short-term debt to finance inventories and working capital, and it is possible that the strength of corporate borrowing has been associated with recent higher levels of inv</w:t>
      </w:r>
      <w:hyperlink w:history="true" w:anchor="_bookmark11">
        <w:r>
          <w:rPr>
            <w:sz w:val="24"/>
          </w:rPr>
          <w:t>entories (see Section</w:t>
        </w:r>
        <w:r>
          <w:rPr>
            <w:spacing w:val="-2"/>
            <w:sz w:val="24"/>
          </w:rPr>
          <w:t> </w:t>
        </w:r>
        <w:r>
          <w:rPr>
            <w:sz w:val="24"/>
          </w:rPr>
          <w:t>2).</w:t>
        </w:r>
      </w:hyperlink>
    </w:p>
    <w:p>
      <w:pPr>
        <w:pStyle w:val="BodyText"/>
        <w:rPr>
          <w:sz w:val="31"/>
        </w:rPr>
      </w:pPr>
    </w:p>
    <w:p>
      <w:pPr>
        <w:spacing w:before="0"/>
        <w:ind w:left="170" w:right="0" w:firstLine="0"/>
        <w:jc w:val="left"/>
        <w:rPr>
          <w:i/>
          <w:sz w:val="24"/>
        </w:rPr>
      </w:pPr>
      <w:r>
        <w:rPr>
          <w:i/>
          <w:color w:val="009483"/>
          <w:sz w:val="24"/>
        </w:rPr>
        <w:t>Household sector</w:t>
      </w:r>
    </w:p>
    <w:p>
      <w:pPr>
        <w:spacing w:line="242" w:lineRule="auto" w:before="164"/>
        <w:ind w:left="170" w:right="208" w:firstLine="0"/>
        <w:jc w:val="left"/>
        <w:rPr>
          <w:sz w:val="24"/>
        </w:rPr>
      </w:pPr>
      <w:r>
        <w:rPr>
          <w:sz w:val="24"/>
        </w:rPr>
        <w:t>In contrast with the decline in households’ deposits growth since 1997 Q4, the annual growth rate of M4 lending to households picked up during 1998. The amount outstanding was 7.5% higher in the final quarter of 1998 than a year earlier. Total lending to households can be divided into lending secured on dwellings and unsecured lending. Secured lending, which accounts for about 85% of the stock of borrowing by individuals, has been growing annually by around 6% since 1997 Q1.</w:t>
      </w:r>
    </w:p>
    <w:p>
      <w:pPr>
        <w:spacing w:before="11"/>
        <w:ind w:left="170" w:right="0" w:firstLine="0"/>
        <w:jc w:val="left"/>
        <w:rPr>
          <w:sz w:val="24"/>
        </w:rPr>
      </w:pPr>
      <w:r>
        <w:rPr>
          <w:sz w:val="24"/>
        </w:rPr>
        <w:t>But growth in unsecured lending, which accounts for the</w:t>
      </w:r>
    </w:p>
    <w:p>
      <w:pPr>
        <w:spacing w:after="0"/>
        <w:jc w:val="left"/>
        <w:rPr>
          <w:sz w:val="24"/>
        </w:rPr>
        <w:sectPr>
          <w:type w:val="continuous"/>
          <w:pgSz w:w="11900" w:h="16840"/>
          <w:pgMar w:top="1220" w:bottom="280" w:left="640" w:right="600"/>
          <w:cols w:num="2" w:equalWidth="0">
            <w:col w:w="4014" w:space="776"/>
            <w:col w:w="5870"/>
          </w:cols>
        </w:sectPr>
      </w:pPr>
    </w:p>
    <w:p>
      <w:pPr>
        <w:pStyle w:val="BodyText"/>
        <w:rPr>
          <w:sz w:val="20"/>
        </w:rPr>
      </w:pPr>
    </w:p>
    <w:p>
      <w:pPr>
        <w:spacing w:after="0"/>
        <w:rPr>
          <w:sz w:val="20"/>
        </w:rPr>
        <w:sectPr>
          <w:headerReference w:type="default" r:id="rId19"/>
          <w:headerReference w:type="even" r:id="rId20"/>
          <w:footerReference w:type="default" r:id="rId21"/>
          <w:footerReference w:type="even" r:id="rId22"/>
          <w:pgSz w:w="11900" w:h="16840"/>
          <w:pgMar w:header="586" w:footer="617" w:top="780" w:bottom="800" w:left="640" w:right="600"/>
          <w:pgNumType w:start="7"/>
        </w:sectPr>
      </w:pPr>
    </w:p>
    <w:p>
      <w:pPr>
        <w:pStyle w:val="BodyText"/>
        <w:spacing w:before="6"/>
        <w:rPr>
          <w:sz w:val="20"/>
        </w:rPr>
      </w:pPr>
    </w:p>
    <w:p>
      <w:pPr>
        <w:pStyle w:val="Heading7"/>
        <w:spacing w:before="0"/>
        <w:ind w:left="162"/>
      </w:pPr>
      <w:bookmarkStart w:name="Interest rates and asset prices" w:id="18"/>
      <w:bookmarkEnd w:id="18"/>
      <w:r>
        <w:rPr>
          <w:b w:val="0"/>
        </w:rPr>
      </w:r>
      <w:bookmarkStart w:name="Short-term interest rates" w:id="19"/>
      <w:bookmarkEnd w:id="19"/>
      <w:r>
        <w:rPr>
          <w:b w:val="0"/>
        </w:rPr>
      </w:r>
      <w:bookmarkStart w:name="_bookmark5" w:id="20"/>
      <w:bookmarkEnd w:id="20"/>
      <w:r>
        <w:rPr>
          <w:b w:val="0"/>
        </w:rPr>
      </w:r>
      <w:r>
        <w:rPr>
          <w:color w:val="0093C1"/>
        </w:rPr>
        <w:t>Chart 1.7</w:t>
      </w:r>
    </w:p>
    <w:p>
      <w:pPr>
        <w:spacing w:before="10"/>
        <w:ind w:left="162" w:right="0" w:firstLine="0"/>
        <w:jc w:val="left"/>
        <w:rPr>
          <w:sz w:val="12"/>
        </w:rPr>
      </w:pPr>
      <w:r>
        <w:rPr>
          <w:b/>
          <w:color w:val="0093C1"/>
          <w:sz w:val="20"/>
        </w:rPr>
        <w:t>Annual growth in consumer credit</w:t>
      </w:r>
      <w:r>
        <w:rPr>
          <w:position w:val="4"/>
          <w:sz w:val="12"/>
        </w:rPr>
        <w:t>(a)</w:t>
      </w:r>
    </w:p>
    <w:p>
      <w:pPr>
        <w:spacing w:before="132"/>
        <w:ind w:left="1864" w:right="0" w:firstLine="0"/>
        <w:jc w:val="left"/>
        <w:rPr>
          <w:sz w:val="12"/>
        </w:rPr>
      </w:pPr>
      <w:r>
        <w:rPr/>
        <w:pict>
          <v:group style="position:absolute;margin-left:47.014999pt;margin-top:14.118555pt;width:165.4pt;height:150.5pt;mso-position-horizontal-relative:page;mso-position-vertical-relative:paragraph;z-index:-21253632" coordorigin="940,282" coordsize="3308,3010">
            <v:shape style="position:absolute;left:940;top:287;width:3308;height:3000" coordorigin="940,287" coordsize="3308,3000" path="m3608,3287l3608,3187m3088,3287l3088,3187m2548,3287l2548,3187m2028,3287l2028,3187m1488,3287l1488,3187m1040,3007l940,3007m1040,2747l940,2747m1040,2467l940,2467m1040,2187l940,2187m1040,1927l940,1927m1040,1647l940,1647m1040,1367l940,1367m1040,1107l940,1107m1040,827l940,827m1040,547l940,547m1040,287l940,287m4248,3007l4168,3007m4248,2747l4168,2747m4248,2467l4168,2467m4248,2187l4168,2187m4248,1927l4168,1927m4248,1647l4168,1647m4248,1367l4168,1367m4248,1107l4168,1107m4248,827l4168,827m4248,547l4168,547e" filled="false" stroked="true" strokeweight=".5pt" strokecolor="#000000">
              <v:path arrowok="t"/>
              <v:stroke dashstyle="solid"/>
            </v:shape>
            <v:shape style="position:absolute;left:1087;top:307;width:3020;height:2860" coordorigin="1088,307" coordsize="3020,2860" path="m1088,3107l1148,3167,1188,3087,1228,3027,1268,3107,1328,2887,1368,2847,1408,2627,1448,2507,1488,2547,1548,2587,1588,2527,1628,2427,1668,2467,1708,2207,1768,2187,1808,1947,1848,1967,1888,1947,1928,1987,1988,1807,2028,1667,2068,1487,2108,1467,2148,1467,2208,1247,2248,1427,2288,1387,2328,1547,2388,1447,2428,1307,2468,1327,2508,1387,2548,1347,2608,1427,2648,1367,2688,1167,2728,1267,2768,1207,2828,1107,2868,887,2908,987,2948,987,2988,827,3048,787,3088,947,3128,747,3168,787,3228,1007,3268,867,3348,907,3388,967,3448,907,3488,827,3528,887,3568,787,3628,647,3668,827,3748,587,3788,627,3848,507,3928,427,3968,367,4008,467,4068,307,4108,347e" filled="false" stroked="true" strokeweight="1pt" strokecolor="#f7a08b">
              <v:path arrowok="t"/>
              <v:stroke dashstyle="solid"/>
            </v:shape>
            <v:shape style="position:absolute;left:1087;top:1327;width:3020;height:1860" coordorigin="1088,1327" coordsize="3020,1860" path="m1088,3147l1148,3107,1188,3087,1228,3087,1268,3067,1328,3147,1368,3107,1408,3187,1448,3187,1488,3107,1548,3087,1588,3087,1668,2847,1708,2867,1768,2847,1808,2787,1848,2747,1888,2627,1928,2487,1988,2487,2028,2447,2068,2367,2108,2307,2148,2347,2208,2387,2288,2227,2328,2227,2388,2187,2428,2127,2468,2087,2508,2027,2608,2027,2648,1967,2688,1827,2728,1827,2768,1867,2828,1767,2868,1787,2908,1627,2948,1687,2988,1667,3088,1567,3128,1487,3168,1567,3228,1587,3268,1527,3308,1387,3348,1587,3388,1547,3448,1687,3488,1727,3528,1707,3568,1667,3628,1647,3668,1687,3708,1587,3748,1687,3788,1647,3848,1727,3888,1667,3928,1587,3968,1547,4008,1467,4068,1327,4108,1567e" filled="false" stroked="true" strokeweight="1pt" strokecolor="#75442b">
              <v:path arrowok="t"/>
              <v:stroke dashstyle="solid"/>
            </v:shape>
            <v:shape style="position:absolute;left:940;top:3247;width:3308;height:40" coordorigin="940,3247" coordsize="3308,40" path="m1040,3287l940,3287m4248,3287l4168,3287m1088,3287l4108,3287m1088,3287l1088,3247m1228,3287l1228,3247m1368,3287l1368,3247m1628,3287l1628,3247m1748,3287l1748,3247m1888,3287l1888,3247m2148,3287l2148,3247m2288,3287l2288,3247m2428,3287l2428,3247m2688,3287l2688,3247m2828,3287l2828,3247m2948,3287l2948,3247m3228,3287l3228,3247m3348,3287l3348,3247m3488,3287l3488,3247m3748,3287l3748,3247m3888,3287l3888,3247m4008,3287l4008,3247e" filled="false" stroked="true" strokeweight=".5pt" strokecolor="#000000">
              <v:path arrowok="t"/>
              <v:stroke dashstyle="solid"/>
            </v:shape>
            <v:shape style="position:absolute;left:2791;top:617;width:604;height:133" type="#_x0000_t202" filled="false" stroked="false">
              <v:textbox inset="0,0,0,0">
                <w:txbxContent>
                  <w:p>
                    <w:pPr>
                      <w:spacing w:line="133" w:lineRule="exact" w:before="0"/>
                      <w:ind w:left="0" w:right="0" w:firstLine="0"/>
                      <w:jc w:val="left"/>
                      <w:rPr>
                        <w:sz w:val="12"/>
                      </w:rPr>
                    </w:pPr>
                    <w:r>
                      <w:rPr>
                        <w:color w:val="231F20"/>
                        <w:sz w:val="12"/>
                      </w:rPr>
                      <w:t>Credit cards</w:t>
                    </w:r>
                  </w:p>
                </w:txbxContent>
              </v:textbox>
              <w10:wrap type="none"/>
            </v:shape>
            <v:shape style="position:absolute;left:3204;top:1257;width:294;height:133" type="#_x0000_t202" filled="false" stroked="false">
              <v:textbox inset="0,0,0,0">
                <w:txbxContent>
                  <w:p>
                    <w:pPr>
                      <w:spacing w:line="133" w:lineRule="exact" w:before="0"/>
                      <w:ind w:left="0" w:right="0" w:firstLine="0"/>
                      <w:jc w:val="left"/>
                      <w:rPr>
                        <w:sz w:val="12"/>
                      </w:rPr>
                    </w:pPr>
                    <w:r>
                      <w:rPr>
                        <w:color w:val="231F20"/>
                        <w:sz w:val="12"/>
                      </w:rPr>
                      <w:t>Other</w:t>
                    </w:r>
                  </w:p>
                </w:txbxContent>
              </v:textbox>
              <w10:wrap type="none"/>
            </v:shape>
            <w10:wrap type="none"/>
          </v:group>
        </w:pict>
      </w:r>
      <w:r>
        <w:rPr>
          <w:sz w:val="12"/>
        </w:rPr>
        <w:t>Percentage changes on a year earlier </w:t>
      </w:r>
      <w:r>
        <w:rPr>
          <w:position w:val="-6"/>
          <w:sz w:val="12"/>
        </w:rPr>
        <w:t>27.5</w:t>
      </w:r>
    </w:p>
    <w:p>
      <w:pPr>
        <w:pStyle w:val="Heading4"/>
        <w:spacing w:line="242" w:lineRule="auto" w:before="207"/>
        <w:ind w:left="162" w:right="142"/>
      </w:pPr>
      <w:r>
        <w:rPr/>
        <w:br w:type="column"/>
      </w:r>
      <w:r>
        <w:rPr/>
        <w:t>rest of borrowing by individuals, has picked up markedly during the past four years, and was nearly 19% higher than a year earlier in 1998 Q4 .</w:t>
      </w:r>
    </w:p>
    <w:p>
      <w:pPr>
        <w:spacing w:after="0" w:line="242" w:lineRule="auto"/>
        <w:sectPr>
          <w:type w:val="continuous"/>
          <w:pgSz w:w="11900" w:h="16840"/>
          <w:pgMar w:top="1220" w:bottom="280" w:left="640" w:right="600"/>
          <w:cols w:num="2" w:equalWidth="0">
            <w:col w:w="3928" w:space="849"/>
            <w:col w:w="5883"/>
          </w:cols>
        </w:sect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tabs>
          <w:tab w:pos="1037" w:val="left" w:leader="none"/>
          <w:tab w:pos="1597" w:val="left" w:leader="none"/>
          <w:tab w:pos="2117" w:val="left" w:leader="none"/>
          <w:tab w:pos="2617" w:val="left" w:leader="none"/>
          <w:tab w:pos="3157" w:val="left" w:leader="none"/>
        </w:tabs>
        <w:spacing w:before="74"/>
        <w:ind w:left="531" w:right="0" w:firstLine="0"/>
        <w:jc w:val="left"/>
        <w:rPr>
          <w:sz w:val="12"/>
        </w:rPr>
      </w:pPr>
      <w:r>
        <w:rPr>
          <w:sz w:val="12"/>
        </w:rPr>
        <w:t>1993</w:t>
        <w:tab/>
        <w:t>94</w:t>
        <w:tab/>
        <w:t>95</w:t>
        <w:tab/>
        <w:t>96</w:t>
        <w:tab/>
        <w:t>97</w:t>
        <w:tab/>
        <w:t>98</w:t>
      </w:r>
    </w:p>
    <w:p>
      <w:pPr>
        <w:spacing w:before="59"/>
        <w:ind w:left="152" w:right="0" w:firstLine="0"/>
        <w:jc w:val="left"/>
        <w:rPr>
          <w:sz w:val="12"/>
        </w:rPr>
      </w:pPr>
      <w:r>
        <w:rPr>
          <w:sz w:val="12"/>
        </w:rPr>
        <w:t>Source: Bank of England.</w:t>
      </w:r>
    </w:p>
    <w:p>
      <w:pPr>
        <w:spacing w:before="102"/>
        <w:ind w:left="152" w:right="0" w:firstLine="0"/>
        <w:jc w:val="left"/>
        <w:rPr>
          <w:sz w:val="12"/>
        </w:rPr>
      </w:pPr>
      <w:r>
        <w:rPr>
          <w:sz w:val="12"/>
        </w:rPr>
        <w:t>(a) Excluding the effects of securitisations and other loan transfers.</w:t>
      </w:r>
    </w:p>
    <w:p>
      <w:pPr>
        <w:pStyle w:val="BodyText"/>
        <w:spacing w:before="4"/>
        <w:rPr>
          <w:sz w:val="13"/>
        </w:rPr>
      </w:pPr>
    </w:p>
    <w:p>
      <w:pPr>
        <w:pStyle w:val="Heading7"/>
        <w:spacing w:before="0"/>
        <w:ind w:left="155"/>
      </w:pPr>
      <w:r>
        <w:rPr>
          <w:color w:val="0093C1"/>
        </w:rPr>
        <w:t>Chart 1.8</w:t>
      </w:r>
    </w:p>
    <w:p>
      <w:pPr>
        <w:spacing w:before="10"/>
        <w:ind w:left="155" w:right="0" w:firstLine="0"/>
        <w:jc w:val="left"/>
        <w:rPr>
          <w:sz w:val="12"/>
        </w:rPr>
      </w:pPr>
      <w:r>
        <w:rPr>
          <w:b/>
          <w:color w:val="0093C1"/>
          <w:sz w:val="20"/>
        </w:rPr>
        <w:t>Lending for consumption</w:t>
      </w:r>
      <w:r>
        <w:rPr>
          <w:position w:val="4"/>
          <w:sz w:val="12"/>
        </w:rPr>
        <w:t>(a)</w:t>
      </w:r>
    </w:p>
    <w:p>
      <w:pPr>
        <w:pStyle w:val="BodyText"/>
        <w:spacing w:before="7"/>
        <w:rPr>
          <w:sz w:val="12"/>
        </w:rPr>
      </w:pPr>
      <w:r>
        <w:rPr/>
        <w:br w:type="column"/>
      </w:r>
      <w:r>
        <w:rPr>
          <w:sz w:val="12"/>
        </w:rPr>
      </w:r>
    </w:p>
    <w:p>
      <w:pPr>
        <w:spacing w:before="0"/>
        <w:ind w:left="152" w:right="0" w:firstLine="0"/>
        <w:jc w:val="left"/>
        <w:rPr>
          <w:sz w:val="12"/>
        </w:rPr>
      </w:pPr>
      <w:r>
        <w:rPr>
          <w:sz w:val="12"/>
        </w:rPr>
        <w:t>25.0</w:t>
      </w:r>
    </w:p>
    <w:p>
      <w:pPr>
        <w:pStyle w:val="BodyText"/>
        <w:spacing w:before="7"/>
        <w:rPr>
          <w:sz w:val="10"/>
        </w:rPr>
      </w:pPr>
    </w:p>
    <w:p>
      <w:pPr>
        <w:spacing w:before="0"/>
        <w:ind w:left="152" w:right="0" w:firstLine="0"/>
        <w:jc w:val="left"/>
        <w:rPr>
          <w:sz w:val="12"/>
        </w:rPr>
      </w:pPr>
      <w:r>
        <w:rPr>
          <w:sz w:val="12"/>
        </w:rPr>
        <w:t>22.5</w:t>
      </w:r>
    </w:p>
    <w:p>
      <w:pPr>
        <w:pStyle w:val="BodyText"/>
        <w:spacing w:before="4"/>
        <w:rPr>
          <w:sz w:val="12"/>
        </w:rPr>
      </w:pPr>
    </w:p>
    <w:p>
      <w:pPr>
        <w:spacing w:before="0"/>
        <w:ind w:left="152" w:right="0" w:firstLine="0"/>
        <w:jc w:val="left"/>
        <w:rPr>
          <w:sz w:val="12"/>
        </w:rPr>
      </w:pPr>
      <w:r>
        <w:rPr>
          <w:sz w:val="12"/>
        </w:rPr>
        <w:t>20.0</w:t>
      </w:r>
    </w:p>
    <w:p>
      <w:pPr>
        <w:pStyle w:val="BodyText"/>
        <w:spacing w:before="4"/>
        <w:rPr>
          <w:sz w:val="12"/>
        </w:rPr>
      </w:pPr>
    </w:p>
    <w:p>
      <w:pPr>
        <w:spacing w:before="0"/>
        <w:ind w:left="152" w:right="0" w:firstLine="0"/>
        <w:jc w:val="left"/>
        <w:rPr>
          <w:sz w:val="12"/>
        </w:rPr>
      </w:pPr>
      <w:r>
        <w:rPr>
          <w:sz w:val="12"/>
        </w:rPr>
        <w:t>17.5</w:t>
      </w:r>
    </w:p>
    <w:p>
      <w:pPr>
        <w:pStyle w:val="BodyText"/>
        <w:spacing w:before="7"/>
        <w:rPr>
          <w:sz w:val="10"/>
        </w:rPr>
      </w:pPr>
    </w:p>
    <w:p>
      <w:pPr>
        <w:spacing w:before="0"/>
        <w:ind w:left="152" w:right="0" w:firstLine="0"/>
        <w:jc w:val="left"/>
        <w:rPr>
          <w:sz w:val="12"/>
        </w:rPr>
      </w:pPr>
      <w:r>
        <w:rPr>
          <w:sz w:val="12"/>
        </w:rPr>
        <w:t>15.0</w:t>
      </w:r>
    </w:p>
    <w:p>
      <w:pPr>
        <w:pStyle w:val="BodyText"/>
        <w:spacing w:before="4"/>
        <w:rPr>
          <w:sz w:val="12"/>
        </w:rPr>
      </w:pPr>
    </w:p>
    <w:p>
      <w:pPr>
        <w:spacing w:before="0"/>
        <w:ind w:left="152" w:right="0" w:firstLine="0"/>
        <w:jc w:val="left"/>
        <w:rPr>
          <w:sz w:val="12"/>
        </w:rPr>
      </w:pPr>
      <w:r>
        <w:rPr>
          <w:sz w:val="12"/>
        </w:rPr>
        <w:t>12.5</w:t>
      </w:r>
    </w:p>
    <w:p>
      <w:pPr>
        <w:pStyle w:val="BodyText"/>
        <w:spacing w:before="4"/>
        <w:rPr>
          <w:sz w:val="12"/>
        </w:rPr>
      </w:pPr>
    </w:p>
    <w:p>
      <w:pPr>
        <w:spacing w:before="0"/>
        <w:ind w:left="152" w:right="0" w:firstLine="0"/>
        <w:jc w:val="left"/>
        <w:rPr>
          <w:sz w:val="12"/>
        </w:rPr>
      </w:pPr>
      <w:r>
        <w:rPr>
          <w:sz w:val="12"/>
        </w:rPr>
        <w:t>10.0</w:t>
      </w:r>
    </w:p>
    <w:p>
      <w:pPr>
        <w:pStyle w:val="BodyText"/>
        <w:spacing w:before="7"/>
        <w:rPr>
          <w:sz w:val="10"/>
        </w:rPr>
      </w:pPr>
    </w:p>
    <w:p>
      <w:pPr>
        <w:spacing w:before="1"/>
        <w:ind w:left="212" w:right="0" w:firstLine="0"/>
        <w:jc w:val="left"/>
        <w:rPr>
          <w:sz w:val="12"/>
        </w:rPr>
      </w:pPr>
      <w:r>
        <w:rPr>
          <w:sz w:val="12"/>
        </w:rPr>
        <w:t>7.5</w:t>
      </w:r>
    </w:p>
    <w:p>
      <w:pPr>
        <w:pStyle w:val="BodyText"/>
        <w:spacing w:before="3"/>
        <w:rPr>
          <w:sz w:val="12"/>
        </w:rPr>
      </w:pPr>
    </w:p>
    <w:p>
      <w:pPr>
        <w:spacing w:before="1"/>
        <w:ind w:left="212" w:right="0" w:firstLine="0"/>
        <w:jc w:val="left"/>
        <w:rPr>
          <w:sz w:val="12"/>
        </w:rPr>
      </w:pPr>
      <w:r>
        <w:rPr>
          <w:sz w:val="12"/>
        </w:rPr>
        <w:t>5.0</w:t>
      </w:r>
    </w:p>
    <w:p>
      <w:pPr>
        <w:pStyle w:val="BodyText"/>
        <w:spacing w:before="3"/>
        <w:rPr>
          <w:sz w:val="12"/>
        </w:rPr>
      </w:pPr>
    </w:p>
    <w:p>
      <w:pPr>
        <w:spacing w:before="1"/>
        <w:ind w:left="212" w:right="0" w:firstLine="0"/>
        <w:jc w:val="left"/>
        <w:rPr>
          <w:sz w:val="12"/>
        </w:rPr>
      </w:pPr>
      <w:r>
        <w:rPr>
          <w:sz w:val="12"/>
        </w:rPr>
        <w:t>2.5</w:t>
      </w:r>
    </w:p>
    <w:p>
      <w:pPr>
        <w:pStyle w:val="BodyText"/>
        <w:spacing w:before="6"/>
        <w:rPr>
          <w:sz w:val="10"/>
        </w:rPr>
      </w:pPr>
    </w:p>
    <w:p>
      <w:pPr>
        <w:spacing w:before="1"/>
        <w:ind w:left="212" w:right="0" w:firstLine="0"/>
        <w:jc w:val="left"/>
        <w:rPr>
          <w:sz w:val="12"/>
        </w:rPr>
      </w:pPr>
      <w:r>
        <w:rPr>
          <w:sz w:val="12"/>
        </w:rPr>
        <w:t>0.0</w:t>
      </w:r>
    </w:p>
    <w:p>
      <w:pPr>
        <w:pStyle w:val="BodyText"/>
        <w:spacing w:before="10"/>
        <w:rPr>
          <w:sz w:val="27"/>
        </w:rPr>
      </w:pPr>
      <w:r>
        <w:rPr/>
        <w:br w:type="column"/>
      </w:r>
      <w:r>
        <w:rPr>
          <w:sz w:val="27"/>
        </w:rPr>
      </w:r>
    </w:p>
    <w:p>
      <w:pPr>
        <w:pStyle w:val="Heading4"/>
        <w:spacing w:line="242" w:lineRule="auto" w:before="1"/>
        <w:ind w:left="152" w:right="235"/>
      </w:pPr>
      <w:r>
        <w:rPr/>
        <w:t>As a proportion of consumption, unsecured lending rose from almost zero in 1992 to 2.4% in 1998 Q3. But this may partly reflect a substitution away from other forms of borrowing. Unsecured lending accounted for only 13.5% of total lending to individuals at the end of 1997, but for nearly one third of the rise in borrowing by individuals during 1998. Credit card borrowing has </w:t>
      </w:r>
      <w:r>
        <w:rPr>
          <w:spacing w:val="-5"/>
        </w:rPr>
        <w:t>been </w:t>
      </w:r>
      <w:r>
        <w:rPr/>
        <w:t>particularly strong (see Chart 1.7).  That probably reflects the growing use of credit cards as a means of payment, and more competitive supply conditions. The share of </w:t>
      </w:r>
      <w:r>
        <w:rPr>
          <w:spacing w:val="-3"/>
        </w:rPr>
        <w:t>new </w:t>
      </w:r>
      <w:r>
        <w:rPr/>
        <w:t>credit card business accounted for by market entrants since 1990 rose from 10.7%</w:t>
      </w:r>
      <w:r>
        <w:rPr>
          <w:spacing w:val="-1"/>
        </w:rPr>
        <w:t> </w:t>
      </w:r>
      <w:r>
        <w:rPr/>
        <w:t>in</w:t>
      </w:r>
    </w:p>
    <w:p>
      <w:pPr>
        <w:spacing w:line="242" w:lineRule="auto" w:before="15"/>
        <w:ind w:left="152" w:right="235" w:firstLine="0"/>
        <w:jc w:val="left"/>
        <w:rPr>
          <w:sz w:val="24"/>
        </w:rPr>
      </w:pPr>
      <w:r>
        <w:rPr>
          <w:sz w:val="24"/>
        </w:rPr>
        <w:t>January 1995 to 22.6% in January 1999. Conversely, net mortgage equity withdrawal, which was an important</w:t>
      </w:r>
    </w:p>
    <w:p>
      <w:pPr>
        <w:spacing w:after="0" w:line="242" w:lineRule="auto"/>
        <w:jc w:val="left"/>
        <w:rPr>
          <w:sz w:val="24"/>
        </w:rPr>
        <w:sectPr>
          <w:type w:val="continuous"/>
          <w:pgSz w:w="11900" w:h="16840"/>
          <w:pgMar w:top="1220" w:bottom="280" w:left="640" w:right="600"/>
          <w:cols w:num="3" w:equalWidth="0">
            <w:col w:w="3448" w:space="77"/>
            <w:col w:w="403" w:space="860"/>
            <w:col w:w="5872"/>
          </w:cols>
        </w:sectPr>
      </w:pPr>
    </w:p>
    <w:p>
      <w:pPr>
        <w:spacing w:before="67"/>
        <w:ind w:left="0" w:right="357" w:firstLine="0"/>
        <w:jc w:val="right"/>
        <w:rPr>
          <w:sz w:val="12"/>
        </w:rPr>
      </w:pPr>
      <w:r>
        <w:rPr/>
        <w:pict>
          <v:line style="position:absolute;mso-position-horizontal-relative:page;mso-position-vertical-relative:paragraph;z-index:15765504" from="50.279999pt,11.451563pt" to="45.279999pt,11.451563pt" stroked="true" strokeweight=".5pt" strokecolor="#000000">
            <v:stroke dashstyle="solid"/>
            <w10:wrap type="none"/>
          </v:line>
        </w:pict>
      </w:r>
      <w:r>
        <w:rPr/>
        <w:pict>
          <v:line style="position:absolute;mso-position-horizontal-relative:page;mso-position-vertical-relative:paragraph;z-index:-21252096" from="212.279999pt,11.451563pt" to="207.279999pt,11.451563pt" stroked="true" strokeweight=".5pt" strokecolor="#000000">
            <v:stroke dashstyle="solid"/>
            <w10:wrap type="none"/>
          </v:line>
        </w:pict>
      </w:r>
      <w:r>
        <w:rPr>
          <w:sz w:val="12"/>
        </w:rPr>
        <w:t>Per cent of post-tax income</w:t>
      </w:r>
      <w:r>
        <w:rPr>
          <w:spacing w:val="17"/>
          <w:sz w:val="12"/>
        </w:rPr>
        <w:t> </w:t>
      </w:r>
      <w:r>
        <w:rPr>
          <w:position w:val="-7"/>
          <w:sz w:val="12"/>
        </w:rPr>
        <w:t>7</w:t>
      </w:r>
    </w:p>
    <w:p>
      <w:pPr>
        <w:pStyle w:val="BodyText"/>
        <w:spacing w:before="1"/>
        <w:rPr>
          <w:sz w:val="8"/>
        </w:rPr>
      </w:pPr>
    </w:p>
    <w:p>
      <w:pPr>
        <w:pStyle w:val="BodyText"/>
        <w:ind w:left="260"/>
        <w:rPr>
          <w:sz w:val="20"/>
        </w:rPr>
      </w:pPr>
      <w:r>
        <w:rPr>
          <w:sz w:val="20"/>
        </w:rPr>
        <w:pict>
          <v:group style="width:174.5pt;height:132pt;mso-position-horizontal-relative:char;mso-position-vertical-relative:line" coordorigin="0,0" coordsize="3490,2640">
            <v:shape style="position:absolute;left:0;top:190;width:100;height:2320" coordorigin="0,190" coordsize="100,2320" path="m100,2510l0,2510m100,2190l0,2190m100,1850l0,1850m100,1510l0,1510m100,1190l0,1190m100,850l0,850m100,510l0,510m100,190l0,190e" filled="false" stroked="true" strokeweight=".5pt" strokecolor="#000000">
              <v:path arrowok="t"/>
              <v:stroke dashstyle="solid"/>
            </v:shape>
            <v:shape style="position:absolute;left:160;top:10;width:3020;height:2620" coordorigin="160,10" coordsize="3020,2620" path="m160,1530l200,1450,260,1210,300,930,340,830,380,890,440,1290,480,1450,520,1450,580,1290,620,1070,660,1250,700,1370,740,1110,800,1390,840,1170,880,990,920,910,980,530,1020,430,1060,410,1100,710,1160,750,1200,1030,1240,490,1280,430,1340,490,1380,10,1420,1210,1460,1690,1520,1410,1560,1450,1600,1090,1640,890,1700,1050,1740,1350,1780,1210,1820,1350,1880,1410,1920,1570,1960,1690,2000,1890,2060,1990,2100,2070,2140,2490,2180,2250,2240,2330,2280,2390,2320,2250,2360,2310,2420,2230,2500,2310,2540,2550,2580,2630,2640,2590,2680,2610,2720,2530,2760,2430,2820,2470,2860,2330,2900,2170,2960,2310,3000,2250,3040,2410,3080,2510,3120,2410,3180,2230e" filled="false" stroked="true" strokeweight="1pt" strokecolor="#522e91">
              <v:path arrowok="t"/>
              <v:stroke dashstyle="solid"/>
            </v:shape>
            <v:shape style="position:absolute;left:160;top:1290;width:3020;height:900" coordorigin="160,1290" coordsize="3020,900" path="m160,1810l200,1790,260,1870,300,1730,340,1690,380,1750,480,1750,520,1770,580,1790,620,1710,660,1850,700,1770,740,1750,800,1850,840,1750,880,1730,920,1770,980,1630,1020,1650,1060,1510,1100,1810,1160,1510,1200,1390,1240,1510,1280,1290,1340,1370,1380,1490,1420,1370,1460,1590,1520,1450,1560,1450,1600,1590,1640,1690,1700,1690,1740,1790,1780,1850,1820,1810,1880,1950,1920,1930,1960,2050,2000,2070,2060,2110,2100,2190,2140,2130,2180,2150,2240,2070,2280,2030,2320,1930,2360,1910,2420,1930,2460,1770,2500,1790,2580,1670,2640,1750,2680,1650,2720,1590,2760,1630,2820,1550,2860,1330,2900,1490,2960,1530,3000,1410,3040,1610,3080,1370,3120,1330,3180,1390e" filled="false" stroked="true" strokeweight="1pt" strokecolor="#ac6e90">
              <v:path arrowok="t"/>
              <v:stroke dashstyle="solid"/>
            </v:shape>
            <v:shape style="position:absolute;left:3240;top:190;width:100;height:2320" coordorigin="3240,190" coordsize="100,2320" path="m3340,2510l3240,2510m3340,1850l3240,1850m3340,1510l3240,1510m3340,1190l3240,1190m3340,850l3240,850m3340,510l3240,510m3340,190l3240,190e" filled="false" stroked="true" strokeweight=".5pt" strokecolor="#000000">
              <v:path arrowok="t"/>
              <v:stroke dashstyle="solid"/>
            </v:shape>
            <v:shape style="position:absolute;left:3410;top:113;width:80;height:133" type="#_x0000_t202" filled="false" stroked="false">
              <v:textbox inset="0,0,0,0">
                <w:txbxContent>
                  <w:p>
                    <w:pPr>
                      <w:spacing w:line="133" w:lineRule="exact" w:before="0"/>
                      <w:ind w:left="0" w:right="0" w:firstLine="0"/>
                      <w:jc w:val="left"/>
                      <w:rPr>
                        <w:sz w:val="12"/>
                      </w:rPr>
                    </w:pPr>
                    <w:r>
                      <w:rPr>
                        <w:sz w:val="12"/>
                      </w:rPr>
                      <w:t>6</w:t>
                    </w:r>
                  </w:p>
                </w:txbxContent>
              </v:textbox>
              <w10:wrap type="none"/>
            </v:shape>
            <v:shape style="position:absolute;left:1450;top:213;width:1557;height:133" type="#_x0000_t202" filled="false" stroked="false">
              <v:textbox inset="0,0,0,0">
                <w:txbxContent>
                  <w:p>
                    <w:pPr>
                      <w:spacing w:line="133" w:lineRule="exact" w:before="0"/>
                      <w:ind w:left="0" w:right="0" w:firstLine="0"/>
                      <w:jc w:val="left"/>
                      <w:rPr>
                        <w:sz w:val="12"/>
                      </w:rPr>
                    </w:pPr>
                    <w:r>
                      <w:rPr>
                        <w:sz w:val="12"/>
                      </w:rPr>
                      <w:t>Mortgage equity withdrawal (b)</w:t>
                    </w:r>
                  </w:p>
                </w:txbxContent>
              </v:textbox>
              <w10:wrap type="none"/>
            </v:shape>
            <v:shape style="position:absolute;left:3410;top:453;width:80;height:1133" type="#_x0000_t202" filled="false" stroked="false">
              <v:textbox inset="0,0,0,0">
                <w:txbxContent>
                  <w:p>
                    <w:pPr>
                      <w:spacing w:line="133" w:lineRule="exact" w:before="0"/>
                      <w:ind w:left="0" w:right="0" w:firstLine="0"/>
                      <w:jc w:val="left"/>
                      <w:rPr>
                        <w:sz w:val="12"/>
                      </w:rPr>
                    </w:pPr>
                    <w:r>
                      <w:rPr>
                        <w:sz w:val="12"/>
                      </w:rPr>
                      <w:t>5</w:t>
                    </w:r>
                  </w:p>
                  <w:p>
                    <w:pPr>
                      <w:spacing w:line="240" w:lineRule="auto" w:before="9"/>
                      <w:rPr>
                        <w:sz w:val="15"/>
                      </w:rPr>
                    </w:pPr>
                  </w:p>
                  <w:p>
                    <w:pPr>
                      <w:spacing w:before="0"/>
                      <w:ind w:left="0" w:right="0" w:firstLine="0"/>
                      <w:jc w:val="left"/>
                      <w:rPr>
                        <w:sz w:val="12"/>
                      </w:rPr>
                    </w:pPr>
                    <w:r>
                      <w:rPr>
                        <w:sz w:val="12"/>
                      </w:rPr>
                      <w:t>4</w:t>
                    </w:r>
                  </w:p>
                  <w:p>
                    <w:pPr>
                      <w:spacing w:line="240" w:lineRule="auto" w:before="7"/>
                      <w:rPr>
                        <w:sz w:val="17"/>
                      </w:rPr>
                    </w:pPr>
                  </w:p>
                  <w:p>
                    <w:pPr>
                      <w:spacing w:before="0"/>
                      <w:ind w:left="0" w:right="0" w:firstLine="0"/>
                      <w:jc w:val="left"/>
                      <w:rPr>
                        <w:sz w:val="12"/>
                      </w:rPr>
                    </w:pPr>
                    <w:r>
                      <w:rPr>
                        <w:sz w:val="12"/>
                      </w:rPr>
                      <w:t>3</w:t>
                    </w:r>
                  </w:p>
                  <w:p>
                    <w:pPr>
                      <w:spacing w:line="240" w:lineRule="auto" w:before="6"/>
                      <w:rPr>
                        <w:sz w:val="17"/>
                      </w:rPr>
                    </w:pPr>
                  </w:p>
                  <w:p>
                    <w:pPr>
                      <w:spacing w:before="0"/>
                      <w:ind w:left="0" w:right="0" w:firstLine="0"/>
                      <w:jc w:val="left"/>
                      <w:rPr>
                        <w:sz w:val="12"/>
                      </w:rPr>
                    </w:pPr>
                    <w:r>
                      <w:rPr>
                        <w:sz w:val="12"/>
                      </w:rPr>
                      <w:t>2</w:t>
                    </w:r>
                  </w:p>
                </w:txbxContent>
              </v:textbox>
              <w10:wrap type="none"/>
            </v:shape>
            <v:shape style="position:absolute;left:270;top:1853;width:817;height:133" type="#_x0000_t202" filled="false" stroked="false">
              <v:textbox inset="0,0,0,0">
                <w:txbxContent>
                  <w:p>
                    <w:pPr>
                      <w:spacing w:line="133" w:lineRule="exact" w:before="0"/>
                      <w:ind w:left="0" w:right="0" w:firstLine="0"/>
                      <w:jc w:val="left"/>
                      <w:rPr>
                        <w:sz w:val="12"/>
                      </w:rPr>
                    </w:pPr>
                    <w:r>
                      <w:rPr>
                        <w:sz w:val="12"/>
                      </w:rPr>
                      <w:t>Consumer credit</w:t>
                    </w:r>
                  </w:p>
                </w:txbxContent>
              </v:textbox>
              <w10:wrap type="none"/>
            </v:shape>
            <v:shape style="position:absolute;left:3410;top:1773;width:80;height:133" type="#_x0000_t202" filled="false" stroked="false">
              <v:textbox inset="0,0,0,0">
                <w:txbxContent>
                  <w:p>
                    <w:pPr>
                      <w:spacing w:line="133" w:lineRule="exact" w:before="0"/>
                      <w:ind w:left="0" w:right="0" w:firstLine="0"/>
                      <w:jc w:val="left"/>
                      <w:rPr>
                        <w:sz w:val="12"/>
                      </w:rPr>
                    </w:pPr>
                    <w:r>
                      <w:rPr>
                        <w:sz w:val="12"/>
                      </w:rPr>
                      <w:t>1</w:t>
                    </w:r>
                  </w:p>
                </w:txbxContent>
              </v:textbox>
              <w10:wrap type="none"/>
            </v:shape>
            <v:shape style="position:absolute;left:3303;top:1897;width:111;height:178" type="#_x0000_t202" filled="false" stroked="false">
              <v:textbox inset="0,0,0,0">
                <w:txbxContent>
                  <w:p>
                    <w:pPr>
                      <w:spacing w:line="177" w:lineRule="exact" w:before="0"/>
                      <w:ind w:left="0" w:right="0" w:firstLine="0"/>
                      <w:jc w:val="left"/>
                      <w:rPr>
                        <w:sz w:val="16"/>
                      </w:rPr>
                    </w:pPr>
                    <w:r>
                      <w:rPr>
                        <w:sz w:val="16"/>
                      </w:rPr>
                      <w:t>+</w:t>
                    </w:r>
                  </w:p>
                </w:txbxContent>
              </v:textbox>
              <w10:wrap type="none"/>
            </v:shape>
            <v:shape style="position:absolute;left:160;top:2113;width:3330;height:133" type="#_x0000_t202" filled="false" stroked="false">
              <v:textbox inset="0,0,0,0">
                <w:txbxContent>
                  <w:p>
                    <w:pPr>
                      <w:tabs>
                        <w:tab w:pos="3019" w:val="left" w:leader="none"/>
                      </w:tabs>
                      <w:spacing w:line="133" w:lineRule="exact" w:before="0"/>
                      <w:ind w:left="0" w:right="0" w:firstLine="0"/>
                      <w:jc w:val="left"/>
                      <w:rPr>
                        <w:sz w:val="12"/>
                      </w:rPr>
                    </w:pPr>
                    <w:r>
                      <w:rPr>
                        <w:sz w:val="12"/>
                        <w:u w:val="single"/>
                      </w:rPr>
                      <w:t> </w:t>
                      <w:tab/>
                    </w:r>
                    <w:r>
                      <w:rPr>
                        <w:sz w:val="12"/>
                      </w:rPr>
                      <w:t>  </w:t>
                    </w:r>
                    <w:r>
                      <w:rPr>
                        <w:sz w:val="12"/>
                        <w:u w:val="single"/>
                      </w:rPr>
                      <w:t>  </w:t>
                    </w:r>
                    <w:r>
                      <w:rPr>
                        <w:spacing w:val="10"/>
                        <w:sz w:val="12"/>
                        <w:u w:val="single"/>
                      </w:rPr>
                      <w:t> </w:t>
                    </w:r>
                    <w:r>
                      <w:rPr>
                        <w:sz w:val="12"/>
                      </w:rPr>
                      <w:t> </w:t>
                    </w:r>
                    <w:r>
                      <w:rPr>
                        <w:spacing w:val="10"/>
                        <w:sz w:val="12"/>
                      </w:rPr>
                      <w:t> </w:t>
                    </w:r>
                    <w:r>
                      <w:rPr>
                        <w:sz w:val="12"/>
                      </w:rPr>
                      <w:t>0</w:t>
                    </w:r>
                  </w:p>
                </w:txbxContent>
              </v:textbox>
              <w10:wrap type="none"/>
            </v:shape>
            <v:shape style="position:absolute;left:3313;top:2197;width:100;height:178" type="#_x0000_t202" filled="false" stroked="false">
              <v:textbox inset="0,0,0,0">
                <w:txbxContent>
                  <w:p>
                    <w:pPr>
                      <w:spacing w:line="177" w:lineRule="exact" w:before="0"/>
                      <w:ind w:left="0" w:right="0" w:firstLine="0"/>
                      <w:jc w:val="left"/>
                      <w:rPr>
                        <w:sz w:val="16"/>
                      </w:rPr>
                    </w:pPr>
                    <w:r>
                      <w:rPr>
                        <w:sz w:val="16"/>
                      </w:rPr>
                      <w:t>_</w:t>
                    </w:r>
                  </w:p>
                </w:txbxContent>
              </v:textbox>
              <w10:wrap type="none"/>
            </v:shape>
            <v:shape style="position:absolute;left:3410;top:2453;width:80;height:133" type="#_x0000_t202" filled="false" stroked="false">
              <v:textbox inset="0,0,0,0">
                <w:txbxContent>
                  <w:p>
                    <w:pPr>
                      <w:spacing w:line="133" w:lineRule="exact" w:before="0"/>
                      <w:ind w:left="0" w:right="0" w:firstLine="0"/>
                      <w:jc w:val="left"/>
                      <w:rPr>
                        <w:sz w:val="12"/>
                      </w:rPr>
                    </w:pPr>
                    <w:r>
                      <w:rPr>
                        <w:sz w:val="12"/>
                      </w:rPr>
                      <w:t>1</w:t>
                    </w:r>
                  </w:p>
                </w:txbxContent>
              </v:textbox>
              <w10:wrap type="none"/>
            </v:shape>
          </v:group>
        </w:pict>
      </w:r>
      <w:r>
        <w:rPr>
          <w:sz w:val="20"/>
        </w:rPr>
      </w:r>
    </w:p>
    <w:p>
      <w:pPr>
        <w:tabs>
          <w:tab w:pos="579" w:val="left" w:leader="none"/>
          <w:tab w:pos="1479" w:val="left" w:leader="none"/>
          <w:tab w:pos="2379" w:val="left" w:leader="none"/>
          <w:tab w:pos="3279" w:val="left" w:leader="none"/>
        </w:tabs>
        <w:spacing w:before="134"/>
        <w:ind w:left="0" w:right="357" w:firstLine="0"/>
        <w:jc w:val="right"/>
        <w:rPr>
          <w:sz w:val="12"/>
        </w:rPr>
      </w:pPr>
      <w:r>
        <w:rPr/>
        <w:pict>
          <v:shape style="position:absolute;margin-left:45.279999pt;margin-top:3.301563pt;width:167pt;height:6.5pt;mso-position-horizontal-relative:page;mso-position-vertical-relative:paragraph;z-index:-21253120" coordorigin="906,66" coordsize="3340,130" path="m3446,196l3446,66m2546,196l2546,66m1646,196l1646,66m1106,196l1106,126m1006,196l906,196m1066,196l4086,196m1286,196l1286,126m1466,196l1466,126m1826,196l1826,126m2006,196l2006,126m2186,196l2186,126m2366,196l2366,126m2726,196l2726,126m2906,196l2906,126m3086,196l3086,126m3266,196l3266,126m3626,196l3626,126m3806,196l3806,126m3986,196l3986,126m4246,196l4146,196e" filled="false" stroked="true" strokeweight=".5pt" strokecolor="#000000">
            <v:path arrowok="t"/>
            <v:stroke dashstyle="solid"/>
            <w10:wrap type="none"/>
          </v:shape>
        </w:pict>
      </w:r>
      <w:r>
        <w:rPr>
          <w:sz w:val="12"/>
        </w:rPr>
        <w:t>1982</w:t>
        <w:tab/>
        <w:t>85</w:t>
        <w:tab/>
        <w:t>90</w:t>
        <w:tab/>
        <w:t>95</w:t>
        <w:tab/>
      </w:r>
      <w:r>
        <w:rPr>
          <w:position w:val="8"/>
          <w:sz w:val="12"/>
        </w:rPr>
        <w:t>2</w:t>
      </w:r>
    </w:p>
    <w:p>
      <w:pPr>
        <w:spacing w:before="135"/>
        <w:ind w:left="160" w:right="0" w:firstLine="0"/>
        <w:jc w:val="left"/>
        <w:rPr>
          <w:sz w:val="12"/>
        </w:rPr>
      </w:pPr>
      <w:r>
        <w:rPr>
          <w:sz w:val="12"/>
        </w:rPr>
        <w:t>Source: Bank of England.</w:t>
      </w:r>
    </w:p>
    <w:p>
      <w:pPr>
        <w:pStyle w:val="ListParagraph"/>
        <w:numPr>
          <w:ilvl w:val="0"/>
          <w:numId w:val="6"/>
        </w:numPr>
        <w:tabs>
          <w:tab w:pos="400" w:val="left" w:leader="none"/>
        </w:tabs>
        <w:spacing w:line="129" w:lineRule="exact" w:before="102" w:after="0"/>
        <w:ind w:left="399" w:right="0" w:hanging="240"/>
        <w:jc w:val="left"/>
        <w:rPr>
          <w:sz w:val="12"/>
        </w:rPr>
      </w:pPr>
      <w:r>
        <w:rPr>
          <w:sz w:val="12"/>
        </w:rPr>
        <w:t>Quarterly flows.</w:t>
      </w:r>
    </w:p>
    <w:p>
      <w:pPr>
        <w:pStyle w:val="ListParagraph"/>
        <w:numPr>
          <w:ilvl w:val="0"/>
          <w:numId w:val="6"/>
        </w:numPr>
        <w:tabs>
          <w:tab w:pos="401" w:val="left" w:leader="none"/>
        </w:tabs>
        <w:spacing w:line="208" w:lineRule="auto" w:before="6" w:after="0"/>
        <w:ind w:left="400" w:right="384" w:hanging="240"/>
        <w:jc w:val="left"/>
        <w:rPr>
          <w:sz w:val="12"/>
        </w:rPr>
      </w:pPr>
      <w:r>
        <w:rPr>
          <w:sz w:val="12"/>
        </w:rPr>
        <w:t>Estimated as the sum of new loans and government capital grants </w:t>
      </w:r>
      <w:r>
        <w:rPr>
          <w:spacing w:val="-6"/>
          <w:sz w:val="12"/>
        </w:rPr>
        <w:t>for </w:t>
      </w:r>
      <w:r>
        <w:rPr>
          <w:sz w:val="12"/>
        </w:rPr>
        <w:t>housing, minus housing investment and sales of dwellings by local authorities.</w:t>
      </w:r>
    </w:p>
    <w:p>
      <w:pPr>
        <w:pStyle w:val="BodyText"/>
        <w:spacing w:before="7"/>
        <w:rPr>
          <w:sz w:val="13"/>
        </w:rPr>
      </w:pPr>
    </w:p>
    <w:p>
      <w:pPr>
        <w:pStyle w:val="Heading7"/>
        <w:spacing w:before="0"/>
        <w:ind w:left="160"/>
      </w:pPr>
      <w:r>
        <w:rPr>
          <w:color w:val="0093C1"/>
        </w:rPr>
        <w:t>Chart 1.9</w:t>
      </w:r>
    </w:p>
    <w:p>
      <w:pPr>
        <w:spacing w:line="249" w:lineRule="auto" w:before="10"/>
        <w:ind w:left="160" w:right="20" w:firstLine="0"/>
        <w:jc w:val="left"/>
        <w:rPr>
          <w:b/>
          <w:sz w:val="20"/>
        </w:rPr>
      </w:pPr>
      <w:r>
        <w:rPr>
          <w:b/>
          <w:color w:val="0093C1"/>
          <w:sz w:val="20"/>
        </w:rPr>
        <w:t>Lending for consumption and total household expenditure</w:t>
      </w:r>
    </w:p>
    <w:p>
      <w:pPr>
        <w:spacing w:line="242" w:lineRule="auto" w:before="2"/>
        <w:ind w:left="160" w:right="181" w:firstLine="0"/>
        <w:jc w:val="left"/>
        <w:rPr>
          <w:sz w:val="24"/>
        </w:rPr>
      </w:pPr>
      <w:r>
        <w:rPr/>
        <w:br w:type="column"/>
      </w:r>
      <w:r>
        <w:rPr>
          <w:sz w:val="24"/>
        </w:rPr>
        <w:t>source of funding for consumption in the late 1980s, has been negative during much of the present recovery, and was close to zero in 1998 Q3 (see Chart 1.8). Lower net mortgage equity withdrawal could reflect a number of factors. In particular, the gradual recovery in the housing market since 1990 probably reduced the demand for equity withdrawal. Housing turnover has been considerably lower in the 1990s than it was in the previous decade, and house prices remain below their previous peak in real terms.</w:t>
      </w:r>
    </w:p>
    <w:p>
      <w:pPr>
        <w:pStyle w:val="BodyText"/>
        <w:rPr>
          <w:sz w:val="29"/>
        </w:rPr>
      </w:pPr>
    </w:p>
    <w:p>
      <w:pPr>
        <w:spacing w:line="242" w:lineRule="auto" w:before="0"/>
        <w:ind w:left="160" w:right="181" w:firstLine="0"/>
        <w:jc w:val="left"/>
        <w:rPr>
          <w:sz w:val="24"/>
        </w:rPr>
      </w:pPr>
      <w:r>
        <w:rPr>
          <w:sz w:val="24"/>
        </w:rPr>
        <w:t>However, the rise in total borrowing for consumption— consumer credit and mortgage equity withdrawal—does not look remarkable in relation to total household spending (see Chart 1.9). Compared with the stock of wealth, which has been boosted by the rise in share prices, the level of total indebtedness remains historically low. And in relation to total income, the level of</w:t>
      </w:r>
    </w:p>
    <w:p>
      <w:pPr>
        <w:spacing w:after="0" w:line="242" w:lineRule="auto"/>
        <w:jc w:val="left"/>
        <w:rPr>
          <w:sz w:val="24"/>
        </w:rPr>
        <w:sectPr>
          <w:type w:val="continuous"/>
          <w:pgSz w:w="11900" w:h="16840"/>
          <w:pgMar w:top="1220" w:bottom="280" w:left="640" w:right="600"/>
          <w:cols w:num="2" w:equalWidth="0">
            <w:col w:w="4096" w:space="684"/>
            <w:col w:w="5880"/>
          </w:cols>
        </w:sectPr>
      </w:pPr>
    </w:p>
    <w:p>
      <w:pPr>
        <w:spacing w:before="73"/>
        <w:ind w:left="140" w:right="0" w:firstLine="0"/>
        <w:jc w:val="left"/>
        <w:rPr>
          <w:sz w:val="12"/>
        </w:rPr>
      </w:pPr>
      <w:r>
        <w:rPr/>
        <w:pict>
          <v:group style="position:absolute;margin-left:44pt;margin-top:14.919348pt;width:170.5pt;height:135.75pt;mso-position-horizontal-relative:page;mso-position-vertical-relative:paragraph;z-index:15768576" coordorigin="880,298" coordsize="3410,2715">
            <v:shape style="position:absolute;left:950;top:728;width:100;height:2000" coordorigin="950,728" coordsize="100,2000" path="m1050,2728l950,2728m1050,2228l950,2228m1050,1728l950,1728m1050,1228l950,1228m1050,728l950,728e" filled="false" stroked="true" strokeweight=".5pt" strokecolor="#000000">
              <v:path arrowok="t"/>
              <v:stroke dashstyle="solid"/>
            </v:shape>
            <v:shape style="position:absolute;left:1110;top:568;width:3020;height:2360" coordorigin="1110,568" coordsize="3020,2360" path="m1110,1948l1150,1888,1190,1748,1250,1448,1290,1348,1330,1448,1390,1728,1430,1848,1470,1888,1510,1768,1570,1548,1610,1768,1650,1808,1690,1588,1730,1908,1790,1648,1830,1488,1870,1468,1930,1088,1970,1028,2010,888,2050,1348,2090,1168,2150,1268,2190,968,2230,748,2290,868,2330,568,2370,1388,2410,1908,2470,1588,2510,1628,2550,1448,2590,1388,2630,1508,2690,1808,2730,1748,2770,1828,2830,1968,2870,2068,2910,2268,2950,2428,2990,2528,3050,2648,3090,2928,3130,2748,3170,2748,3230,2768,3270,2588,3310,2628,3370,2568,3410,2488,3450,2528,3490,2668,3530,2688,3590,2708,3630,2648,3670,2548,3730,2508,3770,2468,3810,2188,3850,2208,3890,2348,3950,2188,3990,2468,4030,2388,4070,2248,4130,2168e" filled="false" stroked="true" strokeweight="1pt" strokecolor="#952e40">
              <v:path arrowok="t"/>
              <v:stroke dashstyle="solid"/>
            </v:shape>
            <v:shape style="position:absolute;left:4190;top:728;width:100;height:2000" coordorigin="4190,728" coordsize="100,2000" path="m4190,2728l4290,2728m4190,2228l4290,2228m4190,1728l4290,1728m4190,1228l4290,1228m4190,728l4290,728e" filled="false" stroked="true" strokeweight=".5pt" strokecolor="#000000">
              <v:path arrowok="t"/>
              <v:stroke dashstyle="solid"/>
            </v:shape>
            <v:shape style="position:absolute;left:1110;top:308;width:3020;height:2440" coordorigin="1110,308" coordsize="3020,2440" path="m1110,2008l1150,1848,1190,2148,1250,1648,1330,1368,1390,1588,1430,1228,1470,1388,1510,1608,1570,1468,1610,1788,1650,2028,1690,1648,1730,1908,1790,1488,1830,1608,1870,1288,1930,1428,1970,1168,2010,1228,2050,928,2090,1048,2150,808,2190,928,2230,568,2290,768,2330,308,2370,508,2410,408,2470,448,2510,1088,2550,1088,2590,1208,2630,1168,2690,1448,2730,1608,2770,1808,2830,1748,2870,2068,2910,2028,2950,2248,2990,2528,3050,2528,3090,2488,3130,2468,3170,2748,3230,2468,3270,2628,3310,2368,3370,2228,3450,2388,3490,2608,3530,2448,3590,2528,3630,2428,3670,2388,3730,2388,3770,2188,3810,2168,3850,2228,3890,2368,3950,2208,3990,2108,4030,1688,4070,1988,4130,1868e" filled="false" stroked="true" strokeweight="1pt" strokecolor="#a6af49">
              <v:path arrowok="t"/>
              <v:stroke dashstyle="solid"/>
            </v:shape>
            <v:line style="position:absolute" from="1100,2732" to="4127,2732" stroked="true" strokeweight=".5pt" strokecolor="#000000">
              <v:stroke dashstyle="solid"/>
            </v:line>
            <v:shape style="position:absolute;left:1913;top:1891;width:850;height:360" type="#_x0000_t202" filled="false" stroked="false">
              <v:textbox inset="0,0,0,0">
                <w:txbxContent>
                  <w:p>
                    <w:pPr>
                      <w:spacing w:line="196" w:lineRule="auto" w:before="15"/>
                      <w:ind w:left="46" w:right="18" w:hanging="47"/>
                      <w:jc w:val="both"/>
                      <w:rPr>
                        <w:sz w:val="12"/>
                      </w:rPr>
                    </w:pPr>
                    <w:r>
                      <w:rPr>
                        <w:sz w:val="12"/>
                      </w:rPr>
                      <w:t>Total lending for consumption (a) (left-hand scale)</w:t>
                    </w:r>
                  </w:p>
                </w:txbxContent>
              </v:textbox>
              <w10:wrap type="none"/>
            </v:shape>
            <v:shape style="position:absolute;left:3203;top:1734;width:680;height:480" type="#_x0000_t202" filled="false" stroked="false">
              <v:textbox inset="0,0,0,0">
                <w:txbxContent>
                  <w:p>
                    <w:pPr>
                      <w:spacing w:line="163" w:lineRule="auto" w:before="30"/>
                      <w:ind w:left="93" w:right="0" w:hanging="94"/>
                      <w:jc w:val="left"/>
                      <w:rPr>
                        <w:sz w:val="12"/>
                      </w:rPr>
                    </w:pPr>
                    <w:r>
                      <w:rPr>
                        <w:sz w:val="12"/>
                      </w:rPr>
                      <w:t>Household expenditure</w:t>
                    </w:r>
                  </w:p>
                  <w:p>
                    <w:pPr>
                      <w:spacing w:line="220" w:lineRule="auto" w:before="6"/>
                      <w:ind w:left="93" w:right="27" w:firstLine="0"/>
                      <w:jc w:val="left"/>
                      <w:rPr>
                        <w:sz w:val="12"/>
                      </w:rPr>
                    </w:pPr>
                    <w:r>
                      <w:rPr>
                        <w:sz w:val="12"/>
                      </w:rPr>
                      <w:t>(right-hand scale)</w:t>
                    </w:r>
                  </w:p>
                </w:txbxContent>
              </v:textbox>
              <w10:wrap type="none"/>
            </v:shape>
            <v:shape style="position:absolute;left:880;top:2369;width:114;height:644" type="#_x0000_t202" filled="false" stroked="false">
              <v:textbox inset="0,0,0,0">
                <w:txbxContent>
                  <w:p>
                    <w:pPr>
                      <w:spacing w:line="177" w:lineRule="exact" w:before="0"/>
                      <w:ind w:left="0" w:right="0" w:firstLine="0"/>
                      <w:jc w:val="left"/>
                      <w:rPr>
                        <w:sz w:val="16"/>
                      </w:rPr>
                    </w:pPr>
                    <w:r>
                      <w:rPr>
                        <w:color w:val="231F20"/>
                        <w:sz w:val="16"/>
                      </w:rPr>
                      <w:t>+</w:t>
                    </w:r>
                  </w:p>
                  <w:p>
                    <w:pPr>
                      <w:spacing w:line="240" w:lineRule="auto" w:before="6"/>
                      <w:rPr>
                        <w:sz w:val="24"/>
                      </w:rPr>
                    </w:pPr>
                  </w:p>
                  <w:p>
                    <w:pPr>
                      <w:spacing w:before="0"/>
                      <w:ind w:left="13" w:right="0" w:firstLine="0"/>
                      <w:jc w:val="left"/>
                      <w:rPr>
                        <w:sz w:val="16"/>
                      </w:rPr>
                    </w:pPr>
                    <w:r>
                      <w:rPr>
                        <w:color w:val="231F20"/>
                        <w:sz w:val="16"/>
                      </w:rPr>
                      <w:t>–</w:t>
                    </w:r>
                  </w:p>
                </w:txbxContent>
              </v:textbox>
              <w10:wrap type="none"/>
            </v:shape>
            <w10:wrap type="none"/>
          </v:group>
        </w:pict>
      </w:r>
      <w:r>
        <w:rPr>
          <w:position w:val="-6"/>
          <w:sz w:val="12"/>
        </w:rPr>
        <w:t>10</w:t>
      </w:r>
      <w:r>
        <w:rPr>
          <w:sz w:val="12"/>
        </w:rPr>
        <w:t> </w:t>
      </w:r>
      <w:r>
        <w:rPr>
          <w:sz w:val="12"/>
          <w:u w:val="single"/>
        </w:rPr>
        <w:t>Pe</w:t>
      </w:r>
      <w:r>
        <w:rPr>
          <w:sz w:val="12"/>
        </w:rPr>
        <w:t>r cent of post-tax income</w:t>
      </w:r>
    </w:p>
    <w:p>
      <w:pPr>
        <w:pStyle w:val="BodyText"/>
        <w:rPr>
          <w:sz w:val="20"/>
        </w:rPr>
      </w:pPr>
    </w:p>
    <w:p>
      <w:pPr>
        <w:spacing w:before="136"/>
        <w:ind w:left="200" w:right="0" w:firstLine="0"/>
        <w:jc w:val="left"/>
        <w:rPr>
          <w:sz w:val="12"/>
        </w:rPr>
      </w:pPr>
      <w:r>
        <w:rPr>
          <w:sz w:val="12"/>
        </w:rPr>
        <w:t>8</w:t>
      </w:r>
    </w:p>
    <w:p>
      <w:pPr>
        <w:pStyle w:val="BodyText"/>
        <w:rPr>
          <w:sz w:val="12"/>
        </w:rPr>
      </w:pPr>
    </w:p>
    <w:p>
      <w:pPr>
        <w:pStyle w:val="BodyText"/>
        <w:rPr>
          <w:sz w:val="12"/>
        </w:rPr>
      </w:pPr>
    </w:p>
    <w:p>
      <w:pPr>
        <w:spacing w:before="86"/>
        <w:ind w:left="200" w:right="0" w:firstLine="0"/>
        <w:jc w:val="left"/>
        <w:rPr>
          <w:sz w:val="12"/>
        </w:rPr>
      </w:pPr>
      <w:r>
        <w:rPr>
          <w:sz w:val="12"/>
        </w:rPr>
        <w:t>6</w:t>
      </w:r>
    </w:p>
    <w:p>
      <w:pPr>
        <w:pStyle w:val="BodyText"/>
        <w:rPr>
          <w:sz w:val="12"/>
        </w:rPr>
      </w:pPr>
    </w:p>
    <w:p>
      <w:pPr>
        <w:pStyle w:val="BodyText"/>
        <w:rPr>
          <w:sz w:val="12"/>
        </w:rPr>
      </w:pPr>
    </w:p>
    <w:p>
      <w:pPr>
        <w:spacing w:before="86"/>
        <w:ind w:left="200" w:right="0" w:firstLine="0"/>
        <w:jc w:val="left"/>
        <w:rPr>
          <w:sz w:val="12"/>
        </w:rPr>
      </w:pPr>
      <w:r>
        <w:rPr>
          <w:sz w:val="12"/>
        </w:rPr>
        <w:t>4</w:t>
      </w:r>
    </w:p>
    <w:p>
      <w:pPr>
        <w:pStyle w:val="BodyText"/>
        <w:rPr>
          <w:sz w:val="12"/>
        </w:rPr>
      </w:pPr>
    </w:p>
    <w:p>
      <w:pPr>
        <w:pStyle w:val="BodyText"/>
        <w:rPr>
          <w:sz w:val="12"/>
        </w:rPr>
      </w:pPr>
    </w:p>
    <w:p>
      <w:pPr>
        <w:spacing w:before="86"/>
        <w:ind w:left="200" w:right="0" w:firstLine="0"/>
        <w:jc w:val="left"/>
        <w:rPr>
          <w:sz w:val="12"/>
        </w:rPr>
      </w:pPr>
      <w:r>
        <w:rPr>
          <w:sz w:val="12"/>
        </w:rPr>
        <w:t>2</w:t>
      </w:r>
    </w:p>
    <w:p>
      <w:pPr>
        <w:pStyle w:val="BodyText"/>
        <w:rPr>
          <w:sz w:val="12"/>
        </w:rPr>
      </w:pPr>
    </w:p>
    <w:p>
      <w:pPr>
        <w:pStyle w:val="BodyText"/>
        <w:rPr>
          <w:sz w:val="12"/>
        </w:rPr>
      </w:pPr>
    </w:p>
    <w:p>
      <w:pPr>
        <w:spacing w:before="86"/>
        <w:ind w:left="200" w:right="0" w:firstLine="0"/>
        <w:jc w:val="left"/>
        <w:rPr>
          <w:sz w:val="12"/>
        </w:rPr>
      </w:pPr>
      <w:r>
        <w:rPr>
          <w:sz w:val="12"/>
        </w:rPr>
        <w:t>0</w:t>
      </w:r>
    </w:p>
    <w:p>
      <w:pPr>
        <w:pStyle w:val="BodyText"/>
        <w:rPr>
          <w:sz w:val="12"/>
        </w:rPr>
      </w:pPr>
    </w:p>
    <w:p>
      <w:pPr>
        <w:pStyle w:val="BodyText"/>
        <w:rPr>
          <w:sz w:val="12"/>
        </w:rPr>
      </w:pPr>
    </w:p>
    <w:p>
      <w:pPr>
        <w:spacing w:line="112" w:lineRule="exact" w:before="86"/>
        <w:ind w:left="200" w:right="0" w:firstLine="0"/>
        <w:jc w:val="left"/>
        <w:rPr>
          <w:sz w:val="12"/>
        </w:rPr>
      </w:pPr>
      <w:r>
        <w:rPr/>
        <w:pict>
          <v:shape style="position:absolute;margin-left:47.5pt;margin-top:2.568563pt;width:167pt;height:5.85pt;mso-position-horizontal-relative:page;mso-position-vertical-relative:paragraph;z-index:15766528" coordorigin="950,51" coordsize="3340,117" path="m3490,168l3490,88m3490,168l3490,51m2590,168l2590,88m2590,168l2590,51m1690,168l1690,88m1690,168l1690,51m1150,168l1150,91m1050,168l950,168m4190,168l4290,168m1110,168l4130,168m1330,168l1330,91m1510,168l1510,91m1870,168l1870,91m2050,168l2050,91m2230,168l2230,91m2410,168l2410,91m2770,168l2770,91m2950,168l2950,91m3130,168l3130,91m3310,168l3310,91m3670,168l3670,91m3850,168l3850,91m4030,168l4030,128m1110,168l4130,168m1330,168l1330,91m1510,168l1510,91m1870,168l1870,91m2050,168l2050,91m2230,168l2230,91m2410,168l2410,91m2770,168l2770,91m2950,168l2950,91m3130,168l3130,91m3310,168l3310,91m3670,168l3670,91m3850,168l3850,91m4030,168l4030,91e" filled="false" stroked="true" strokeweight=".5pt" strokecolor="#000000">
            <v:path arrowok="t"/>
            <v:stroke dashstyle="solid"/>
            <w10:wrap type="none"/>
          </v:shape>
        </w:pict>
      </w:r>
      <w:r>
        <w:rPr>
          <w:sz w:val="12"/>
        </w:rPr>
        <w:t>2</w:t>
      </w:r>
    </w:p>
    <w:p>
      <w:pPr>
        <w:spacing w:before="73"/>
        <w:ind w:left="140" w:right="0" w:firstLine="0"/>
        <w:jc w:val="left"/>
        <w:rPr>
          <w:sz w:val="12"/>
        </w:rPr>
      </w:pPr>
      <w:r>
        <w:rPr/>
        <w:br w:type="column"/>
      </w:r>
      <w:r>
        <w:rPr>
          <w:sz w:val="12"/>
        </w:rPr>
        <w:t>Per cent of post-tax inco</w:t>
      </w:r>
      <w:r>
        <w:rPr>
          <w:sz w:val="12"/>
          <w:u w:val="single"/>
        </w:rPr>
        <w:t>me</w:t>
      </w:r>
      <w:r>
        <w:rPr>
          <w:spacing w:val="-10"/>
          <w:sz w:val="12"/>
        </w:rPr>
        <w:t> </w:t>
      </w:r>
      <w:r>
        <w:rPr>
          <w:position w:val="-4"/>
          <w:sz w:val="12"/>
        </w:rPr>
        <w:t>100.0</w:t>
      </w:r>
    </w:p>
    <w:p>
      <w:pPr>
        <w:pStyle w:val="BodyText"/>
      </w:pPr>
    </w:p>
    <w:p>
      <w:pPr>
        <w:spacing w:before="159"/>
        <w:ind w:left="0" w:right="38" w:firstLine="0"/>
        <w:jc w:val="right"/>
        <w:rPr>
          <w:sz w:val="12"/>
        </w:rPr>
      </w:pPr>
      <w:r>
        <w:rPr>
          <w:sz w:val="12"/>
        </w:rPr>
        <w:t>97.5</w:t>
      </w:r>
    </w:p>
    <w:p>
      <w:pPr>
        <w:pStyle w:val="BodyText"/>
        <w:rPr>
          <w:sz w:val="12"/>
        </w:rPr>
      </w:pPr>
    </w:p>
    <w:p>
      <w:pPr>
        <w:pStyle w:val="BodyText"/>
        <w:rPr>
          <w:sz w:val="12"/>
        </w:rPr>
      </w:pPr>
    </w:p>
    <w:p>
      <w:pPr>
        <w:spacing w:before="86"/>
        <w:ind w:left="0" w:right="38" w:firstLine="0"/>
        <w:jc w:val="right"/>
        <w:rPr>
          <w:sz w:val="12"/>
        </w:rPr>
      </w:pPr>
      <w:r>
        <w:rPr>
          <w:sz w:val="12"/>
        </w:rPr>
        <w:t>95.0</w:t>
      </w:r>
    </w:p>
    <w:p>
      <w:pPr>
        <w:pStyle w:val="BodyText"/>
        <w:rPr>
          <w:sz w:val="12"/>
        </w:rPr>
      </w:pPr>
    </w:p>
    <w:p>
      <w:pPr>
        <w:pStyle w:val="BodyText"/>
        <w:rPr>
          <w:sz w:val="12"/>
        </w:rPr>
      </w:pPr>
    </w:p>
    <w:p>
      <w:pPr>
        <w:spacing w:before="86"/>
        <w:ind w:left="0" w:right="38" w:firstLine="0"/>
        <w:jc w:val="right"/>
        <w:rPr>
          <w:sz w:val="12"/>
        </w:rPr>
      </w:pPr>
      <w:r>
        <w:rPr>
          <w:sz w:val="12"/>
        </w:rPr>
        <w:t>92.5</w:t>
      </w:r>
    </w:p>
    <w:p>
      <w:pPr>
        <w:pStyle w:val="BodyText"/>
        <w:rPr>
          <w:sz w:val="12"/>
        </w:rPr>
      </w:pPr>
    </w:p>
    <w:p>
      <w:pPr>
        <w:pStyle w:val="BodyText"/>
        <w:rPr>
          <w:sz w:val="12"/>
        </w:rPr>
      </w:pPr>
    </w:p>
    <w:p>
      <w:pPr>
        <w:spacing w:before="106"/>
        <w:ind w:left="0" w:right="38" w:firstLine="0"/>
        <w:jc w:val="right"/>
        <w:rPr>
          <w:sz w:val="12"/>
        </w:rPr>
      </w:pPr>
      <w:r>
        <w:rPr>
          <w:sz w:val="12"/>
        </w:rPr>
        <w:t>90.0</w:t>
      </w:r>
    </w:p>
    <w:p>
      <w:pPr>
        <w:pStyle w:val="BodyText"/>
        <w:rPr>
          <w:sz w:val="12"/>
        </w:rPr>
      </w:pPr>
    </w:p>
    <w:p>
      <w:pPr>
        <w:pStyle w:val="BodyText"/>
        <w:rPr>
          <w:sz w:val="12"/>
        </w:rPr>
      </w:pPr>
    </w:p>
    <w:p>
      <w:pPr>
        <w:spacing w:before="86"/>
        <w:ind w:left="0" w:right="38" w:firstLine="0"/>
        <w:jc w:val="right"/>
        <w:rPr>
          <w:sz w:val="12"/>
        </w:rPr>
      </w:pPr>
      <w:r>
        <w:rPr>
          <w:sz w:val="12"/>
        </w:rPr>
        <w:t>87.5</w:t>
      </w:r>
    </w:p>
    <w:p>
      <w:pPr>
        <w:pStyle w:val="BodyText"/>
        <w:rPr>
          <w:sz w:val="12"/>
        </w:rPr>
      </w:pPr>
    </w:p>
    <w:p>
      <w:pPr>
        <w:pStyle w:val="BodyText"/>
        <w:rPr>
          <w:sz w:val="12"/>
        </w:rPr>
      </w:pPr>
    </w:p>
    <w:p>
      <w:pPr>
        <w:spacing w:line="112" w:lineRule="exact" w:before="86"/>
        <w:ind w:left="0" w:right="38" w:firstLine="0"/>
        <w:jc w:val="right"/>
        <w:rPr>
          <w:sz w:val="12"/>
        </w:rPr>
      </w:pPr>
      <w:r>
        <w:rPr>
          <w:sz w:val="12"/>
        </w:rPr>
        <w:t>85.0</w:t>
      </w:r>
    </w:p>
    <w:p>
      <w:pPr>
        <w:pStyle w:val="Heading4"/>
        <w:spacing w:line="229" w:lineRule="exact"/>
        <w:ind w:left="140"/>
        <w:jc w:val="both"/>
      </w:pPr>
      <w:r>
        <w:rPr/>
        <w:br w:type="column"/>
      </w:r>
      <w:r>
        <w:rPr/>
        <w:t>household debt has been broadly constant during the</w:t>
      </w:r>
    </w:p>
    <w:p>
      <w:pPr>
        <w:spacing w:line="242" w:lineRule="auto" w:before="4"/>
        <w:ind w:left="140" w:right="285" w:firstLine="0"/>
        <w:jc w:val="both"/>
        <w:rPr>
          <w:sz w:val="24"/>
        </w:rPr>
      </w:pPr>
      <w:r>
        <w:rPr>
          <w:sz w:val="24"/>
        </w:rPr>
        <w:t>present </w:t>
      </w:r>
      <w:r>
        <w:rPr>
          <w:spacing w:val="-3"/>
          <w:sz w:val="24"/>
        </w:rPr>
        <w:t>recovery, </w:t>
      </w:r>
      <w:r>
        <w:rPr>
          <w:sz w:val="24"/>
        </w:rPr>
        <w:t>at slightly below the level at the end of </w:t>
      </w:r>
      <w:hyperlink w:history="true" w:anchor="_bookmark11">
        <w:r>
          <w:rPr>
            <w:sz w:val="24"/>
          </w:rPr>
          <w:t>the 1980s. (See Section 2</w:t>
        </w:r>
      </w:hyperlink>
      <w:r>
        <w:rPr>
          <w:sz w:val="24"/>
        </w:rPr>
        <w:t> for a more detailed discussion of recent trends in consumption.)</w:t>
      </w:r>
    </w:p>
    <w:p>
      <w:pPr>
        <w:pStyle w:val="BodyText"/>
        <w:spacing w:before="9"/>
        <w:rPr>
          <w:sz w:val="31"/>
        </w:rPr>
      </w:pPr>
    </w:p>
    <w:p>
      <w:pPr>
        <w:pStyle w:val="ListParagraph"/>
        <w:numPr>
          <w:ilvl w:val="1"/>
          <w:numId w:val="4"/>
        </w:numPr>
        <w:tabs>
          <w:tab w:pos="1879" w:val="left" w:leader="none"/>
          <w:tab w:pos="1880" w:val="left" w:leader="none"/>
          <w:tab w:pos="5659" w:val="left" w:leader="none"/>
        </w:tabs>
        <w:spacing w:line="240" w:lineRule="auto" w:before="0" w:after="0"/>
        <w:ind w:left="1879" w:right="0" w:hanging="1740"/>
        <w:jc w:val="left"/>
        <w:rPr>
          <w:b/>
          <w:sz w:val="28"/>
        </w:rPr>
      </w:pPr>
      <w:r>
        <w:rPr>
          <w:b/>
          <w:color w:val="009483"/>
          <w:sz w:val="28"/>
          <w:u w:val="thick" w:color="0093C1"/>
        </w:rPr>
        <w:t>Interest rates and asset</w:t>
      </w:r>
      <w:r>
        <w:rPr>
          <w:b/>
          <w:color w:val="009483"/>
          <w:spacing w:val="-6"/>
          <w:sz w:val="28"/>
          <w:u w:val="thick" w:color="0093C1"/>
        </w:rPr>
        <w:t> </w:t>
      </w:r>
      <w:r>
        <w:rPr>
          <w:b/>
          <w:color w:val="009483"/>
          <w:sz w:val="28"/>
          <w:u w:val="thick" w:color="0093C1"/>
        </w:rPr>
        <w:t>prices</w:t>
        <w:tab/>
      </w:r>
    </w:p>
    <w:p>
      <w:pPr>
        <w:pStyle w:val="Heading5"/>
        <w:spacing w:before="264"/>
        <w:ind w:left="140"/>
        <w:rPr>
          <w:i/>
        </w:rPr>
      </w:pPr>
      <w:r>
        <w:rPr>
          <w:i/>
          <w:color w:val="009483"/>
        </w:rPr>
        <w:t>Short-term interest rates</w:t>
      </w:r>
    </w:p>
    <w:p>
      <w:pPr>
        <w:spacing w:before="164"/>
        <w:ind w:left="140" w:right="0" w:firstLine="0"/>
        <w:jc w:val="left"/>
        <w:rPr>
          <w:sz w:val="24"/>
        </w:rPr>
      </w:pPr>
      <w:r>
        <w:rPr>
          <w:sz w:val="24"/>
        </w:rPr>
        <w:t>The MPC voted to cut the Bank’s repo rate by</w:t>
      </w:r>
    </w:p>
    <w:p>
      <w:pPr>
        <w:spacing w:before="4"/>
        <w:ind w:left="140" w:right="0" w:firstLine="0"/>
        <w:jc w:val="left"/>
        <w:rPr>
          <w:sz w:val="24"/>
        </w:rPr>
      </w:pPr>
      <w:r>
        <w:rPr>
          <w:sz w:val="24"/>
        </w:rPr>
        <w:t>0.5 percentage points to 6.25% at its meeting on</w:t>
      </w:r>
    </w:p>
    <w:p>
      <w:pPr>
        <w:spacing w:line="238" w:lineRule="exact" w:before="4"/>
        <w:ind w:left="140" w:right="0" w:firstLine="0"/>
        <w:jc w:val="left"/>
        <w:rPr>
          <w:sz w:val="24"/>
        </w:rPr>
      </w:pPr>
      <w:hyperlink w:history="true" w:anchor="_bookmark37">
        <w:r>
          <w:rPr>
            <w:sz w:val="24"/>
          </w:rPr>
          <w:t>9–10 December,</w:t>
        </w:r>
      </w:hyperlink>
      <w:r>
        <w:rPr>
          <w:sz w:val="24"/>
        </w:rPr>
        <w:t> and by a further 0.25 percentage points,</w:t>
      </w:r>
    </w:p>
    <w:p>
      <w:pPr>
        <w:spacing w:after="0" w:line="238" w:lineRule="exact"/>
        <w:jc w:val="left"/>
        <w:rPr>
          <w:sz w:val="24"/>
        </w:rPr>
        <w:sectPr>
          <w:type w:val="continuous"/>
          <w:pgSz w:w="11900" w:h="16840"/>
          <w:pgMar w:top="1220" w:bottom="280" w:left="640" w:right="600"/>
          <w:cols w:num="3" w:equalWidth="0">
            <w:col w:w="1660" w:space="540"/>
            <w:col w:w="1791" w:space="809"/>
            <w:col w:w="5860"/>
          </w:cols>
        </w:sectPr>
      </w:pPr>
    </w:p>
    <w:p>
      <w:pPr>
        <w:tabs>
          <w:tab w:pos="1893" w:val="left" w:leader="none"/>
          <w:tab w:pos="2793" w:val="left" w:leader="none"/>
        </w:tabs>
        <w:spacing w:line="133" w:lineRule="exact" w:before="0"/>
        <w:ind w:left="933" w:right="0" w:firstLine="0"/>
        <w:jc w:val="left"/>
        <w:rPr>
          <w:sz w:val="12"/>
        </w:rPr>
      </w:pPr>
      <w:r>
        <w:rPr>
          <w:sz w:val="12"/>
        </w:rPr>
        <w:t>1985</w:t>
        <w:tab/>
        <w:t>90</w:t>
        <w:tab/>
        <w:t>95</w:t>
      </w:r>
    </w:p>
    <w:p>
      <w:pPr>
        <w:spacing w:before="49"/>
        <w:ind w:left="160" w:right="0" w:firstLine="0"/>
        <w:jc w:val="left"/>
        <w:rPr>
          <w:sz w:val="12"/>
        </w:rPr>
      </w:pPr>
      <w:r>
        <w:rPr>
          <w:sz w:val="12"/>
        </w:rPr>
        <w:t>Source: Bank of England.</w:t>
      </w:r>
    </w:p>
    <w:p>
      <w:pPr>
        <w:spacing w:before="102"/>
        <w:ind w:left="160" w:right="0" w:firstLine="0"/>
        <w:jc w:val="left"/>
        <w:rPr>
          <w:sz w:val="12"/>
        </w:rPr>
      </w:pPr>
      <w:r>
        <w:rPr>
          <w:sz w:val="12"/>
        </w:rPr>
        <w:t>(a) Sum of mortgage equity withdrawal and consumer credit.</w:t>
      </w:r>
    </w:p>
    <w:p>
      <w:pPr>
        <w:pStyle w:val="Heading4"/>
        <w:spacing w:line="242" w:lineRule="auto" w:before="42"/>
        <w:ind w:left="160" w:right="221"/>
      </w:pPr>
      <w:r>
        <w:rPr/>
        <w:br w:type="column"/>
      </w:r>
      <w:hyperlink w:history="true" w:anchor="_bookmark39">
        <w:r>
          <w:rPr/>
          <w:t>to 6.0%, on 6–7 January.</w:t>
        </w:r>
      </w:hyperlink>
      <w:r>
        <w:rPr/>
        <w:t> At its 3–4 February meeting, the MPC voted to reduce the Bank’s repo rate by another</w:t>
      </w:r>
    </w:p>
    <w:p>
      <w:pPr>
        <w:spacing w:before="3"/>
        <w:ind w:left="160" w:right="0" w:firstLine="0"/>
        <w:jc w:val="left"/>
        <w:rPr>
          <w:sz w:val="24"/>
        </w:rPr>
      </w:pPr>
      <w:r>
        <w:rPr>
          <w:sz w:val="24"/>
        </w:rPr>
        <w:t>0.5 percentage points, to 5.5%.</w:t>
      </w:r>
    </w:p>
    <w:p>
      <w:pPr>
        <w:spacing w:after="0"/>
        <w:jc w:val="left"/>
        <w:rPr>
          <w:sz w:val="24"/>
        </w:rPr>
        <w:sectPr>
          <w:type w:val="continuous"/>
          <w:pgSz w:w="11900" w:h="16840"/>
          <w:pgMar w:top="1220" w:bottom="280" w:left="640" w:right="600"/>
          <w:cols w:num="2" w:equalWidth="0">
            <w:col w:w="3206" w:space="1574"/>
            <w:col w:w="5880"/>
          </w:cols>
        </w:sectPr>
      </w:pPr>
    </w:p>
    <w:p>
      <w:pPr>
        <w:pStyle w:val="BodyText"/>
        <w:rPr>
          <w:sz w:val="20"/>
        </w:rPr>
      </w:pPr>
    </w:p>
    <w:p>
      <w:pPr>
        <w:spacing w:after="0"/>
        <w:rPr>
          <w:sz w:val="20"/>
        </w:rPr>
        <w:sectPr>
          <w:pgSz w:w="11900" w:h="16840"/>
          <w:pgMar w:header="586" w:footer="597" w:top="780" w:bottom="780" w:left="640" w:right="600"/>
        </w:sectPr>
      </w:pPr>
    </w:p>
    <w:p>
      <w:pPr>
        <w:pStyle w:val="BodyText"/>
        <w:spacing w:before="6"/>
        <w:rPr>
          <w:sz w:val="20"/>
        </w:rPr>
      </w:pPr>
    </w:p>
    <w:p>
      <w:pPr>
        <w:pStyle w:val="Heading7"/>
        <w:spacing w:before="0"/>
        <w:ind w:left="190"/>
      </w:pPr>
      <w:bookmarkStart w:name="Long-term interest rates" w:id="21"/>
      <w:bookmarkEnd w:id="21"/>
      <w:r>
        <w:rPr>
          <w:b w:val="0"/>
        </w:rPr>
      </w:r>
      <w:bookmarkStart w:name="_bookmark6" w:id="22"/>
      <w:bookmarkEnd w:id="22"/>
      <w:r>
        <w:rPr>
          <w:b w:val="0"/>
        </w:rPr>
      </w:r>
      <w:r>
        <w:rPr>
          <w:color w:val="0093C1"/>
        </w:rPr>
        <w:t>Chart 1.10</w:t>
      </w:r>
    </w:p>
    <w:p>
      <w:pPr>
        <w:spacing w:line="249" w:lineRule="auto" w:before="10"/>
        <w:ind w:left="190" w:right="0" w:firstLine="0"/>
        <w:jc w:val="left"/>
        <w:rPr>
          <w:b/>
          <w:sz w:val="20"/>
        </w:rPr>
      </w:pPr>
      <w:r>
        <w:rPr>
          <w:b/>
          <w:color w:val="0093C1"/>
          <w:sz w:val="20"/>
        </w:rPr>
        <w:t>Implied distribution for </w:t>
      </w:r>
      <w:r>
        <w:rPr>
          <w:b/>
          <w:color w:val="0093C1"/>
          <w:spacing w:val="-3"/>
          <w:sz w:val="20"/>
        </w:rPr>
        <w:t>sterling </w:t>
      </w:r>
      <w:r>
        <w:rPr>
          <w:b/>
          <w:color w:val="0093C1"/>
          <w:sz w:val="20"/>
        </w:rPr>
        <w:t>three-month interest rate</w:t>
      </w:r>
    </w:p>
    <w:p>
      <w:pPr>
        <w:spacing w:before="158"/>
        <w:ind w:left="313" w:right="0" w:firstLine="0"/>
        <w:jc w:val="left"/>
        <w:rPr>
          <w:sz w:val="12"/>
        </w:rPr>
      </w:pPr>
      <w:r>
        <w:rPr>
          <w:sz w:val="12"/>
        </w:rPr>
        <w:t>Expectations as at c.o.b. 4 November 1998</w:t>
      </w:r>
    </w:p>
    <w:p>
      <w:pPr>
        <w:pStyle w:val="BodyText"/>
        <w:spacing w:line="20" w:lineRule="exact"/>
        <w:ind w:left="308"/>
        <w:rPr>
          <w:sz w:val="2"/>
        </w:rPr>
      </w:pPr>
      <w:r>
        <w:rPr>
          <w:sz w:val="2"/>
        </w:rPr>
        <w:pict>
          <v:group style="width:3.6pt;height:.5pt;mso-position-horizontal-relative:char;mso-position-vertical-relative:line" coordorigin="0,0" coordsize="72,10">
            <v:line style="position:absolute" from="72,5" to="0,5" stroked="true" strokeweight=".5pt" strokecolor="#000000">
              <v:stroke dashstyle="solid"/>
            </v:line>
          </v:group>
        </w:pict>
      </w:r>
      <w:r>
        <w:rPr>
          <w:sz w:val="2"/>
        </w:rPr>
      </w:r>
    </w:p>
    <w:p>
      <w:pPr>
        <w:pStyle w:val="BodyText"/>
        <w:spacing w:before="4"/>
        <w:rPr>
          <w:sz w:val="27"/>
        </w:rPr>
      </w:pPr>
      <w:r>
        <w:rPr/>
        <w:pict>
          <v:shape style="position:absolute;margin-left:47.471001pt;margin-top:17.948078pt;width:3.6pt;height:.1pt;mso-position-horizontal-relative:page;mso-position-vertical-relative:paragraph;z-index:-15687680;mso-wrap-distance-left:0;mso-wrap-distance-right:0" coordorigin="949,359" coordsize="72,0" path="m1021,359l949,359e" filled="false" stroked="true" strokeweight=".5pt" strokecolor="#000000">
            <v:path arrowok="t"/>
            <v:stroke dashstyle="solid"/>
            <w10:wrap type="topAndBottom"/>
          </v:shape>
        </w:pict>
      </w:r>
    </w:p>
    <w:p>
      <w:pPr>
        <w:pStyle w:val="BodyText"/>
        <w:rPr>
          <w:sz w:val="20"/>
        </w:rPr>
      </w:pPr>
      <w:r>
        <w:rPr/>
        <w:br w:type="column"/>
      </w:r>
      <w:r>
        <w:rPr>
          <w:sz w:val="20"/>
        </w:rPr>
      </w:r>
    </w:p>
    <w:p>
      <w:pPr>
        <w:pStyle w:val="BodyText"/>
        <w:rPr>
          <w:sz w:val="20"/>
        </w:rPr>
      </w:pPr>
    </w:p>
    <w:p>
      <w:pPr>
        <w:pStyle w:val="BodyText"/>
        <w:rPr>
          <w:sz w:val="20"/>
        </w:rPr>
      </w:pPr>
    </w:p>
    <w:p>
      <w:pPr>
        <w:pStyle w:val="BodyText"/>
        <w:rPr>
          <w:sz w:val="20"/>
        </w:rPr>
      </w:pPr>
    </w:p>
    <w:p>
      <w:pPr>
        <w:pStyle w:val="BodyText"/>
        <w:spacing w:before="8"/>
        <w:rPr>
          <w:sz w:val="16"/>
        </w:rPr>
      </w:pPr>
    </w:p>
    <w:p>
      <w:pPr>
        <w:spacing w:before="0"/>
        <w:ind w:left="99" w:right="0" w:firstLine="0"/>
        <w:jc w:val="left"/>
        <w:rPr>
          <w:sz w:val="12"/>
        </w:rPr>
      </w:pPr>
      <w:r>
        <w:rPr>
          <w:sz w:val="12"/>
        </w:rPr>
        <w:t>Per cent</w:t>
      </w:r>
      <w:r>
        <w:rPr>
          <w:spacing w:val="11"/>
          <w:sz w:val="12"/>
        </w:rPr>
        <w:t> </w:t>
      </w:r>
      <w:r>
        <w:rPr>
          <w:color w:val="231F20"/>
          <w:position w:val="-6"/>
          <w:sz w:val="12"/>
        </w:rPr>
        <w:t>8.75</w:t>
      </w:r>
    </w:p>
    <w:p>
      <w:pPr>
        <w:spacing w:before="117"/>
        <w:ind w:left="0" w:right="38" w:firstLine="0"/>
        <w:jc w:val="right"/>
        <w:rPr>
          <w:sz w:val="12"/>
        </w:rPr>
      </w:pPr>
      <w:r>
        <w:rPr/>
        <w:pict>
          <v:line style="position:absolute;mso-position-horizontal-relative:page;mso-position-vertical-relative:paragraph;z-index:15776256" from="203.587004pt,10.503791pt" to="199.992004pt,10.503791pt" stroked="true" strokeweight=".5pt" strokecolor="#231f20">
            <v:stroke dashstyle="solid"/>
            <w10:wrap type="none"/>
          </v:line>
        </w:pict>
      </w:r>
      <w:r>
        <w:rPr/>
        <w:pict>
          <v:line style="position:absolute;mso-position-horizontal-relative:page;mso-position-vertical-relative:paragraph;z-index:-21241344" from="203.587004pt,-2.437209pt" to="199.992004pt,-2.437209pt" stroked="true" strokeweight=".5pt" strokecolor="#231f20">
            <v:stroke dashstyle="solid"/>
            <w10:wrap type="none"/>
          </v:line>
        </w:pict>
      </w:r>
      <w:r>
        <w:rPr>
          <w:color w:val="231F20"/>
          <w:sz w:val="12"/>
        </w:rPr>
        <w:t>8.25</w:t>
      </w:r>
    </w:p>
    <w:p>
      <w:pPr>
        <w:pStyle w:val="BodyText"/>
        <w:spacing w:before="6"/>
        <w:rPr>
          <w:sz w:val="10"/>
        </w:rPr>
      </w:pPr>
    </w:p>
    <w:p>
      <w:pPr>
        <w:spacing w:before="0"/>
        <w:ind w:left="0" w:right="38" w:firstLine="0"/>
        <w:jc w:val="right"/>
        <w:rPr>
          <w:sz w:val="12"/>
        </w:rPr>
      </w:pPr>
      <w:r>
        <w:rPr/>
        <w:pict>
          <v:group style="position:absolute;margin-left:47.201pt;margin-top:4.402506pt;width:156.4pt;height:110.5pt;mso-position-horizontal-relative:page;mso-position-vertical-relative:paragraph;z-index:15775232" coordorigin="944,88" coordsize="3128,2210">
            <v:shape style="position:absolute;left:3362;top:163;width:584;height:2135" coordorigin="3362,163" coordsize="584,2135" path="m3945,163l3825,266,3784,318,3724,335,3684,353,3624,371,3583,388,3523,405,3483,422,3362,401,3483,1002,3523,1212,3583,1421,3624,1630,3684,1756,3724,1882,3784,2008,3825,2105,3945,2298,3945,163xe" filled="true" fillcolor="#bfd0e6" stroked="false">
              <v:path arrowok="t"/>
              <v:fill type="solid"/>
            </v:shape>
            <v:shape style="position:absolute;left:3362;top:395;width:584;height:1459" coordorigin="3362,395" coordsize="584,1459" path="m3362,395l3483,818,3523,982,3583,1145,3624,1309,3684,1417,3724,1525,3784,1632,3825,1706,3945,1854,3945,593,3825,617,3784,629,3724,612,3684,596,3624,579,3583,559,3523,540,3483,520,3362,395xe" filled="true" fillcolor="#8aadd3" stroked="false">
              <v:path arrowok="t"/>
              <v:fill type="solid"/>
            </v:shape>
            <v:shape style="position:absolute;left:3362;top:401;width:584;height:1236" coordorigin="3362,402" coordsize="584,1236" path="m3362,402l3483,756,3523,893,3583,1029,3624,1166,3684,1260,3724,1354,3825,1511,3945,1637,3945,838,3825,822,3784,814,3724,779,3684,743,3624,708,3583,664,3523,620,3483,576,3362,402xe" filled="true" fillcolor="#5991c2" stroked="false">
              <v:path arrowok="t"/>
              <v:fill type="solid"/>
            </v:shape>
            <v:shape style="position:absolute;left:3362;top:394;width:584;height:1070" coordorigin="3362,395" coordsize="584,1070" path="m3362,395l3483,706,3523,823,3583,939,3624,1055,3684,1138,3724,1220,3784,1303,3825,1357,3945,1464,3945,1013,3825,968,3784,945,3724,896,3684,847,3624,798,3583,734,3523,670,3483,606,3362,395xe" filled="true" fillcolor="#0e7ab3" stroked="false">
              <v:path arrowok="t"/>
              <v:fill type="solid"/>
            </v:shape>
            <v:shape style="position:absolute;left:3362;top:404;width:584;height:921" coordorigin="3362,404" coordsize="584,921" path="m3362,404l3483,681,3523,779,3583,878,3624,977,3684,1049,3724,1120,3784,1192,3825,1236,3945,1325,3945,1178,3825,1110,3784,1076,3724,1015,3684,954,3624,893,3583,812,3523,730,3362,404xe" filled="true" fillcolor="#0066a5" stroked="false">
              <v:path arrowok="t"/>
              <v:fill type="solid"/>
            </v:shape>
            <v:shape style="position:absolute;left:3991;top:93;width:81;height:2071" coordorigin="3992,93" coordsize="81,2071" path="m4072,2163l4000,2163m4063,1905l3992,1905m4072,1646l4000,1646m4072,1387l4000,1387m4072,1128l4000,1128m4072,869l4000,869m4072,611l4000,611m4072,352l4000,352m4072,93l4000,93e" filled="false" stroked="true" strokeweight=".5pt" strokecolor="#231f20">
              <v:path arrowok="t"/>
              <v:stroke dashstyle="solid"/>
            </v:shape>
            <v:shape style="position:absolute;left:1064;top:601;width:101;height:95" coordorigin="1064,602" coordsize="101,95" path="m1104,602l1064,696m1165,645l1104,602e" filled="false" stroked="true" strokeweight="1pt" strokecolor="#0066a5">
              <v:path arrowok="t"/>
              <v:stroke dashstyle="solid"/>
            </v:shape>
            <v:line style="position:absolute" from="1155,642" to="1215,642" stroked="true" strokeweight="1.234pt" strokecolor="#0066a5">
              <v:stroke dashstyle="solid"/>
            </v:line>
            <v:shape style="position:absolute;left:1204;top:576;width:161;height:84" coordorigin="1205,576" coordsize="161,84" path="m1265,615l1205,640m1305,660l1265,615m1366,576l1305,660e" filled="false" stroked="true" strokeweight="1pt" strokecolor="#0066a5">
              <v:path arrowok="t"/>
              <v:stroke dashstyle="solid"/>
            </v:shape>
            <v:line style="position:absolute" from="1356,578" to="1416,578" stroked="true" strokeweight="1.160pt" strokecolor="#0066a5">
              <v:stroke dashstyle="solid"/>
            </v:line>
            <v:shape style="position:absolute;left:1405;top:579;width:564;height:549" coordorigin="1406,579" coordsize="564,549" path="m1466,618l1406,579m1507,610l1466,618m1567,657l1507,610m1627,739l1567,657m1667,800l1627,739m1728,902l1667,800m1768,960l1728,902m1828,991l1768,960m1869,975l1828,991m1929,1068l1869,975m1969,1128l1929,1068e" filled="false" stroked="true" strokeweight="1pt" strokecolor="#0066a5">
              <v:path arrowok="t"/>
              <v:stroke dashstyle="solid"/>
            </v:shape>
            <v:line style="position:absolute" from="1959,1125" to="2039,1125" stroked="true" strokeweight="1.3pt" strokecolor="#0066a5">
              <v:stroke dashstyle="solid"/>
            </v:line>
            <v:shape style="position:absolute;left:2029;top:102;width:1328;height:1020" coordorigin="2029,103" coordsize="1328,1020" path="m2090,1106l2029,1122m2130,1019l2090,1106m2190,832l2130,1019m2231,806l2190,832m2291,821l2231,806m2331,887l2291,821m2391,887l2331,887m2432,792l2391,887m2492,758l2432,792m2552,646l2492,758m2593,491l2552,646m2653,390l2593,491m2693,360l2653,390m2753,336l2693,360m2794,190l2753,336m2854,147l2794,190m2894,223l2854,147m2955,233l2894,223m3015,223l2955,233m3055,245l3015,223m3116,259l3055,245m3116,259l3156,147m3216,103l3156,147m3216,103l3256,129m3256,129l3317,271m3357,401l3317,271e" filled="false" stroked="true" strokeweight="1pt" strokecolor="#0066a5">
              <v:path arrowok="t"/>
              <v:stroke dashstyle="solid"/>
            </v:shape>
            <v:shape style="position:absolute;left:944;top:284;width:72;height:1780" coordorigin="944,284" coordsize="72,1780" path="m1016,2063l944,2063m1016,1707l944,1707m1016,1352l944,1352m1016,996l944,996m1016,640l944,640m1016,284l944,284e" filled="false" stroked="true" strokeweight=".5pt" strokecolor="#000000">
              <v:path arrowok="t"/>
              <v:stroke dashstyle="solid"/>
            </v:shape>
            <w10:wrap type="none"/>
          </v:group>
        </w:pict>
      </w:r>
      <w:r>
        <w:rPr>
          <w:color w:val="231F20"/>
          <w:sz w:val="12"/>
        </w:rPr>
        <w:t>7.75</w:t>
      </w:r>
    </w:p>
    <w:p>
      <w:pPr>
        <w:pStyle w:val="BodyText"/>
        <w:spacing w:before="6"/>
        <w:rPr>
          <w:sz w:val="10"/>
        </w:rPr>
      </w:pPr>
    </w:p>
    <w:p>
      <w:pPr>
        <w:spacing w:before="0"/>
        <w:ind w:left="0" w:right="38" w:firstLine="0"/>
        <w:jc w:val="right"/>
        <w:rPr>
          <w:sz w:val="12"/>
        </w:rPr>
      </w:pPr>
      <w:r>
        <w:rPr>
          <w:color w:val="231F20"/>
          <w:sz w:val="12"/>
        </w:rPr>
        <w:t>7.25</w:t>
      </w:r>
    </w:p>
    <w:p>
      <w:pPr>
        <w:pStyle w:val="BodyText"/>
        <w:spacing w:before="6"/>
        <w:rPr>
          <w:sz w:val="10"/>
        </w:rPr>
      </w:pPr>
    </w:p>
    <w:p>
      <w:pPr>
        <w:spacing w:before="0"/>
        <w:ind w:left="0" w:right="38" w:firstLine="0"/>
        <w:jc w:val="right"/>
        <w:rPr>
          <w:sz w:val="12"/>
        </w:rPr>
      </w:pPr>
      <w:r>
        <w:rPr>
          <w:color w:val="231F20"/>
          <w:sz w:val="12"/>
        </w:rPr>
        <w:t>6.75</w:t>
      </w:r>
    </w:p>
    <w:p>
      <w:pPr>
        <w:pStyle w:val="BodyText"/>
        <w:spacing w:before="6"/>
        <w:rPr>
          <w:sz w:val="10"/>
        </w:rPr>
      </w:pPr>
    </w:p>
    <w:p>
      <w:pPr>
        <w:spacing w:before="0"/>
        <w:ind w:left="0" w:right="38" w:firstLine="0"/>
        <w:jc w:val="right"/>
        <w:rPr>
          <w:sz w:val="12"/>
        </w:rPr>
      </w:pPr>
      <w:r>
        <w:rPr>
          <w:color w:val="231F20"/>
          <w:sz w:val="12"/>
        </w:rPr>
        <w:t>6.25</w:t>
      </w:r>
    </w:p>
    <w:p>
      <w:pPr>
        <w:pStyle w:val="BodyText"/>
        <w:spacing w:before="6"/>
        <w:rPr>
          <w:sz w:val="10"/>
        </w:rPr>
      </w:pPr>
    </w:p>
    <w:p>
      <w:pPr>
        <w:spacing w:before="0"/>
        <w:ind w:left="0" w:right="38" w:firstLine="0"/>
        <w:jc w:val="right"/>
        <w:rPr>
          <w:sz w:val="12"/>
        </w:rPr>
      </w:pPr>
      <w:r>
        <w:rPr>
          <w:color w:val="231F20"/>
          <w:sz w:val="12"/>
        </w:rPr>
        <w:t>5.75</w:t>
      </w:r>
    </w:p>
    <w:p>
      <w:pPr>
        <w:pStyle w:val="BodyText"/>
        <w:spacing w:before="5"/>
        <w:rPr>
          <w:sz w:val="10"/>
        </w:rPr>
      </w:pPr>
    </w:p>
    <w:p>
      <w:pPr>
        <w:spacing w:before="1"/>
        <w:ind w:left="0" w:right="38" w:firstLine="0"/>
        <w:jc w:val="right"/>
        <w:rPr>
          <w:sz w:val="12"/>
        </w:rPr>
      </w:pPr>
      <w:r>
        <w:rPr>
          <w:color w:val="231F20"/>
          <w:sz w:val="12"/>
        </w:rPr>
        <w:t>5.25</w:t>
      </w:r>
    </w:p>
    <w:p>
      <w:pPr>
        <w:pStyle w:val="BodyText"/>
        <w:spacing w:before="5"/>
        <w:rPr>
          <w:sz w:val="10"/>
        </w:rPr>
      </w:pPr>
    </w:p>
    <w:p>
      <w:pPr>
        <w:spacing w:before="0"/>
        <w:ind w:left="0" w:right="38" w:firstLine="0"/>
        <w:jc w:val="right"/>
        <w:rPr>
          <w:sz w:val="12"/>
        </w:rPr>
      </w:pPr>
      <w:r>
        <w:rPr>
          <w:color w:val="231F20"/>
          <w:sz w:val="12"/>
        </w:rPr>
        <w:t>4.75</w:t>
      </w:r>
    </w:p>
    <w:p>
      <w:pPr>
        <w:pStyle w:val="BodyText"/>
        <w:spacing w:before="6"/>
        <w:rPr>
          <w:sz w:val="10"/>
        </w:rPr>
      </w:pPr>
    </w:p>
    <w:p>
      <w:pPr>
        <w:spacing w:before="0"/>
        <w:ind w:left="0" w:right="38" w:firstLine="0"/>
        <w:jc w:val="right"/>
        <w:rPr>
          <w:sz w:val="12"/>
        </w:rPr>
      </w:pPr>
      <w:r>
        <w:rPr>
          <w:color w:val="231F20"/>
          <w:sz w:val="12"/>
        </w:rPr>
        <w:t>4.25</w:t>
      </w:r>
    </w:p>
    <w:p>
      <w:pPr>
        <w:pStyle w:val="BodyText"/>
        <w:spacing w:before="6"/>
        <w:rPr>
          <w:sz w:val="10"/>
        </w:rPr>
      </w:pPr>
    </w:p>
    <w:p>
      <w:pPr>
        <w:spacing w:before="0"/>
        <w:ind w:left="0" w:right="38" w:firstLine="0"/>
        <w:jc w:val="right"/>
        <w:rPr>
          <w:sz w:val="12"/>
        </w:rPr>
      </w:pPr>
      <w:r>
        <w:rPr>
          <w:color w:val="231F20"/>
          <w:sz w:val="12"/>
        </w:rPr>
        <w:t>3.75</w:t>
      </w:r>
    </w:p>
    <w:p>
      <w:pPr>
        <w:pStyle w:val="BodyText"/>
        <w:spacing w:before="6"/>
        <w:rPr>
          <w:sz w:val="10"/>
        </w:rPr>
      </w:pPr>
    </w:p>
    <w:p>
      <w:pPr>
        <w:spacing w:line="136" w:lineRule="exact" w:before="0"/>
        <w:ind w:left="0" w:right="38" w:firstLine="0"/>
        <w:jc w:val="right"/>
        <w:rPr>
          <w:sz w:val="12"/>
        </w:rPr>
      </w:pPr>
      <w:r>
        <w:rPr/>
        <w:pict>
          <v:group style="position:absolute;margin-left:47.201pt;margin-top:4.237583pt;width:158.25pt;height:7.75pt;mso-position-horizontal-relative:page;mso-position-vertical-relative:paragraph;z-index:15775744" coordorigin="944,85" coordsize="3165,155">
            <v:line style="position:absolute" from="4072,93" to="4000,93" stroked="true" strokeweight=".5pt" strokecolor="#231f20">
              <v:stroke dashstyle="solid"/>
            </v:line>
            <v:shape style="position:absolute;left:944;top:89;width:3160;height:145" coordorigin="944,90" coordsize="3160,145" path="m4083,98l4083,125,4063,141,4103,155,4063,175,4103,191,4080,201,4080,225m1016,90l944,90m1020,97l1020,124,1000,140,1040,154,1000,174,1040,190,1016,200,1016,224m3407,231l3407,179m4080,228l945,228m1049,229l1049,124m1099,223l1099,178m1149,223l1149,178m1199,223l1199,178m1249,224l1249,179m1299,231l1299,178m1349,223l1349,178m1399,223l1399,178m1449,223l1449,178m1549,230l1549,176m1599,233l1599,177m1499,223l1499,166m1655,234l1655,141m1708,223l1708,178m1761,223l1761,178m1814,223l1814,178m1867,224l1867,179m1920,227l1920,181m1973,223l1973,178m2026,223l2026,178m2132,223l2132,178m2079,230l2079,178m2185,227l2185,181m2238,230l2238,175m2291,231l2291,134m2341,223l2341,178m2440,223l2440,178m2390,223l2390,178m2489,224l2489,179m2539,231l2539,175m2588,223l2588,178m2638,223l2638,178m2687,223l2687,178m2737,230l2737,178e" filled="false" stroked="true" strokeweight=".5pt" strokecolor="#000000">
              <v:path arrowok="t"/>
              <v:stroke dashstyle="solid"/>
            </v:shape>
            <v:line style="position:absolute" from="2785,173" to="2785,239" stroked="true" strokeweight=".629pt" strokecolor="#000000">
              <v:stroke dashstyle="solid"/>
            </v:line>
            <v:line style="position:absolute" from="2835,173" to="2835,236" stroked="true" strokeweight=".617pt" strokecolor="#000000">
              <v:stroke dashstyle="solid"/>
            </v:line>
            <v:shape style="position:absolute;left:2885;top:134;width:209;height:97" coordorigin="2885,134" coordsize="209,97" path="m2885,231l2885,134m2990,223l2990,178m2938,223l2938,178m3042,223l3042,178m3094,224l3094,179e" filled="false" stroked="true" strokeweight=".5pt" strokecolor="#000000">
              <v:path arrowok="t"/>
              <v:stroke dashstyle="solid"/>
            </v:shape>
            <v:line style="position:absolute" from="3302,173" to="3302,236" stroked="true" strokeweight=".621pt" strokecolor="#000000">
              <v:stroke dashstyle="solid"/>
            </v:line>
            <v:shape style="position:absolute;left:3146;top:148;width:797;height:84" coordorigin="3146,149" coordsize="797,84" path="m3146,223l3146,178m3198,223l3198,178m3251,223l3251,178m3355,230l3355,178m3459,230l3459,184m3511,232l3511,149m3727,232l3727,180m3781,232l3781,180m3835,232l3835,180m3889,232l3889,180m3942,232l3942,182m3619,232l3619,180m3673,232l3673,180m3565,232l3565,180e" filled="false" stroked="true" strokeweight=".5pt" strokecolor="#000000">
              <v:path arrowok="t"/>
              <v:stroke dashstyle="solid"/>
            </v:shape>
            <w10:wrap type="none"/>
          </v:group>
        </w:pict>
      </w:r>
      <w:r>
        <w:rPr>
          <w:color w:val="231F20"/>
          <w:sz w:val="12"/>
        </w:rPr>
        <w:t>3.25</w:t>
      </w:r>
    </w:p>
    <w:p>
      <w:pPr>
        <w:pStyle w:val="Heading4"/>
        <w:spacing w:before="207"/>
        <w:ind w:left="190"/>
      </w:pPr>
      <w:r>
        <w:rPr/>
        <w:br w:type="column"/>
      </w:r>
      <w:r>
        <w:rPr/>
        <w:t>Risk-neutral probability distributions of expected</w:t>
      </w:r>
    </w:p>
    <w:p>
      <w:pPr>
        <w:spacing w:line="242" w:lineRule="auto" w:before="4"/>
        <w:ind w:left="190" w:right="181" w:firstLine="0"/>
        <w:jc w:val="left"/>
        <w:rPr>
          <w:sz w:val="24"/>
        </w:rPr>
      </w:pPr>
      <w:r>
        <w:rPr>
          <w:sz w:val="24"/>
        </w:rPr>
        <w:t>three-month market rates derived from options prices on 4 November and 3 February are shown in Chart 1.10.</w:t>
      </w:r>
    </w:p>
    <w:p>
      <w:pPr>
        <w:spacing w:line="242" w:lineRule="auto" w:before="3"/>
        <w:ind w:left="190" w:right="210" w:firstLine="0"/>
        <w:jc w:val="left"/>
        <w:rPr>
          <w:sz w:val="24"/>
        </w:rPr>
      </w:pPr>
      <w:r>
        <w:rPr>
          <w:sz w:val="24"/>
        </w:rPr>
        <w:t>Uncertainty about the likely path of interest rates over the next year, as measured by the width of the blue fan, has diminished since November and since interest rates began to be reduced in October. A smaller weight is being attached to the possibility of a rate rise. Market expectations as at 3 February for the most likely outcome, shown by the darkest blue band, were for a further fall in interest rates over the next year, to</w:t>
      </w:r>
      <w:r>
        <w:rPr>
          <w:spacing w:val="-20"/>
          <w:sz w:val="24"/>
        </w:rPr>
        <w:t> </w:t>
      </w:r>
      <w:r>
        <w:rPr>
          <w:spacing w:val="-3"/>
          <w:sz w:val="24"/>
        </w:rPr>
        <w:t>between </w:t>
      </w:r>
      <w:r>
        <w:rPr>
          <w:sz w:val="24"/>
        </w:rPr>
        <w:t>5% and 5</w:t>
      </w:r>
      <w:r>
        <w:rPr>
          <w:position w:val="8"/>
          <w:sz w:val="12"/>
        </w:rPr>
        <w:t>1</w:t>
      </w:r>
      <w:r>
        <w:rPr>
          <w:sz w:val="24"/>
        </w:rPr>
        <w:t>/</w:t>
      </w:r>
      <w:r>
        <w:rPr>
          <w:sz w:val="12"/>
        </w:rPr>
        <w:t>4</w:t>
      </w:r>
      <w:r>
        <w:rPr>
          <w:sz w:val="24"/>
        </w:rPr>
        <w:t>% by the final quarter of</w:t>
      </w:r>
      <w:r>
        <w:rPr>
          <w:spacing w:val="-2"/>
          <w:sz w:val="24"/>
        </w:rPr>
        <w:t> </w:t>
      </w:r>
      <w:r>
        <w:rPr>
          <w:sz w:val="24"/>
        </w:rPr>
        <w:t>1999.</w:t>
      </w:r>
    </w:p>
    <w:p>
      <w:pPr>
        <w:pStyle w:val="BodyText"/>
        <w:spacing w:before="9"/>
        <w:rPr>
          <w:sz w:val="28"/>
        </w:rPr>
      </w:pPr>
    </w:p>
    <w:p>
      <w:pPr>
        <w:spacing w:line="274" w:lineRule="exact" w:before="0"/>
        <w:ind w:left="190" w:right="0" w:firstLine="0"/>
        <w:jc w:val="left"/>
        <w:rPr>
          <w:sz w:val="24"/>
        </w:rPr>
      </w:pPr>
      <w:r>
        <w:rPr>
          <w:sz w:val="24"/>
        </w:rPr>
        <w:t>The US Federal Reserve cut its official rate by</w:t>
      </w:r>
    </w:p>
    <w:p>
      <w:pPr>
        <w:spacing w:after="0" w:line="274" w:lineRule="exact"/>
        <w:jc w:val="left"/>
        <w:rPr>
          <w:sz w:val="24"/>
        </w:rPr>
        <w:sectPr>
          <w:type w:val="continuous"/>
          <w:pgSz w:w="11900" w:h="16840"/>
          <w:pgMar w:top="1220" w:bottom="280" w:left="640" w:right="600"/>
          <w:cols w:num="3" w:equalWidth="0">
            <w:col w:w="2918" w:space="40"/>
            <w:col w:w="781" w:space="1031"/>
            <w:col w:w="5890"/>
          </w:cols>
        </w:sectPr>
      </w:pPr>
    </w:p>
    <w:p>
      <w:pPr>
        <w:pStyle w:val="BodyText"/>
        <w:spacing w:before="6"/>
        <w:rPr>
          <w:sz w:val="11"/>
        </w:rPr>
      </w:pPr>
    </w:p>
    <w:p>
      <w:pPr>
        <w:spacing w:before="0"/>
        <w:ind w:left="0" w:right="0" w:firstLine="0"/>
        <w:jc w:val="right"/>
        <w:rPr>
          <w:sz w:val="12"/>
        </w:rPr>
      </w:pPr>
      <w:r>
        <w:rPr>
          <w:color w:val="231F20"/>
          <w:sz w:val="12"/>
        </w:rPr>
        <w:t>1995</w:t>
      </w:r>
    </w:p>
    <w:p>
      <w:pPr>
        <w:pStyle w:val="BodyText"/>
        <w:spacing w:before="6"/>
        <w:rPr>
          <w:sz w:val="11"/>
        </w:rPr>
      </w:pPr>
      <w:r>
        <w:rPr/>
        <w:br w:type="column"/>
      </w:r>
      <w:r>
        <w:rPr>
          <w:sz w:val="11"/>
        </w:rPr>
      </w:r>
    </w:p>
    <w:p>
      <w:pPr>
        <w:tabs>
          <w:tab w:pos="1028" w:val="left" w:leader="none"/>
        </w:tabs>
        <w:spacing w:before="0"/>
        <w:ind w:left="394" w:right="0" w:firstLine="0"/>
        <w:jc w:val="left"/>
        <w:rPr>
          <w:sz w:val="12"/>
        </w:rPr>
      </w:pPr>
      <w:r>
        <w:rPr>
          <w:color w:val="231F20"/>
          <w:sz w:val="12"/>
        </w:rPr>
        <w:t>96</w:t>
        <w:tab/>
      </w:r>
      <w:r>
        <w:rPr>
          <w:color w:val="231F20"/>
          <w:spacing w:val="-10"/>
          <w:sz w:val="12"/>
        </w:rPr>
        <w:t>97</w:t>
      </w:r>
    </w:p>
    <w:p>
      <w:pPr>
        <w:pStyle w:val="BodyText"/>
        <w:spacing w:before="6"/>
        <w:rPr>
          <w:sz w:val="11"/>
        </w:rPr>
      </w:pPr>
      <w:r>
        <w:rPr/>
        <w:br w:type="column"/>
      </w:r>
      <w:r>
        <w:rPr>
          <w:sz w:val="11"/>
        </w:rPr>
      </w:r>
    </w:p>
    <w:p>
      <w:pPr>
        <w:tabs>
          <w:tab w:pos="957" w:val="left" w:leader="none"/>
        </w:tabs>
        <w:spacing w:before="0"/>
        <w:ind w:left="426" w:right="0" w:firstLine="0"/>
        <w:jc w:val="left"/>
        <w:rPr>
          <w:sz w:val="12"/>
        </w:rPr>
      </w:pPr>
      <w:r>
        <w:rPr>
          <w:color w:val="231F20"/>
          <w:sz w:val="12"/>
        </w:rPr>
        <w:t>98</w:t>
        <w:tab/>
      </w:r>
      <w:r>
        <w:rPr>
          <w:color w:val="231F20"/>
          <w:spacing w:val="-10"/>
          <w:sz w:val="12"/>
        </w:rPr>
        <w:t>99</w:t>
      </w:r>
    </w:p>
    <w:p>
      <w:pPr>
        <w:spacing w:line="133" w:lineRule="exact" w:before="0"/>
        <w:ind w:left="303" w:right="0" w:firstLine="0"/>
        <w:jc w:val="left"/>
        <w:rPr>
          <w:sz w:val="12"/>
        </w:rPr>
      </w:pPr>
      <w:r>
        <w:rPr/>
        <w:br w:type="column"/>
      </w:r>
      <w:r>
        <w:rPr>
          <w:sz w:val="12"/>
        </w:rPr>
        <w:t>0.00</w:t>
      </w:r>
    </w:p>
    <w:p>
      <w:pPr>
        <w:pStyle w:val="Heading4"/>
        <w:spacing w:before="6"/>
        <w:ind w:left="596"/>
      </w:pPr>
      <w:r>
        <w:rPr/>
        <w:br w:type="column"/>
      </w:r>
      <w:r>
        <w:rPr/>
        <w:t>0.25 percentage points on 17 November. Short-term</w:t>
      </w:r>
    </w:p>
    <w:p>
      <w:pPr>
        <w:spacing w:after="0"/>
        <w:sectPr>
          <w:type w:val="continuous"/>
          <w:pgSz w:w="11900" w:h="16840"/>
          <w:pgMar w:top="1220" w:bottom="280" w:left="640" w:right="600"/>
          <w:cols w:num="5" w:equalWidth="0">
            <w:col w:w="837" w:space="40"/>
            <w:col w:w="1149" w:space="39"/>
            <w:col w:w="1078" w:space="40"/>
            <w:col w:w="554" w:space="627"/>
            <w:col w:w="6296"/>
          </w:cols>
        </w:sectPr>
      </w:pPr>
    </w:p>
    <w:p>
      <w:pPr>
        <w:pStyle w:val="BodyText"/>
        <w:spacing w:before="9"/>
        <w:rPr>
          <w:sz w:val="10"/>
        </w:rPr>
      </w:pPr>
    </w:p>
    <w:p>
      <w:pPr>
        <w:tabs>
          <w:tab w:pos="3079" w:val="left" w:leader="none"/>
        </w:tabs>
        <w:spacing w:before="1"/>
        <w:ind w:left="300" w:right="0" w:firstLine="0"/>
        <w:jc w:val="center"/>
        <w:rPr>
          <w:sz w:val="11"/>
        </w:rPr>
      </w:pPr>
      <w:r>
        <w:rPr/>
        <w:pict>
          <v:line style="position:absolute;mso-position-horizontal-relative:page;mso-position-vertical-relative:paragraph;z-index:-21238272" from="47.974998pt,75.344742pt" to="51.674998pt,75.344742pt" stroked="true" strokeweight=".5pt" strokecolor="#000000">
            <v:stroke dashstyle="solid"/>
            <w10:wrap type="none"/>
          </v:line>
        </w:pict>
      </w:r>
      <w:r>
        <w:rPr/>
        <w:pict>
          <v:line style="position:absolute;mso-position-horizontal-relative:page;mso-position-vertical-relative:paragraph;z-index:15780352" from="47.724998pt,48.05574pt" to="51.424998pt,48.05574pt" stroked="true" strokeweight=".5pt" strokecolor="#000000">
            <v:stroke dashstyle="solid"/>
            <w10:wrap type="none"/>
          </v:line>
        </w:pict>
      </w:r>
      <w:r>
        <w:rPr/>
        <w:pict>
          <v:line style="position:absolute;mso-position-horizontal-relative:page;mso-position-vertical-relative:paragraph;z-index:15780864" from="47.474998pt,34.440742pt" to="51.174998pt,34.440742pt" stroked="true" strokeweight=".5pt" strokecolor="#000000">
            <v:stroke dashstyle="solid"/>
            <w10:wrap type="none"/>
          </v:line>
        </w:pict>
      </w:r>
      <w:r>
        <w:rPr/>
        <w:pict>
          <v:line style="position:absolute;mso-position-horizontal-relative:page;mso-position-vertical-relative:paragraph;z-index:15781376" from="204.808994pt,48.05574pt" to="201.108994pt,48.05574pt" stroked="true" strokeweight=".5pt" strokecolor="#000000">
            <v:stroke dashstyle="solid"/>
            <w10:wrap type="none"/>
          </v:line>
        </w:pict>
      </w:r>
      <w:r>
        <w:rPr/>
        <w:pict>
          <v:line style="position:absolute;mso-position-horizontal-relative:page;mso-position-vertical-relative:paragraph;z-index:15781888" from="204.808994pt,34.440742pt" to="201.108994pt,34.440742pt" stroked="true" strokeweight=".5pt" strokecolor="#000000">
            <v:stroke dashstyle="solid"/>
            <w10:wrap type="none"/>
          </v:line>
        </w:pict>
      </w:r>
      <w:r>
        <w:rPr>
          <w:color w:val="231F20"/>
          <w:w w:val="110"/>
          <w:sz w:val="11"/>
        </w:rPr>
        <w:t>Expectations as at c.o.b. 3</w:t>
      </w:r>
      <w:r>
        <w:rPr>
          <w:color w:val="231F20"/>
          <w:spacing w:val="-17"/>
          <w:w w:val="110"/>
          <w:sz w:val="11"/>
        </w:rPr>
        <w:t> </w:t>
      </w:r>
      <w:r>
        <w:rPr>
          <w:color w:val="231F20"/>
          <w:w w:val="110"/>
          <w:sz w:val="11"/>
        </w:rPr>
        <w:t>February</w:t>
      </w:r>
      <w:r>
        <w:rPr>
          <w:color w:val="231F20"/>
          <w:spacing w:val="-3"/>
          <w:w w:val="110"/>
          <w:sz w:val="11"/>
        </w:rPr>
        <w:t> </w:t>
      </w:r>
      <w:r>
        <w:rPr>
          <w:color w:val="231F20"/>
          <w:w w:val="110"/>
          <w:sz w:val="11"/>
        </w:rPr>
        <w:t>1999</w:t>
        <w:tab/>
        <w:t>Per</w:t>
      </w:r>
      <w:r>
        <w:rPr>
          <w:color w:val="231F20"/>
          <w:spacing w:val="-2"/>
          <w:w w:val="110"/>
          <w:sz w:val="11"/>
        </w:rPr>
        <w:t> </w:t>
      </w:r>
      <w:r>
        <w:rPr>
          <w:color w:val="231F20"/>
          <w:spacing w:val="-5"/>
          <w:w w:val="110"/>
          <w:sz w:val="11"/>
        </w:rPr>
        <w:t>cent</w:t>
      </w:r>
    </w:p>
    <w:p>
      <w:pPr>
        <w:tabs>
          <w:tab w:pos="3374" w:val="left" w:leader="none"/>
        </w:tabs>
        <w:spacing w:line="20" w:lineRule="exact"/>
        <w:ind w:left="307" w:right="-58" w:firstLine="0"/>
        <w:rPr>
          <w:sz w:val="2"/>
        </w:rPr>
      </w:pPr>
      <w:r>
        <w:rPr>
          <w:sz w:val="2"/>
        </w:rPr>
        <w:pict>
          <v:group style="width:3.7pt;height:.5pt;mso-position-horizontal-relative:char;mso-position-vertical-relative:line" coordorigin="0,0" coordsize="74,10">
            <v:line style="position:absolute" from="0,5" to="74,5" stroked="true" strokeweight=".5pt" strokecolor="#000000">
              <v:stroke dashstyle="solid"/>
            </v:line>
          </v:group>
        </w:pict>
      </w:r>
      <w:r>
        <w:rPr>
          <w:sz w:val="2"/>
        </w:rPr>
      </w:r>
      <w:r>
        <w:rPr>
          <w:sz w:val="2"/>
        </w:rPr>
        <w:tab/>
      </w:r>
      <w:r>
        <w:rPr>
          <w:sz w:val="2"/>
        </w:rPr>
        <w:pict>
          <v:group style="width:3.7pt;height:.5pt;mso-position-horizontal-relative:char;mso-position-vertical-relative:line" coordorigin="0,0" coordsize="74,10">
            <v:line style="position:absolute" from="74,5" to="0,5" stroked="true" strokeweight=".5pt" strokecolor="#000000">
              <v:stroke dashstyle="solid"/>
            </v:line>
          </v:group>
        </w:pict>
      </w:r>
      <w:r>
        <w:rPr>
          <w:sz w:val="2"/>
        </w:rPr>
      </w:r>
    </w:p>
    <w:p>
      <w:pPr>
        <w:pStyle w:val="BodyText"/>
        <w:spacing w:before="6"/>
        <w:rPr>
          <w:sz w:val="19"/>
        </w:rPr>
      </w:pPr>
      <w:r>
        <w:rPr/>
        <w:pict>
          <v:shape style="position:absolute;margin-left:47.724998pt;margin-top:13.444618pt;width:3.7pt;height:.1pt;mso-position-horizontal-relative:page;mso-position-vertical-relative:paragraph;z-index:-15686144;mso-wrap-distance-left:0;mso-wrap-distance-right:0" coordorigin="954,269" coordsize="74,0" path="m954,269l1028,269e" filled="false" stroked="true" strokeweight=".5pt" strokecolor="#000000">
            <v:path arrowok="t"/>
            <v:stroke dashstyle="solid"/>
            <w10:wrap type="topAndBottom"/>
          </v:shape>
        </w:pict>
      </w:r>
      <w:r>
        <w:rPr/>
        <w:pict>
          <v:shape style="position:absolute;margin-left:201.108994pt;margin-top:13.444618pt;width:3.7pt;height:.1pt;mso-position-horizontal-relative:page;mso-position-vertical-relative:paragraph;z-index:-15685632;mso-wrap-distance-left:0;mso-wrap-distance-right:0" coordorigin="4022,269" coordsize="74,0" path="m4096,269l4022,269e" filled="false" stroked="true" strokeweight=".5pt" strokecolor="#000000">
            <v:path arrowok="t"/>
            <v:stroke dashstyle="solid"/>
            <w10:wrap type="topAndBottom"/>
          </v:shape>
        </w:pict>
      </w:r>
      <w:r>
        <w:rPr/>
        <w:pict>
          <v:group style="position:absolute;margin-left:47.516998pt;margin-top:27.058619pt;width:157.3pt;height:113.2pt;mso-position-horizontal-relative:page;mso-position-vertical-relative:paragraph;z-index:-15685120;mso-wrap-distance-left:0;mso-wrap-distance-right:0" coordorigin="950,541" coordsize="3146,2264">
            <v:shape style="position:absolute;left:3441;top:1031;width:543;height:1773" coordorigin="3441,1032" coordsize="543,1773" path="m3984,1032l3836,1392,3688,1498,3540,1534,3441,1594,3540,1974,3688,2318,3836,2577,3984,2804,3984,1032xe" filled="true" fillcolor="#bfd0e6" stroked="false">
              <v:path arrowok="t"/>
              <v:fill type="solid"/>
            </v:shape>
            <v:shape style="position:absolute;left:3441;top:1446;width:543;height:1017" coordorigin="3441,1447" coordsize="543,1017" path="m3984,1447l3836,1637,3688,1668,3540,1629,3441,1593,3540,1885,3688,2136,3836,2365,3984,2463,3984,1447xe" filled="true" fillcolor="#8aadd3" stroked="false">
              <v:path arrowok="t"/>
              <v:fill type="solid"/>
            </v:shape>
            <v:shape style="position:absolute;left:3441;top:1594;width:543;height:665" coordorigin="3441,1594" coordsize="543,665" path="m3441,1594l3540,1831,3688,2053,3836,2243,3984,2258,3984,1633,3836,1774,3688,1756,3540,1672,3441,1594xe" filled="true" fillcolor="#5991c2" stroked="false">
              <v:path arrowok="t"/>
              <v:fill type="solid"/>
            </v:shape>
            <v:shape style="position:absolute;left:3441;top:1592;width:543;height:551" coordorigin="3441,1593" coordsize="543,551" path="m3441,1593l3540,1783,3688,1988,3836,2144,3984,2111,3984,1765,3836,1877,3688,1820,3540,1696,3441,1593xe" filled="true" fillcolor="#0e7ab3" stroked="false">
              <v:path arrowok="t"/>
              <v:fill type="solid"/>
            </v:shape>
            <v:shape style="position:absolute;left:3441;top:1591;width:543;height:463" coordorigin="3441,1591" coordsize="543,463" path="m3441,1591l3540,1744,3688,1930,3836,2053,3984,1989,3984,1878,3836,1966,3688,1875,3540,1717,3441,1591xe" filled="true" fillcolor="#0066a5" stroked="false">
              <v:path arrowok="t"/>
              <v:fill type="solid"/>
            </v:shape>
            <v:shape style="position:absolute;left:950;top:1085;width:3146;height:1634" coordorigin="950,1086" coordsize="3146,1634" path="m4096,2720l4022,2720m4096,2447l4022,2447m4096,2175l4022,2175m4096,1903l4022,1903m4096,1630l4022,1630m4096,1358l4022,1358m4096,1086l4022,1086m950,1086l1025,1086e" filled="false" stroked="true" strokeweight=".5pt" strokecolor="#000000">
              <v:path arrowok="t"/>
              <v:stroke dashstyle="solid"/>
            </v:shape>
            <v:shape style="position:absolute;left:1070;top:1076;width:99;height:100" coordorigin="1070,1077" coordsize="99,100" path="m1119,1077l1070,1176m1169,1122l1119,1077e" filled="false" stroked="true" strokeweight="1pt" strokecolor="#0066a5">
              <v:path arrowok="t"/>
              <v:stroke dashstyle="solid"/>
            </v:shape>
            <v:line style="position:absolute" from="1159,1119" to="1228,1119" stroked="true" strokeweight="1.245pt" strokecolor="#0066a5">
              <v:stroke dashstyle="solid"/>
            </v:line>
            <v:shape style="position:absolute;left:1218;top:1049;width:148;height:88" coordorigin="1218,1050" coordsize="148,88" path="m1267,1090l1218,1117m1317,1137l1267,1090m1366,1050l1317,1137e" filled="false" stroked="true" strokeweight="1pt" strokecolor="#0066a5">
              <v:path arrowok="t"/>
              <v:stroke dashstyle="solid"/>
            </v:shape>
            <v:line style="position:absolute" from="1356,1051" to="1425,1051" stroked="true" strokeweight="1.169pt" strokecolor="#0066a5">
              <v:stroke dashstyle="solid"/>
            </v:line>
            <v:shape style="position:absolute;left:1415;top:1052;width:543;height:577" coordorigin="1415,1053" coordsize="543,577" path="m1465,1094l1415,1053m1514,1085l1465,1094m1563,1135l1514,1085m1613,1221l1563,1135m1662,1285l1613,1221m1711,1392l1662,1285m1761,1454l1711,1392m1810,1486l1761,1454m1859,1469l1810,1486m1909,1567l1859,1469m1958,1630l1909,1567e" filled="false" stroked="true" strokeweight="1pt" strokecolor="#0066a5">
              <v:path arrowok="t"/>
              <v:stroke dashstyle="solid"/>
            </v:shape>
            <v:line style="position:absolute" from="1948,1627" to="2017,1627" stroked="true" strokeweight="1.316pt" strokecolor="#0066a5">
              <v:stroke dashstyle="solid"/>
            </v:line>
            <v:shape style="position:absolute;left:2007;top:551;width:1431;height:1073" coordorigin="2007,551" coordsize="1431,1073" path="m2057,1607l2007,1623m2106,1515l2057,1607m2155,1318l2106,1515m2205,1291l2155,1318m2254,1307l2205,1291m2303,1376l2254,1307m2353,1376l2303,1376m2402,1276l2353,1376m2451,1241l2402,1276m2501,1123l2451,1241m2550,960l2501,1123m2599,854l2550,960m2649,822l2599,854m2698,797l2649,822m2747,643l2698,797m2797,598l2747,643m2846,678l2797,598m2895,688l2846,678m2945,678l2895,688m2994,702l2945,678m3043,716l2994,702m3093,598l3043,716m3142,551l3093,598m3191,579l3142,551m3241,728l3191,579m3290,865l3241,728m3339,999l3290,865m3389,1276l3339,999m3438,1593l3389,1276e" filled="false" stroked="true" strokeweight="1pt" strokecolor="#0066a5">
              <v:path arrowok="t"/>
              <v:stroke dashstyle="solid"/>
            </v:shape>
            <w10:wrap type="topAndBottom"/>
          </v:group>
        </w:pict>
      </w:r>
    </w:p>
    <w:p>
      <w:pPr>
        <w:pStyle w:val="BodyText"/>
        <w:spacing w:before="3"/>
        <w:rPr>
          <w:sz w:val="17"/>
        </w:rPr>
      </w:pPr>
    </w:p>
    <w:p>
      <w:pPr>
        <w:pStyle w:val="BodyText"/>
        <w:spacing w:before="4"/>
        <w:rPr>
          <w:sz w:val="13"/>
        </w:rPr>
      </w:pPr>
    </w:p>
    <w:p>
      <w:pPr>
        <w:pStyle w:val="BodyText"/>
        <w:spacing w:line="131" w:lineRule="exact"/>
        <w:ind w:left="315" w:right="-87"/>
        <w:rPr>
          <w:sz w:val="13"/>
        </w:rPr>
      </w:pPr>
      <w:r>
        <w:rPr>
          <w:position w:val="-2"/>
          <w:sz w:val="13"/>
        </w:rPr>
        <w:pict>
          <v:group style="width:158.050pt;height:6.6pt;mso-position-horizontal-relative:char;mso-position-vertical-relative:line" coordorigin="0,0" coordsize="3161,132">
            <v:shape style="position:absolute;left:0;top:5;width:3156;height:122" coordorigin="0,5" coordsize="3156,122" path="m0,122l3129,122m110,122l110,36m159,122l159,74m208,122l208,74m258,122l258,74m307,122l307,74m356,122l356,74m406,122l406,74m455,122l455,74m504,122l504,74m554,122l554,74m603,122l603,74m652,122l652,74m702,122l702,36m751,122l751,72m800,122l800,72m850,122l850,72m899,122l899,72m948,122l948,72m998,122l998,72m1047,122l1047,72m1096,122l1096,72m1146,122l1146,72m1195,122l1195,72m1244,122l1244,72m1294,122l1294,36m1343,122l1343,72m1392,122l1392,72m1442,122l1442,72m1491,122l1491,72m1540,122l1540,72m1590,122l1590,72m1639,122l1639,72m1688,122l1688,72m1738,122l1738,72m1787,122l1787,72m1836,122l1836,72m1886,122l1886,36m1935,122l1935,72m1984,122l1984,72m2034,122l2034,72m2083,122l2083,72m2132,122l2132,72m2182,122l2182,72m2231,122l2231,72m2280,122l2280,72m2330,122l2330,72m2379,122l2379,72m2428,122l2428,72m2478,122l2478,36m2527,122l2527,74m2576,122l2576,74m2626,122l2626,74m2675,122l2675,74m2724,122l2724,74m2774,122l2774,74m2823,122l2823,74m2872,122l2872,74m2922,122l2922,74m2971,122l2971,74m1,5l75,5m3136,5l3062,5m3136,5l3136,30,3116,44,3156,57,3116,76,3156,91,3133,100,3132,122m72,10l72,34,52,49,92,62,52,80,92,95,68,105,68,126m3020,120l3020,72e" filled="false" stroked="true" strokeweight=".5pt" strokecolor="#000000">
              <v:path arrowok="t"/>
              <v:stroke dashstyle="solid"/>
            </v:shape>
          </v:group>
        </w:pict>
      </w:r>
      <w:r>
        <w:rPr>
          <w:position w:val="-2"/>
          <w:sz w:val="13"/>
        </w:rPr>
      </w:r>
    </w:p>
    <w:p>
      <w:pPr>
        <w:tabs>
          <w:tab w:pos="995" w:val="left" w:leader="none"/>
          <w:tab w:pos="1575" w:val="left" w:leader="none"/>
          <w:tab w:pos="2190" w:val="left" w:leader="none"/>
          <w:tab w:pos="2790" w:val="left" w:leader="none"/>
        </w:tabs>
        <w:spacing w:before="10"/>
        <w:ind w:left="315" w:right="0" w:firstLine="0"/>
        <w:jc w:val="center"/>
        <w:rPr>
          <w:sz w:val="11"/>
        </w:rPr>
      </w:pPr>
      <w:r>
        <w:rPr/>
        <w:pict>
          <v:line style="position:absolute;mso-position-horizontal-relative:page;mso-position-vertical-relative:paragraph;z-index:15777280" from="47.474998pt,-19.941902pt" to="51.174998pt,-19.941902pt" stroked="true" strokeweight=".5pt" strokecolor="#000000">
            <v:stroke dashstyle="solid"/>
            <w10:wrap type="none"/>
          </v:line>
        </w:pict>
      </w:r>
      <w:r>
        <w:rPr/>
        <w:pict>
          <v:line style="position:absolute;mso-position-horizontal-relative:page;mso-position-vertical-relative:paragraph;z-index:-21240320" from="47.724998pt,-33.5569pt" to="51.424998pt,-33.5569pt" stroked="true" strokeweight=".5pt" strokecolor="#000000">
            <v:stroke dashstyle="solid"/>
            <w10:wrap type="none"/>
          </v:line>
        </w:pict>
      </w:r>
      <w:r>
        <w:rPr/>
        <w:pict>
          <v:line style="position:absolute;mso-position-horizontal-relative:page;mso-position-vertical-relative:paragraph;z-index:-21239808" from="47.724998pt,-47.173901pt" to="51.424998pt,-47.173901pt" stroked="true" strokeweight=".5pt" strokecolor="#000000">
            <v:stroke dashstyle="solid"/>
            <w10:wrap type="none"/>
          </v:line>
        </w:pict>
      </w:r>
      <w:r>
        <w:rPr/>
        <w:pict>
          <v:line style="position:absolute;mso-position-horizontal-relative:page;mso-position-vertical-relative:paragraph;z-index:-21239296" from="47.724998pt,-60.788902pt" to="51.424998pt,-60.788902pt" stroked="true" strokeweight=".5pt" strokecolor="#000000">
            <v:stroke dashstyle="solid"/>
            <w10:wrap type="none"/>
          </v:line>
        </w:pict>
      </w:r>
      <w:r>
        <w:rPr/>
        <w:pict>
          <v:line style="position:absolute;mso-position-horizontal-relative:page;mso-position-vertical-relative:paragraph;z-index:-21238784" from="47.724998pt,-74.4049pt" to="51.424998pt,-74.4049pt" stroked="true" strokeweight=".5pt" strokecolor="#000000">
            <v:stroke dashstyle="solid"/>
            <w10:wrap type="none"/>
          </v:line>
        </w:pict>
      </w:r>
      <w:r>
        <w:rPr>
          <w:color w:val="231F20"/>
          <w:w w:val="110"/>
          <w:sz w:val="11"/>
        </w:rPr>
        <w:t>1995</w:t>
        <w:tab/>
        <w:t>96</w:t>
        <w:tab/>
        <w:t>97</w:t>
        <w:tab/>
        <w:t>98</w:t>
        <w:tab/>
        <w:t>99</w:t>
      </w:r>
    </w:p>
    <w:p>
      <w:pPr>
        <w:pStyle w:val="BodyText"/>
        <w:rPr>
          <w:sz w:val="12"/>
        </w:rPr>
      </w:pPr>
    </w:p>
    <w:p>
      <w:pPr>
        <w:spacing w:before="108"/>
        <w:ind w:left="160" w:right="0" w:firstLine="0"/>
        <w:jc w:val="left"/>
        <w:rPr>
          <w:sz w:val="12"/>
        </w:rPr>
      </w:pPr>
      <w:r>
        <w:rPr>
          <w:sz w:val="12"/>
        </w:rPr>
        <w:t>Sources: LIFFE and Bank of England.</w:t>
      </w:r>
    </w:p>
    <w:p>
      <w:pPr>
        <w:pStyle w:val="BodyText"/>
        <w:rPr>
          <w:sz w:val="10"/>
        </w:rPr>
      </w:pPr>
      <w:r>
        <w:rPr/>
        <w:br w:type="column"/>
      </w:r>
      <w:r>
        <w:rPr>
          <w:sz w:val="10"/>
        </w:rPr>
      </w:r>
    </w:p>
    <w:p>
      <w:pPr>
        <w:spacing w:before="83"/>
        <w:ind w:left="-20" w:right="0" w:firstLine="0"/>
        <w:jc w:val="left"/>
        <w:rPr>
          <w:sz w:val="10"/>
        </w:rPr>
      </w:pPr>
      <w:r>
        <w:rPr>
          <w:color w:val="231F20"/>
          <w:w w:val="110"/>
          <w:sz w:val="10"/>
        </w:rPr>
        <w:t>8.75</w:t>
      </w:r>
    </w:p>
    <w:p>
      <w:pPr>
        <w:pStyle w:val="BodyText"/>
        <w:spacing w:before="11"/>
        <w:rPr>
          <w:sz w:val="12"/>
        </w:rPr>
      </w:pPr>
    </w:p>
    <w:p>
      <w:pPr>
        <w:spacing w:before="0"/>
        <w:ind w:left="-22" w:right="0" w:firstLine="0"/>
        <w:jc w:val="left"/>
        <w:rPr>
          <w:sz w:val="11"/>
        </w:rPr>
      </w:pPr>
      <w:r>
        <w:rPr>
          <w:color w:val="231F20"/>
          <w:w w:val="110"/>
          <w:sz w:val="11"/>
        </w:rPr>
        <w:t>8.25</w:t>
      </w:r>
    </w:p>
    <w:p>
      <w:pPr>
        <w:pStyle w:val="BodyText"/>
        <w:spacing w:before="8"/>
        <w:rPr>
          <w:sz w:val="12"/>
        </w:rPr>
      </w:pPr>
    </w:p>
    <w:p>
      <w:pPr>
        <w:spacing w:before="0"/>
        <w:ind w:left="-22" w:right="0" w:firstLine="0"/>
        <w:jc w:val="left"/>
        <w:rPr>
          <w:sz w:val="11"/>
        </w:rPr>
      </w:pPr>
      <w:r>
        <w:rPr>
          <w:color w:val="231F20"/>
          <w:w w:val="110"/>
          <w:sz w:val="11"/>
        </w:rPr>
        <w:t>7.75</w:t>
      </w:r>
    </w:p>
    <w:p>
      <w:pPr>
        <w:pStyle w:val="BodyText"/>
        <w:spacing w:before="8"/>
        <w:rPr>
          <w:sz w:val="12"/>
        </w:rPr>
      </w:pPr>
    </w:p>
    <w:p>
      <w:pPr>
        <w:spacing w:before="0"/>
        <w:ind w:left="-22" w:right="0" w:firstLine="0"/>
        <w:jc w:val="left"/>
        <w:rPr>
          <w:sz w:val="11"/>
        </w:rPr>
      </w:pPr>
      <w:r>
        <w:rPr>
          <w:color w:val="231F20"/>
          <w:w w:val="110"/>
          <w:sz w:val="11"/>
        </w:rPr>
        <w:t>7.25</w:t>
      </w:r>
    </w:p>
    <w:p>
      <w:pPr>
        <w:pStyle w:val="BodyText"/>
        <w:spacing w:before="8"/>
        <w:rPr>
          <w:sz w:val="12"/>
        </w:rPr>
      </w:pPr>
    </w:p>
    <w:p>
      <w:pPr>
        <w:spacing w:before="0"/>
        <w:ind w:left="-22" w:right="0" w:firstLine="0"/>
        <w:jc w:val="left"/>
        <w:rPr>
          <w:sz w:val="11"/>
        </w:rPr>
      </w:pPr>
      <w:r>
        <w:rPr>
          <w:color w:val="231F20"/>
          <w:w w:val="110"/>
          <w:sz w:val="11"/>
        </w:rPr>
        <w:t>6.75</w:t>
      </w:r>
    </w:p>
    <w:p>
      <w:pPr>
        <w:pStyle w:val="BodyText"/>
        <w:spacing w:before="7"/>
        <w:rPr>
          <w:sz w:val="12"/>
        </w:rPr>
      </w:pPr>
    </w:p>
    <w:p>
      <w:pPr>
        <w:spacing w:before="1"/>
        <w:ind w:left="-22" w:right="0" w:firstLine="0"/>
        <w:jc w:val="left"/>
        <w:rPr>
          <w:sz w:val="11"/>
        </w:rPr>
      </w:pPr>
      <w:r>
        <w:rPr>
          <w:color w:val="231F20"/>
          <w:w w:val="110"/>
          <w:sz w:val="11"/>
        </w:rPr>
        <w:t>6.25</w:t>
      </w:r>
    </w:p>
    <w:p>
      <w:pPr>
        <w:pStyle w:val="BodyText"/>
        <w:spacing w:before="7"/>
        <w:rPr>
          <w:sz w:val="12"/>
        </w:rPr>
      </w:pPr>
    </w:p>
    <w:p>
      <w:pPr>
        <w:spacing w:before="0"/>
        <w:ind w:left="-22" w:right="0" w:firstLine="0"/>
        <w:jc w:val="left"/>
        <w:rPr>
          <w:sz w:val="11"/>
        </w:rPr>
      </w:pPr>
      <w:r>
        <w:rPr>
          <w:color w:val="231F20"/>
          <w:w w:val="110"/>
          <w:sz w:val="11"/>
        </w:rPr>
        <w:t>5.75</w:t>
      </w:r>
    </w:p>
    <w:p>
      <w:pPr>
        <w:pStyle w:val="BodyText"/>
        <w:spacing w:before="8"/>
        <w:rPr>
          <w:sz w:val="12"/>
        </w:rPr>
      </w:pPr>
    </w:p>
    <w:p>
      <w:pPr>
        <w:spacing w:before="0"/>
        <w:ind w:left="-22" w:right="0" w:firstLine="0"/>
        <w:jc w:val="left"/>
        <w:rPr>
          <w:sz w:val="11"/>
        </w:rPr>
      </w:pPr>
      <w:r>
        <w:rPr>
          <w:color w:val="231F20"/>
          <w:w w:val="110"/>
          <w:sz w:val="11"/>
        </w:rPr>
        <w:t>5.25</w:t>
      </w:r>
    </w:p>
    <w:p>
      <w:pPr>
        <w:pStyle w:val="BodyText"/>
        <w:spacing w:before="8"/>
        <w:rPr>
          <w:sz w:val="12"/>
        </w:rPr>
      </w:pPr>
    </w:p>
    <w:p>
      <w:pPr>
        <w:spacing w:before="0"/>
        <w:ind w:left="-22" w:right="0" w:firstLine="0"/>
        <w:jc w:val="left"/>
        <w:rPr>
          <w:sz w:val="11"/>
        </w:rPr>
      </w:pPr>
      <w:r>
        <w:rPr>
          <w:color w:val="231F20"/>
          <w:w w:val="110"/>
          <w:sz w:val="11"/>
        </w:rPr>
        <w:t>4.75</w:t>
      </w:r>
    </w:p>
    <w:p>
      <w:pPr>
        <w:pStyle w:val="BodyText"/>
        <w:spacing w:before="8"/>
        <w:rPr>
          <w:sz w:val="12"/>
        </w:rPr>
      </w:pPr>
    </w:p>
    <w:p>
      <w:pPr>
        <w:spacing w:before="0"/>
        <w:ind w:left="-22" w:right="0" w:firstLine="0"/>
        <w:jc w:val="left"/>
        <w:rPr>
          <w:sz w:val="11"/>
        </w:rPr>
      </w:pPr>
      <w:r>
        <w:rPr>
          <w:color w:val="231F20"/>
          <w:w w:val="110"/>
          <w:sz w:val="11"/>
        </w:rPr>
        <w:t>4.25</w:t>
      </w:r>
    </w:p>
    <w:p>
      <w:pPr>
        <w:pStyle w:val="BodyText"/>
        <w:spacing w:before="8"/>
        <w:rPr>
          <w:sz w:val="12"/>
        </w:rPr>
      </w:pPr>
    </w:p>
    <w:p>
      <w:pPr>
        <w:spacing w:before="0"/>
        <w:ind w:left="-22" w:right="0" w:firstLine="0"/>
        <w:jc w:val="left"/>
        <w:rPr>
          <w:sz w:val="11"/>
        </w:rPr>
      </w:pPr>
      <w:r>
        <w:rPr>
          <w:color w:val="231F20"/>
          <w:w w:val="110"/>
          <w:sz w:val="11"/>
        </w:rPr>
        <w:t>3.75</w:t>
      </w:r>
    </w:p>
    <w:p>
      <w:pPr>
        <w:pStyle w:val="BodyText"/>
        <w:spacing w:before="8"/>
        <w:rPr>
          <w:sz w:val="12"/>
        </w:rPr>
      </w:pPr>
    </w:p>
    <w:p>
      <w:pPr>
        <w:spacing w:line="122" w:lineRule="exact" w:before="0"/>
        <w:ind w:left="-22" w:right="0" w:firstLine="0"/>
        <w:jc w:val="left"/>
        <w:rPr>
          <w:sz w:val="11"/>
        </w:rPr>
      </w:pPr>
      <w:r>
        <w:rPr>
          <w:color w:val="231F20"/>
          <w:w w:val="110"/>
          <w:sz w:val="11"/>
        </w:rPr>
        <w:t>3.25</w:t>
      </w:r>
    </w:p>
    <w:p>
      <w:pPr>
        <w:spacing w:line="122" w:lineRule="exact" w:before="0"/>
        <w:ind w:left="-20" w:right="0" w:firstLine="0"/>
        <w:jc w:val="left"/>
        <w:rPr>
          <w:sz w:val="11"/>
        </w:rPr>
      </w:pPr>
      <w:r>
        <w:rPr>
          <w:color w:val="231F20"/>
          <w:w w:val="110"/>
          <w:sz w:val="11"/>
        </w:rPr>
        <w:t>0.00</w:t>
      </w:r>
    </w:p>
    <w:p>
      <w:pPr>
        <w:pStyle w:val="Heading4"/>
        <w:spacing w:line="242" w:lineRule="auto" w:before="4"/>
        <w:ind w:left="160" w:right="329"/>
      </w:pPr>
      <w:r>
        <w:rPr/>
        <w:br w:type="column"/>
      </w:r>
      <w:r>
        <w:rPr/>
        <w:t>interest rates among countries participating in EMU converged at 3.0% in advance of the introduction of the euro on 1 January. Probability distributions of expected three-month market interest rates for the euro area, derived from option price data on euribor contracts, show that short-term rates in the euro area are expected to remain close to their current level over the next year (see Chart 1.11).</w:t>
      </w:r>
    </w:p>
    <w:p>
      <w:pPr>
        <w:pStyle w:val="BodyText"/>
        <w:spacing w:before="8"/>
        <w:rPr>
          <w:sz w:val="28"/>
        </w:rPr>
      </w:pPr>
    </w:p>
    <w:p>
      <w:pPr>
        <w:spacing w:line="242" w:lineRule="auto" w:before="0"/>
        <w:ind w:left="160" w:right="288" w:firstLine="0"/>
        <w:jc w:val="left"/>
        <w:rPr>
          <w:sz w:val="24"/>
        </w:rPr>
      </w:pPr>
      <w:r>
        <w:rPr>
          <w:sz w:val="24"/>
        </w:rPr>
        <w:t>The impact of monetary policy on the real economy depends on the real rate of interest, which is not directly observable and depends on inflation expectations.</w:t>
      </w:r>
    </w:p>
    <w:p>
      <w:pPr>
        <w:spacing w:line="242" w:lineRule="auto" w:before="4"/>
        <w:ind w:left="160" w:right="204" w:firstLine="0"/>
        <w:jc w:val="left"/>
        <w:rPr>
          <w:sz w:val="24"/>
        </w:rPr>
      </w:pPr>
      <w:r>
        <w:rPr>
          <w:sz w:val="24"/>
        </w:rPr>
        <w:t>Survey-based measures of UK inflation expectations for the next two years fell during 1998 and are now on</w:t>
      </w:r>
    </w:p>
    <w:p>
      <w:pPr>
        <w:spacing w:after="0" w:line="242" w:lineRule="auto"/>
        <w:jc w:val="left"/>
        <w:rPr>
          <w:sz w:val="24"/>
        </w:rPr>
        <w:sectPr>
          <w:type w:val="continuous"/>
          <w:pgSz w:w="11900" w:h="16840"/>
          <w:pgMar w:top="1220" w:bottom="280" w:left="640" w:right="600"/>
          <w:cols w:num="3" w:equalWidth="0">
            <w:col w:w="3470" w:space="40"/>
            <w:col w:w="231" w:space="1059"/>
            <w:col w:w="5860"/>
          </w:cols>
        </w:sectPr>
      </w:pPr>
    </w:p>
    <w:p>
      <w:pPr>
        <w:spacing w:line="208" w:lineRule="auto" w:before="65"/>
        <w:ind w:left="160" w:right="38" w:firstLine="0"/>
        <w:jc w:val="left"/>
        <w:rPr>
          <w:sz w:val="12"/>
        </w:rPr>
      </w:pPr>
      <w:r>
        <w:rPr>
          <w:sz w:val="12"/>
        </w:rPr>
        <w:t>The chart depicts the probability distribution for short-term interest rates and is rather like a contour map. So at any given point, the depth of shading represents the height of the probability density function implied by the markets over a range of outcomes for short-term interest rates. The markets judge that there is a 10% chance of interest rates being within the darkest, central band at any date. Each successive pair of bands covers a further 20% of the probability distribution until 90% of the distribution is covered. The bands widen as the time horizon is extended, indicating increased uncertainty about interest rate outcomes.</w:t>
      </w:r>
    </w:p>
    <w:p>
      <w:pPr>
        <w:pStyle w:val="BodyText"/>
        <w:rPr>
          <w:sz w:val="12"/>
        </w:rPr>
      </w:pPr>
    </w:p>
    <w:p>
      <w:pPr>
        <w:pStyle w:val="BodyText"/>
        <w:rPr>
          <w:sz w:val="12"/>
        </w:rPr>
      </w:pPr>
    </w:p>
    <w:p>
      <w:pPr>
        <w:pStyle w:val="BodyText"/>
        <w:spacing w:before="2"/>
        <w:rPr>
          <w:sz w:val="12"/>
        </w:rPr>
      </w:pPr>
    </w:p>
    <w:p>
      <w:pPr>
        <w:pStyle w:val="Heading7"/>
        <w:spacing w:before="0"/>
      </w:pPr>
      <w:r>
        <w:rPr>
          <w:color w:val="0093C1"/>
        </w:rPr>
        <w:t>Chart 1.11</w:t>
      </w:r>
    </w:p>
    <w:p>
      <w:pPr>
        <w:spacing w:line="249" w:lineRule="auto" w:before="10"/>
        <w:ind w:left="180" w:right="777" w:firstLine="0"/>
        <w:jc w:val="left"/>
        <w:rPr>
          <w:b/>
          <w:sz w:val="20"/>
        </w:rPr>
      </w:pPr>
      <w:r>
        <w:rPr>
          <w:b/>
          <w:color w:val="0093C1"/>
          <w:sz w:val="20"/>
        </w:rPr>
        <w:t>Implied distributions for euribor three-month interest rates</w:t>
      </w:r>
    </w:p>
    <w:p>
      <w:pPr>
        <w:tabs>
          <w:tab w:pos="3036" w:val="left" w:leader="none"/>
        </w:tabs>
        <w:spacing w:before="106"/>
        <w:ind w:left="244" w:right="0" w:firstLine="0"/>
        <w:jc w:val="left"/>
        <w:rPr>
          <w:sz w:val="11"/>
        </w:rPr>
      </w:pPr>
      <w:r>
        <w:rPr/>
        <w:pict>
          <v:line style="position:absolute;mso-position-horizontal-relative:page;mso-position-vertical-relative:paragraph;z-index:-21229568" from="44.245998pt,12.025765pt" to="47.945998pt,12.025765pt" stroked="true" strokeweight=".5pt" strokecolor="#000000">
            <v:stroke dashstyle="solid"/>
            <w10:wrap type="none"/>
          </v:line>
        </w:pict>
      </w:r>
      <w:r>
        <w:rPr/>
        <w:pict>
          <v:line style="position:absolute;mso-position-horizontal-relative:page;mso-position-vertical-relative:paragraph;z-index:-21229056" from="201.420993pt,12.025765pt" to="197.720993pt,12.025765pt" stroked="true" strokeweight=".5pt" strokecolor="#000000">
            <v:stroke dashstyle="solid"/>
            <w10:wrap type="none"/>
          </v:line>
        </w:pict>
      </w:r>
      <w:r>
        <w:rPr>
          <w:color w:val="231F20"/>
          <w:sz w:val="11"/>
        </w:rPr>
        <w:t>Expectations as at 3</w:t>
      </w:r>
      <w:r>
        <w:rPr>
          <w:color w:val="231F20"/>
          <w:spacing w:val="2"/>
          <w:sz w:val="11"/>
        </w:rPr>
        <w:t> </w:t>
      </w:r>
      <w:r>
        <w:rPr>
          <w:color w:val="231F20"/>
          <w:sz w:val="11"/>
        </w:rPr>
        <w:t>February</w:t>
      </w:r>
      <w:r>
        <w:rPr>
          <w:color w:val="231F20"/>
          <w:spacing w:val="1"/>
          <w:sz w:val="11"/>
        </w:rPr>
        <w:t> </w:t>
      </w:r>
      <w:r>
        <w:rPr>
          <w:color w:val="231F20"/>
          <w:sz w:val="11"/>
        </w:rPr>
        <w:t>1999</w:t>
        <w:tab/>
        <w:t>Per cent</w:t>
      </w:r>
      <w:r>
        <w:rPr>
          <w:color w:val="231F20"/>
          <w:spacing w:val="15"/>
          <w:sz w:val="11"/>
        </w:rPr>
        <w:t> </w:t>
      </w:r>
      <w:r>
        <w:rPr>
          <w:color w:val="231F20"/>
          <w:position w:val="-5"/>
          <w:sz w:val="11"/>
        </w:rPr>
        <w:t>6.0</w:t>
      </w:r>
    </w:p>
    <w:p>
      <w:pPr>
        <w:spacing w:before="146"/>
        <w:ind w:left="0" w:right="175" w:firstLine="0"/>
        <w:jc w:val="right"/>
        <w:rPr>
          <w:sz w:val="11"/>
        </w:rPr>
      </w:pPr>
      <w:r>
        <w:rPr/>
        <w:pict>
          <v:line style="position:absolute;mso-position-horizontal-relative:page;mso-position-vertical-relative:paragraph;z-index:15785472" from="44.667pt,10.968128pt" to="48.367pt,10.968128pt" stroked="true" strokeweight=".5pt" strokecolor="#000000">
            <v:stroke dashstyle="solid"/>
            <w10:wrap type="none"/>
          </v:line>
        </w:pict>
      </w:r>
      <w:r>
        <w:rPr/>
        <w:pict>
          <v:line style="position:absolute;mso-position-horizontal-relative:page;mso-position-vertical-relative:paragraph;z-index:15788032" from="201.841998pt,10.968128pt" to="198.141998pt,10.968128pt" stroked="true" strokeweight=".5pt" strokecolor="#000000">
            <v:stroke dashstyle="solid"/>
            <w10:wrap type="none"/>
          </v:line>
        </w:pict>
      </w:r>
      <w:r>
        <w:rPr>
          <w:color w:val="231F20"/>
          <w:sz w:val="11"/>
        </w:rPr>
        <w:t>5.5</w:t>
      </w:r>
    </w:p>
    <w:p>
      <w:pPr>
        <w:pStyle w:val="BodyText"/>
        <w:spacing w:before="8"/>
        <w:rPr>
          <w:sz w:val="12"/>
        </w:rPr>
      </w:pPr>
    </w:p>
    <w:p>
      <w:pPr>
        <w:spacing w:before="0"/>
        <w:ind w:left="0" w:right="175" w:firstLine="0"/>
        <w:jc w:val="right"/>
        <w:rPr>
          <w:sz w:val="11"/>
        </w:rPr>
      </w:pPr>
      <w:r>
        <w:rPr/>
        <w:pict>
          <v:group style="position:absolute;margin-left:44.466999pt;margin-top:-1.020616pt;width:157.4pt;height:86.65pt;mso-position-horizontal-relative:page;mso-position-vertical-relative:paragraph;z-index:-21235712" coordorigin="889,-20" coordsize="3148,1733">
            <v:shape style="position:absolute;left:3387;top:511;width:543;height:1162" coordorigin="3387,512" coordsize="543,1162" path="m3930,512l3782,861,3634,952,3486,1037,3387,1092,3486,1313,3634,1509,3782,1632,3930,1673,3930,512xe" filled="true" fillcolor="#f8dbc3" stroked="false">
              <v:path arrowok="t"/>
              <v:fill type="solid"/>
            </v:shape>
            <v:shape style="position:absolute;left:3387;top:840;width:543;height:619" coordorigin="3387,841" coordsize="543,619" path="m3930,841l3782,1068,3631,1070,3486,1087,3387,1093,3486,1245,3584,1321,3631,1359,3730,1426,3782,1459,3930,1425,3930,841xe" filled="true" fillcolor="#f2bd94" stroked="false">
              <v:path arrowok="t"/>
              <v:fill type="solid"/>
            </v:shape>
            <v:shape style="position:absolute;left:3387;top:953;width:543;height:383" coordorigin="3387,954" coordsize="543,383" path="m3930,954l3782,1127,3631,1118,3486,1099,3387,1093,3486,1197,3584,1258,3631,1288,3730,1320,3782,1337,3930,1294,3930,954xe" filled="true" fillcolor="#eba16b" stroked="false">
              <v:path arrowok="t"/>
              <v:fill type="solid"/>
            </v:shape>
            <v:shape style="position:absolute;left:3387;top:1027;width:543;height:240" coordorigin="3387,1028" coordsize="543,240" path="m3930,1028l3782,1163,3631,1152,3584,1137,3486,1107,3387,1092,3486,1152,3584,1214,3631,1245,3730,1260,3782,1268,3930,1213,3930,1028xe" filled="true" fillcolor="#e58742" stroked="false">
              <v:path arrowok="t"/>
              <v:fill type="solid"/>
            </v:shape>
            <v:shape style="position:absolute;left:3387;top:1089;width:543;height:138" coordorigin="3387,1089" coordsize="543,138" path="m3930,1089l3782,1194,3631,1182,3584,1159,3486,1115,3387,1091,3486,1127,3584,1183,3631,1211,3782,1227,3930,1149,3930,1089xe" filled="true" fillcolor="#df6f1d" stroked="false">
              <v:path arrowok="t"/>
              <v:fill type="solid"/>
            </v:shape>
            <v:shape style="position:absolute;left:3962;top:618;width:74;height:1090" coordorigin="3963,618" coordsize="74,1090" path="m4037,1707l3963,1707m4037,1435l3963,1435m4037,1163l3963,1163m4037,890l3963,890m4037,618l3963,618e" filled="false" stroked="true" strokeweight=".5pt" strokecolor="#000000">
              <v:path arrowok="t"/>
              <v:stroke dashstyle="solid"/>
            </v:shape>
            <v:line style="position:absolute" from="3435,1104" to="3386,1092" stroked="true" strokeweight=".5pt" strokecolor="#df6f1d">
              <v:stroke dashstyle="solid"/>
            </v:line>
            <v:line style="position:absolute" from="889,73" to="963,73" stroked="true" strokeweight=".5pt" strokecolor="#000000">
              <v:stroke dashstyle="solid"/>
            </v:line>
            <v:shape style="position:absolute;left:1018;top:-11;width:642;height:980" coordorigin="1018,-10" coordsize="642,980" path="m1067,19l1018,-10m1117,35l1067,19m1166,249l1117,35m1215,293l1166,249m1265,330l1215,293m1314,313l1265,330m1363,362l1314,313m1413,512l1363,362m1462,567l1413,512m1511,613l1462,567m1561,650l1511,613m1610,832l1561,650m1659,969l1610,832e" filled="false" stroked="true" strokeweight="1pt" strokecolor="#df6f1d">
              <v:path arrowok="t"/>
              <v:stroke dashstyle="solid"/>
            </v:shape>
            <v:line style="position:absolute" from="1649,969" to="1719,969" stroked="true" strokeweight="1.019000pt" strokecolor="#df6f1d">
              <v:stroke dashstyle="solid"/>
            </v:line>
            <v:shape style="position:absolute;left:1708;top:953;width:148;height:53" coordorigin="1709,953" coordsize="148,53" path="m1758,984l1709,969m1807,1006l1758,984m1857,953l1807,1006e" filled="false" stroked="true" strokeweight="1pt" strokecolor="#df6f1d">
              <v:path arrowok="t"/>
              <v:stroke dashstyle="solid"/>
            </v:shape>
            <v:line style="position:absolute" from="1847,954" to="1916,954" stroked="true" strokeweight="1.027pt" strokecolor="#df6f1d">
              <v:stroke dashstyle="solid"/>
            </v:line>
            <v:shape style="position:absolute;left:1906;top:953;width:99;height:144" coordorigin="1906,954" coordsize="99,144" path="m1955,999l1906,954m2005,1098l1955,999e" filled="false" stroked="true" strokeweight="1pt" strokecolor="#df6f1d">
              <v:path arrowok="t"/>
              <v:stroke dashstyle="solid"/>
            </v:shape>
            <v:line style="position:absolute" from="1995,1097" to="2064,1097" stroked="true" strokeweight="1.041pt" strokecolor="#df6f1d">
              <v:stroke dashstyle="solid"/>
            </v:line>
            <v:shape style="position:absolute;left:2054;top:1013;width:395;height:84" coordorigin="2054,1014" coordsize="395,84" path="m2103,1058l2054,1097m2153,1038l2103,1058m2202,1092l2153,1038m2251,1065l2202,1092m2301,1014l2251,1065m2350,1034l2301,1014m2399,1066l2350,1034m2449,1085l2399,1066e" filled="false" stroked="true" strokeweight="1pt" strokecolor="#df6f1d">
              <v:path arrowok="t"/>
              <v:stroke dashstyle="solid"/>
            </v:shape>
            <v:line style="position:absolute" from="2439,1082" to="2508,1082" stroked="true" strokeweight="1.292pt" strokecolor="#df6f1d">
              <v:stroke dashstyle="solid"/>
            </v:line>
            <v:shape style="position:absolute;left:2498;top:758;width:198;height:321" coordorigin="2498,759" coordsize="198,321" path="m2547,1011l2498,1079m2597,994l2547,1011m2646,842l2597,994m2695,759l2646,842e" filled="false" stroked="true" strokeweight="1pt" strokecolor="#df6f1d">
              <v:path arrowok="t"/>
              <v:stroke dashstyle="solid"/>
            </v:shape>
            <v:line style="position:absolute" from="2685,758" to="2755,758" stroked="true" strokeweight="1.054pt" strokecolor="#df6f1d">
              <v:stroke dashstyle="solid"/>
            </v:line>
            <v:shape style="position:absolute;left:2744;top:757;width:642;height:335" coordorigin="2745,758" coordsize="642,335" path="m2794,850l2745,758m2843,880l2794,850m2893,872l2843,880m2942,812l2893,872m2991,820l2942,812m3041,856l2991,820m3090,869l3041,856m3139,884l3090,869m3189,894l3139,884m3238,853l3189,894m3287,820l3238,853m3337,959l3287,820m3386,1092l3337,959e" filled="false" stroked="true" strokeweight="1pt" strokecolor="#df6f1d">
              <v:path arrowok="t"/>
              <v:stroke dashstyle="solid"/>
            </v:shape>
            <w10:wrap type="none"/>
          </v:group>
        </w:pict>
      </w:r>
      <w:r>
        <w:rPr/>
        <w:pict>
          <v:line style="position:absolute;mso-position-horizontal-relative:page;mso-position-vertical-relative:paragraph;z-index:15787520" from="201.841998pt,3.668384pt" to="198.141998pt,3.668384pt" stroked="true" strokeweight=".5pt" strokecolor="#000000">
            <v:stroke dashstyle="solid"/>
            <w10:wrap type="none"/>
          </v:line>
        </w:pict>
      </w:r>
      <w:r>
        <w:rPr>
          <w:color w:val="231F20"/>
          <w:sz w:val="11"/>
        </w:rPr>
        <w:t>5.0</w:t>
      </w:r>
    </w:p>
    <w:p>
      <w:pPr>
        <w:pStyle w:val="BodyText"/>
        <w:spacing w:before="8"/>
        <w:rPr>
          <w:sz w:val="12"/>
        </w:rPr>
      </w:pPr>
    </w:p>
    <w:p>
      <w:pPr>
        <w:spacing w:before="0"/>
        <w:ind w:left="0" w:right="175" w:firstLine="0"/>
        <w:jc w:val="right"/>
        <w:rPr>
          <w:sz w:val="11"/>
        </w:rPr>
      </w:pPr>
      <w:r>
        <w:rPr/>
        <w:pict>
          <v:line style="position:absolute;mso-position-horizontal-relative:page;mso-position-vertical-relative:paragraph;z-index:15784960" from="44.466999pt,3.666654pt" to="48.166999pt,3.666654pt" stroked="true" strokeweight=".5pt" strokecolor="#000000">
            <v:stroke dashstyle="solid"/>
            <w10:wrap type="none"/>
          </v:line>
        </w:pict>
      </w:r>
      <w:r>
        <w:rPr/>
        <w:pict>
          <v:line style="position:absolute;mso-position-horizontal-relative:page;mso-position-vertical-relative:paragraph;z-index:15787008" from="201.841998pt,3.666654pt" to="198.141998pt,3.666654pt" stroked="true" strokeweight=".5pt" strokecolor="#000000">
            <v:stroke dashstyle="solid"/>
            <w10:wrap type="none"/>
          </v:line>
        </w:pict>
      </w:r>
      <w:r>
        <w:rPr>
          <w:color w:val="231F20"/>
          <w:sz w:val="11"/>
        </w:rPr>
        <w:t>4.5</w:t>
      </w:r>
    </w:p>
    <w:p>
      <w:pPr>
        <w:pStyle w:val="BodyText"/>
        <w:spacing w:before="8"/>
        <w:rPr>
          <w:sz w:val="12"/>
        </w:rPr>
      </w:pPr>
    </w:p>
    <w:p>
      <w:pPr>
        <w:spacing w:before="0"/>
        <w:ind w:left="0" w:right="175" w:firstLine="0"/>
        <w:jc w:val="right"/>
        <w:rPr>
          <w:sz w:val="11"/>
        </w:rPr>
      </w:pPr>
      <w:r>
        <w:rPr/>
        <w:pict>
          <v:line style="position:absolute;mso-position-horizontal-relative:page;mso-position-vertical-relative:paragraph;z-index:15784448" from="44.466999pt,3.666924pt" to="48.166999pt,3.666924pt" stroked="true" strokeweight=".5pt" strokecolor="#000000">
            <v:stroke dashstyle="solid"/>
            <w10:wrap type="none"/>
          </v:line>
        </w:pict>
      </w:r>
      <w:r>
        <w:rPr>
          <w:color w:val="231F20"/>
          <w:sz w:val="11"/>
        </w:rPr>
        <w:t>4.0</w:t>
      </w:r>
    </w:p>
    <w:p>
      <w:pPr>
        <w:pStyle w:val="BodyText"/>
        <w:spacing w:before="7"/>
        <w:rPr>
          <w:sz w:val="12"/>
        </w:rPr>
      </w:pPr>
    </w:p>
    <w:p>
      <w:pPr>
        <w:spacing w:before="1"/>
        <w:ind w:left="0" w:right="175" w:firstLine="0"/>
        <w:jc w:val="right"/>
        <w:rPr>
          <w:sz w:val="11"/>
        </w:rPr>
      </w:pPr>
      <w:r>
        <w:rPr/>
        <w:pict>
          <v:line style="position:absolute;mso-position-horizontal-relative:page;mso-position-vertical-relative:paragraph;z-index:15783936" from="44.466999pt,3.714179pt" to="48.166999pt,3.714179pt" stroked="true" strokeweight=".5pt" strokecolor="#000000">
            <v:stroke dashstyle="solid"/>
            <w10:wrap type="none"/>
          </v:line>
        </w:pict>
      </w:r>
      <w:r>
        <w:rPr>
          <w:color w:val="231F20"/>
          <w:sz w:val="11"/>
        </w:rPr>
        <w:t>3.5</w:t>
      </w:r>
    </w:p>
    <w:p>
      <w:pPr>
        <w:pStyle w:val="BodyText"/>
        <w:spacing w:before="7"/>
        <w:rPr>
          <w:sz w:val="12"/>
        </w:rPr>
      </w:pPr>
    </w:p>
    <w:p>
      <w:pPr>
        <w:spacing w:before="1"/>
        <w:ind w:left="0" w:right="175" w:firstLine="0"/>
        <w:jc w:val="right"/>
        <w:rPr>
          <w:sz w:val="11"/>
        </w:rPr>
      </w:pPr>
      <w:r>
        <w:rPr/>
        <w:pict>
          <v:line style="position:absolute;mso-position-horizontal-relative:page;mso-position-vertical-relative:paragraph;z-index:15783424" from="44.466999pt,3.714449pt" to="48.166999pt,3.714449pt" stroked="true" strokeweight=".5pt" strokecolor="#000000">
            <v:stroke dashstyle="solid"/>
            <w10:wrap type="none"/>
          </v:line>
        </w:pict>
      </w:r>
      <w:r>
        <w:rPr>
          <w:color w:val="231F20"/>
          <w:sz w:val="11"/>
        </w:rPr>
        <w:t>3.0</w:t>
      </w:r>
    </w:p>
    <w:p>
      <w:pPr>
        <w:pStyle w:val="Heading4"/>
        <w:spacing w:line="242" w:lineRule="auto" w:before="2"/>
        <w:ind w:left="160" w:right="337"/>
      </w:pPr>
      <w:r>
        <w:rPr/>
        <w:br w:type="column"/>
      </w:r>
      <w:r>
        <w:rPr/>
        <w:t>average close to the inflation target. So adjusting the nominal UK interest rate of 5.5% for inflation expectations, the current short-term real rate is likely to be around 3%. That is somewhat below the average long-run real rate derived from the gilt market since 1982 (see Chart 1.12).</w:t>
      </w:r>
    </w:p>
    <w:p>
      <w:pPr>
        <w:pStyle w:val="BodyText"/>
        <w:rPr>
          <w:sz w:val="32"/>
        </w:rPr>
      </w:pPr>
    </w:p>
    <w:p>
      <w:pPr>
        <w:pStyle w:val="Heading5"/>
        <w:ind w:left="160"/>
        <w:rPr>
          <w:i/>
        </w:rPr>
      </w:pPr>
      <w:r>
        <w:rPr>
          <w:i/>
          <w:color w:val="009483"/>
        </w:rPr>
        <w:t>Long-term interest rates</w:t>
      </w:r>
    </w:p>
    <w:p>
      <w:pPr>
        <w:spacing w:line="242" w:lineRule="auto" w:before="164"/>
        <w:ind w:left="160" w:right="329" w:firstLine="0"/>
        <w:jc w:val="left"/>
        <w:rPr>
          <w:sz w:val="24"/>
        </w:rPr>
      </w:pPr>
      <w:r>
        <w:rPr>
          <w:sz w:val="24"/>
        </w:rPr>
        <w:t>Nominal yields on UK government bonds at all maturities have been falling since 1996, but have fallen particularly sharply since the November 1998 </w:t>
      </w:r>
      <w:r>
        <w:rPr>
          <w:i/>
          <w:sz w:val="24"/>
        </w:rPr>
        <w:t>Report</w:t>
      </w:r>
      <w:r>
        <w:rPr>
          <w:sz w:val="24"/>
        </w:rPr>
        <w:t>. For example, between 11 November and 3 February, two, ten and fifteen-year yields fell by 74, 71 and 65 basis points to 4.73%, 4.23% and 4.27% respectively.</w:t>
      </w:r>
    </w:p>
    <w:p>
      <w:pPr>
        <w:spacing w:after="0" w:line="242" w:lineRule="auto"/>
        <w:jc w:val="left"/>
        <w:rPr>
          <w:sz w:val="24"/>
        </w:rPr>
        <w:sectPr>
          <w:type w:val="continuous"/>
          <w:pgSz w:w="11900" w:h="16840"/>
          <w:pgMar w:top="1220" w:bottom="280" w:left="640" w:right="600"/>
          <w:cols w:num="2" w:equalWidth="0">
            <w:col w:w="3766" w:space="1034"/>
            <w:col w:w="5860"/>
          </w:cols>
        </w:sectPr>
      </w:pPr>
    </w:p>
    <w:p>
      <w:pPr>
        <w:pStyle w:val="BodyText"/>
        <w:spacing w:before="6" w:after="1"/>
      </w:pPr>
    </w:p>
    <w:p>
      <w:pPr>
        <w:pStyle w:val="BodyText"/>
        <w:spacing w:line="20" w:lineRule="exact"/>
        <w:ind w:left="244"/>
        <w:rPr>
          <w:sz w:val="2"/>
        </w:rPr>
      </w:pPr>
      <w:r>
        <w:rPr>
          <w:sz w:val="2"/>
        </w:rPr>
        <w:pict>
          <v:group style="width:3.7pt;height:.5pt;mso-position-horizontal-relative:char;mso-position-vertical-relative:line" coordorigin="0,0" coordsize="74,10">
            <v:line style="position:absolute" from="0,5" to="74,5" stroked="true" strokeweight=".5pt" strokecolor="#000000">
              <v:stroke dashstyle="solid"/>
            </v:line>
          </v:group>
        </w:pict>
      </w:r>
      <w:r>
        <w:rPr>
          <w:sz w:val="2"/>
        </w:rPr>
      </w:r>
    </w:p>
    <w:p>
      <w:pPr>
        <w:pStyle w:val="BodyText"/>
        <w:spacing w:before="6"/>
      </w:pPr>
      <w:r>
        <w:rPr/>
        <w:pict>
          <v:shape style="position:absolute;margin-left:44.466999pt;margin-top:12.865pt;width:3.7pt;height:.1pt;mso-position-horizontal-relative:page;mso-position-vertical-relative:paragraph;z-index:-15683584;mso-wrap-distance-left:0;mso-wrap-distance-right:0" coordorigin="889,257" coordsize="74,0" path="m889,257l963,257e" filled="false" stroked="true" strokeweight=".5pt" strokecolor="#000000">
            <v:path arrowok="t"/>
            <v:stroke dashstyle="solid"/>
            <w10:wrap type="topAndBottom"/>
          </v:shape>
        </w:pict>
      </w:r>
      <w:r>
        <w:rPr/>
        <w:pict>
          <v:shape style="position:absolute;margin-left:44.466999pt;margin-top:26.482pt;width:3.7pt;height:.1pt;mso-position-horizontal-relative:page;mso-position-vertical-relative:paragraph;z-index:-15683072;mso-wrap-distance-left:0;mso-wrap-distance-right:0" coordorigin="889,530" coordsize="74,0" path="m889,530l963,530e" filled="false" stroked="true" strokeweight=".5pt" strokecolor="#000000">
            <v:path arrowok="t"/>
            <v:stroke dashstyle="solid"/>
            <w10:wrap type="topAndBottom"/>
          </v:shape>
        </w:pict>
      </w:r>
      <w:r>
        <w:rPr/>
        <w:pict>
          <v:shape style="position:absolute;margin-left:44.466999pt;margin-top:40.096001pt;width:3.7pt;height:.1pt;mso-position-horizontal-relative:page;mso-position-vertical-relative:paragraph;z-index:-15682560;mso-wrap-distance-left:0;mso-wrap-distance-right:0" coordorigin="889,802" coordsize="74,0" path="m889,802l963,802e" filled="false" stroked="true" strokeweight=".5pt" strokecolor="#000000">
            <v:path arrowok="t"/>
            <v:stroke dashstyle="solid"/>
            <w10:wrap type="topAndBottom"/>
          </v:shape>
        </w:pict>
      </w:r>
    </w:p>
    <w:p>
      <w:pPr>
        <w:pStyle w:val="BodyText"/>
        <w:spacing w:before="10"/>
        <w:rPr>
          <w:sz w:val="16"/>
        </w:rPr>
      </w:pPr>
    </w:p>
    <w:p>
      <w:pPr>
        <w:pStyle w:val="BodyText"/>
        <w:spacing w:before="10"/>
        <w:rPr>
          <w:sz w:val="16"/>
        </w:rPr>
      </w:pPr>
    </w:p>
    <w:p>
      <w:pPr>
        <w:pStyle w:val="BodyText"/>
        <w:rPr>
          <w:sz w:val="12"/>
        </w:rPr>
      </w:pPr>
    </w:p>
    <w:p>
      <w:pPr>
        <w:pStyle w:val="BodyText"/>
        <w:rPr>
          <w:sz w:val="12"/>
        </w:rPr>
      </w:pPr>
    </w:p>
    <w:p>
      <w:pPr>
        <w:tabs>
          <w:tab w:pos="1229" w:val="left" w:leader="none"/>
          <w:tab w:pos="1836" w:val="left" w:leader="none"/>
          <w:tab w:pos="2396" w:val="left" w:leader="none"/>
          <w:tab w:pos="3069" w:val="left" w:leader="none"/>
        </w:tabs>
        <w:spacing w:before="95"/>
        <w:ind w:left="503" w:right="0" w:firstLine="0"/>
        <w:jc w:val="left"/>
        <w:rPr>
          <w:sz w:val="11"/>
        </w:rPr>
      </w:pPr>
      <w:r>
        <w:rPr>
          <w:color w:val="231F20"/>
          <w:sz w:val="11"/>
        </w:rPr>
        <w:t>1995</w:t>
        <w:tab/>
        <w:t>96</w:t>
        <w:tab/>
        <w:t>97</w:t>
        <w:tab/>
        <w:t>98</w:t>
        <w:tab/>
        <w:t>99</w:t>
      </w:r>
    </w:p>
    <w:p>
      <w:pPr>
        <w:spacing w:before="86"/>
        <w:ind w:left="160" w:right="0" w:firstLine="0"/>
        <w:jc w:val="left"/>
        <w:rPr>
          <w:sz w:val="12"/>
        </w:rPr>
      </w:pPr>
      <w:r>
        <w:rPr>
          <w:sz w:val="12"/>
        </w:rPr>
        <w:t>Sources: LIFFE and Bank of England.</w:t>
      </w:r>
    </w:p>
    <w:p>
      <w:pPr>
        <w:pStyle w:val="BodyText"/>
        <w:spacing w:before="7"/>
        <w:rPr>
          <w:sz w:val="12"/>
        </w:rPr>
      </w:pPr>
      <w:r>
        <w:rPr/>
        <w:br w:type="column"/>
      </w:r>
      <w:r>
        <w:rPr>
          <w:sz w:val="12"/>
        </w:rPr>
      </w:r>
    </w:p>
    <w:p>
      <w:pPr>
        <w:spacing w:before="0"/>
        <w:ind w:left="161" w:right="0" w:firstLine="0"/>
        <w:jc w:val="left"/>
        <w:rPr>
          <w:sz w:val="11"/>
        </w:rPr>
      </w:pPr>
      <w:r>
        <w:rPr>
          <w:color w:val="231F20"/>
          <w:sz w:val="11"/>
        </w:rPr>
        <w:t>2.5</w:t>
      </w:r>
    </w:p>
    <w:p>
      <w:pPr>
        <w:pStyle w:val="BodyText"/>
        <w:spacing w:before="8"/>
        <w:rPr>
          <w:sz w:val="12"/>
        </w:rPr>
      </w:pPr>
    </w:p>
    <w:p>
      <w:pPr>
        <w:spacing w:before="0"/>
        <w:ind w:left="161" w:right="0" w:firstLine="0"/>
        <w:jc w:val="left"/>
        <w:rPr>
          <w:sz w:val="11"/>
        </w:rPr>
      </w:pPr>
      <w:r>
        <w:rPr>
          <w:color w:val="231F20"/>
          <w:sz w:val="11"/>
        </w:rPr>
        <w:t>2.0</w:t>
      </w:r>
    </w:p>
    <w:p>
      <w:pPr>
        <w:pStyle w:val="BodyText"/>
        <w:spacing w:before="8"/>
        <w:rPr>
          <w:sz w:val="12"/>
        </w:rPr>
      </w:pPr>
    </w:p>
    <w:p>
      <w:pPr>
        <w:spacing w:before="0"/>
        <w:ind w:left="161" w:right="0" w:firstLine="0"/>
        <w:jc w:val="left"/>
        <w:rPr>
          <w:sz w:val="11"/>
        </w:rPr>
      </w:pPr>
      <w:r>
        <w:rPr/>
        <w:pict>
          <v:line style="position:absolute;mso-position-horizontal-relative:page;mso-position-vertical-relative:paragraph;z-index:15786496" from="201.841998pt,3.663237pt" to="198.141998pt,3.663237pt" stroked="true" strokeweight=".5pt" strokecolor="#000000">
            <v:stroke dashstyle="solid"/>
            <w10:wrap type="none"/>
          </v:line>
        </w:pict>
      </w:r>
      <w:r>
        <w:rPr>
          <w:color w:val="231F20"/>
          <w:sz w:val="11"/>
        </w:rPr>
        <w:t>1.5</w:t>
      </w:r>
    </w:p>
    <w:p>
      <w:pPr>
        <w:pStyle w:val="BodyText"/>
        <w:spacing w:before="8"/>
        <w:rPr>
          <w:sz w:val="12"/>
        </w:rPr>
      </w:pPr>
    </w:p>
    <w:p>
      <w:pPr>
        <w:spacing w:before="0"/>
        <w:ind w:left="161" w:right="0" w:firstLine="0"/>
        <w:jc w:val="left"/>
        <w:rPr>
          <w:sz w:val="11"/>
        </w:rPr>
      </w:pPr>
      <w:r>
        <w:rPr/>
        <w:pict>
          <v:line style="position:absolute;mso-position-horizontal-relative:page;mso-position-vertical-relative:paragraph;z-index:15785984" from="201.841998pt,3.6605pt" to="198.141998pt,3.6605pt" stroked="true" strokeweight=".5pt" strokecolor="#000000">
            <v:stroke dashstyle="solid"/>
            <w10:wrap type="none"/>
          </v:line>
        </w:pict>
      </w:r>
      <w:r>
        <w:rPr>
          <w:color w:val="231F20"/>
          <w:sz w:val="11"/>
        </w:rPr>
        <w:t>1.0</w:t>
      </w:r>
    </w:p>
    <w:p>
      <w:pPr>
        <w:pStyle w:val="BodyText"/>
        <w:spacing w:before="8"/>
        <w:rPr>
          <w:sz w:val="12"/>
        </w:rPr>
      </w:pPr>
    </w:p>
    <w:p>
      <w:pPr>
        <w:spacing w:line="122" w:lineRule="exact" w:before="0"/>
        <w:ind w:left="161" w:right="0" w:firstLine="0"/>
        <w:jc w:val="left"/>
        <w:rPr>
          <w:sz w:val="11"/>
        </w:rPr>
      </w:pPr>
      <w:r>
        <w:rPr/>
        <w:pict>
          <v:shape style="position:absolute;margin-left:44.466999pt;margin-top:3.564763pt;width:158.85pt;height:5.85pt;mso-position-horizontal-relative:page;mso-position-vertical-relative:paragraph;z-index:15782912" coordorigin="889,71" coordsize="3177,117" path="m898,188l4043,188m1018,188l1018,95m1067,188l1067,135m1117,188l1117,135m1166,188l1166,135m1215,188l1215,135m1265,188l1265,135m1314,188l1314,135m1363,188l1363,135m1413,188l1413,135m1462,188l1462,135m1511,188l1511,135m1561,188l1561,135m1610,188l1610,101m1659,188l1659,135m1709,188l1709,135m1758,188l1758,135m1807,188l1807,135m1857,188l1857,135m1906,188l1906,135m1955,188l1955,135m2005,188l2005,135m2054,188l2054,135m2103,188l2103,135m2153,188l2153,135m2202,188l2202,104m2251,188l2251,135m2301,188l2301,135m2350,188l2350,135m2399,188l2399,135m2449,188l2449,135m2498,188l2498,135m2547,188l2547,135m2597,188l2597,135m2646,188l2646,135m2695,188l2695,135m2745,188l2745,135m2794,188l2794,104m2843,188l2843,135m2893,188l2893,135m2942,188l2942,135m2991,188l2991,135m3041,188l3041,135m3090,188l3090,135m3139,188l3139,135m3189,188l3189,135m3238,188l3238,135m3287,188l3287,135m3337,188l3337,135m3386,188l3386,98m3435,188l3435,135m3485,188l3485,135m3534,188l3534,135m3583,188l3583,135m3633,188l3633,135m3682,188l3682,135m3731,188l3731,135m3781,188l3781,135m3830,188l3830,135m3879,188l3879,135m3929,188l3929,135m889,73l963,73m4037,73l3963,73m4046,72l4046,96,4026,111,4066,124,4026,142,4066,158,4042,167,4042,188m961,71l961,96,941,111,981,123,941,142,981,157,958,166,957,188e" filled="false" stroked="true" strokeweight=".5pt" strokecolor="#000000">
            <v:path arrowok="t"/>
            <v:stroke dashstyle="solid"/>
            <w10:wrap type="none"/>
          </v:shape>
        </w:pict>
      </w:r>
      <w:r>
        <w:rPr>
          <w:color w:val="231F20"/>
          <w:sz w:val="11"/>
        </w:rPr>
        <w:t>0.5</w:t>
      </w:r>
    </w:p>
    <w:p>
      <w:pPr>
        <w:spacing w:line="122" w:lineRule="exact" w:before="0"/>
        <w:ind w:left="160" w:right="0" w:firstLine="0"/>
        <w:jc w:val="left"/>
        <w:rPr>
          <w:sz w:val="11"/>
        </w:rPr>
      </w:pPr>
      <w:r>
        <w:rPr>
          <w:color w:val="231F20"/>
          <w:sz w:val="11"/>
        </w:rPr>
        <w:t>0.0</w:t>
      </w:r>
    </w:p>
    <w:p>
      <w:pPr>
        <w:pStyle w:val="BodyText"/>
        <w:spacing w:before="10"/>
        <w:rPr>
          <w:sz w:val="23"/>
        </w:rPr>
      </w:pPr>
      <w:r>
        <w:rPr/>
        <w:br w:type="column"/>
      </w:r>
      <w:r>
        <w:rPr>
          <w:sz w:val="23"/>
        </w:rPr>
      </w:r>
    </w:p>
    <w:p>
      <w:pPr>
        <w:pStyle w:val="Heading4"/>
        <w:spacing w:line="242" w:lineRule="auto" w:before="1"/>
        <w:ind w:left="160" w:right="329"/>
      </w:pPr>
      <w:r>
        <w:rPr/>
        <w:t>Many of the factors underlying the falls in long-term nominal UK bond yields are likely to be international, rather than specific to the United Kingdom. But the fall in UK bond yields has been more marked than elsewhere. The differential between the ten-year UK spot yield and the US Treasury spot yield was negative</w:t>
      </w:r>
    </w:p>
    <w:p>
      <w:pPr>
        <w:spacing w:after="0" w:line="242" w:lineRule="auto"/>
        <w:sectPr>
          <w:type w:val="continuous"/>
          <w:pgSz w:w="11900" w:h="16840"/>
          <w:pgMar w:top="1220" w:bottom="280" w:left="640" w:right="600"/>
          <w:cols w:num="3" w:equalWidth="0">
            <w:col w:w="3221" w:space="68"/>
            <w:col w:w="340" w:space="1171"/>
            <w:col w:w="5860"/>
          </w:cols>
        </w:sectPr>
      </w:pPr>
    </w:p>
    <w:p>
      <w:pPr>
        <w:pStyle w:val="BodyText"/>
        <w:rPr>
          <w:sz w:val="20"/>
        </w:rPr>
      </w:pPr>
    </w:p>
    <w:p>
      <w:pPr>
        <w:spacing w:after="0"/>
        <w:rPr>
          <w:sz w:val="20"/>
        </w:rPr>
        <w:sectPr>
          <w:headerReference w:type="default" r:id="rId23"/>
          <w:headerReference w:type="even" r:id="rId24"/>
          <w:footerReference w:type="default" r:id="rId25"/>
          <w:footerReference w:type="even" r:id="rId26"/>
          <w:pgSz w:w="11900" w:h="16840"/>
          <w:pgMar w:header="586" w:footer="617" w:top="780" w:bottom="800" w:left="640" w:right="600"/>
          <w:pgNumType w:start="9"/>
        </w:sectPr>
      </w:pPr>
    </w:p>
    <w:p>
      <w:pPr>
        <w:pStyle w:val="BodyText"/>
        <w:spacing w:before="6"/>
        <w:rPr>
          <w:sz w:val="20"/>
        </w:rPr>
      </w:pPr>
    </w:p>
    <w:p>
      <w:pPr>
        <w:pStyle w:val="Heading7"/>
        <w:spacing w:before="0"/>
      </w:pPr>
      <w:r>
        <w:rPr>
          <w:color w:val="0093C1"/>
        </w:rPr>
        <w:t>Chart 1.12</w:t>
      </w:r>
    </w:p>
    <w:p>
      <w:pPr>
        <w:spacing w:line="249" w:lineRule="auto" w:before="10"/>
        <w:ind w:left="180" w:right="422" w:firstLine="0"/>
        <w:jc w:val="left"/>
        <w:rPr>
          <w:sz w:val="12"/>
        </w:rPr>
      </w:pPr>
      <w:r>
        <w:rPr>
          <w:b/>
          <w:color w:val="0093C1"/>
          <w:sz w:val="20"/>
        </w:rPr>
        <w:t>Decomposition of forward nominal UK interest rates</w:t>
      </w:r>
      <w:r>
        <w:rPr>
          <w:position w:val="4"/>
          <w:sz w:val="12"/>
        </w:rPr>
        <w:t>(a)</w:t>
      </w:r>
    </w:p>
    <w:p>
      <w:pPr>
        <w:spacing w:before="190"/>
        <w:ind w:left="0" w:right="38" w:firstLine="0"/>
        <w:jc w:val="right"/>
        <w:rPr>
          <w:sz w:val="12"/>
        </w:rPr>
      </w:pPr>
      <w:r>
        <w:rPr/>
        <w:pict>
          <v:line style="position:absolute;mso-position-horizontal-relative:page;mso-position-vertical-relative:paragraph;z-index:15793152" from="51.779999pt,16.93457pt" to="46.779999pt,16.93457pt" stroked="true" strokeweight=".5pt" strokecolor="#000000">
            <v:stroke dashstyle="solid"/>
            <w10:wrap type="none"/>
          </v:line>
        </w:pict>
      </w:r>
      <w:r>
        <w:rPr>
          <w:sz w:val="12"/>
        </w:rPr>
        <w:t>Per c</w:t>
      </w:r>
      <w:r>
        <w:rPr>
          <w:sz w:val="12"/>
          <w:u w:val="single"/>
        </w:rPr>
        <w:t>en</w:t>
      </w:r>
      <w:r>
        <w:rPr>
          <w:sz w:val="12"/>
        </w:rPr>
        <w:t>t</w:t>
      </w:r>
      <w:r>
        <w:rPr>
          <w:spacing w:val="-14"/>
          <w:sz w:val="12"/>
        </w:rPr>
        <w:t> </w:t>
      </w:r>
      <w:r>
        <w:rPr>
          <w:position w:val="-7"/>
          <w:sz w:val="12"/>
        </w:rPr>
        <w:t>17.5</w:t>
      </w:r>
    </w:p>
    <w:p>
      <w:pPr>
        <w:pStyle w:val="BodyText"/>
        <w:spacing w:before="3"/>
        <w:rPr>
          <w:sz w:val="26"/>
        </w:rPr>
      </w:pPr>
    </w:p>
    <w:p>
      <w:pPr>
        <w:spacing w:before="0"/>
        <w:ind w:left="0" w:right="38" w:firstLine="0"/>
        <w:jc w:val="right"/>
        <w:rPr>
          <w:sz w:val="12"/>
        </w:rPr>
      </w:pPr>
      <w:r>
        <w:rPr/>
        <w:pict>
          <v:line style="position:absolute;mso-position-horizontal-relative:page;mso-position-vertical-relative:paragraph;z-index:15792640" from="51.779999pt,3.43457pt" to="46.779999pt,3.43457pt" stroked="true" strokeweight=".5pt" strokecolor="#000000">
            <v:stroke dashstyle="solid"/>
            <w10:wrap type="none"/>
          </v:line>
        </w:pict>
      </w:r>
      <w:r>
        <w:rPr/>
        <w:pict>
          <v:group style="position:absolute;margin-left:56.404999pt;margin-top:3.05957pt;width:159.4pt;height:120.85pt;mso-position-horizontal-relative:page;mso-position-vertical-relative:paragraph;z-index:15795712" coordorigin="1128,61" coordsize="3188,2417">
            <v:shape style="position:absolute;left:1135;top:68;width:640;height:1000" coordorigin="1136,69" coordsize="640,1000" path="m1136,269l1136,369,1156,249,1156,209,1156,269,1156,149,1156,309,1156,289,1156,329,1156,209,1156,369,1156,189,1156,329,1156,209m1156,209l1156,309,1156,249,1156,309,1156,249,1156,289,1156,209,1156,329,1156,209,1176,269,1176,249,1176,309,1176,149,1176,409,1176,149,1176,449,1176,149,1176,249,1176,129,1176,289,1176,249,1176,269,1176,89m1176,89l1196,169,1196,69,1196,189,1196,129,1196,229,1196,69,1196,209,1196,149,1196,269,1196,189,1196,269,1196,189,1196,209m1196,209l1196,189,1196,209,1196,129,1196,149,1196,89,1196,289,1216,309,1216,109,1216,189,1216,129,1216,169,1216,149,1216,289,1216,189,1216,409,1216,309,1216,349,1216,329,1216,449,1216,389,1216,449,1216,389,1216,429,1216,389,1216,429,1216,409,1236,409,1236,489,1236,449,1236,549,1236,529,1236,729,1236,649,1236,809,1236,729,1256,749,1256,709,1256,769,1256,689,1256,769,1256,709,1256,789,1256,649,1256,669m1256,669l1256,609,1256,629,1256,529,1256,589,1256,549,1256,569,1256,529,1256,689,1256,569,1276,589,1276,609,1276,569,1276,649m1276,649l1276,629,1276,649,1276,549,1276,649,1276,609,1276,669,1276,649,1276,729,1276,649,1276,769,1276,509,1276,669m1276,669l1276,629,1276,669,1276,549,1296,549,1296,629,1296,489,1296,509,1296,409,1296,429,1296,409,1296,449,1296,429,1296,509,1296,469m1296,469l1296,729,1296,649,1316,609,1316,589,1316,729,1316,669,1316,769,1316,749,1316,789,1316,749m1316,749l1316,829,1316,749,1316,869,1316,749,1316,869,1316,789,1316,829,1316,749,1316,809,1316,789,1316,869m1316,869l1336,869,1336,969,1336,869,1336,889,1336,829,1336,869,1336,829,1336,849,1336,809,1336,889,1336,829m1336,829l1336,909,1336,789,1336,869,1356,829,1356,849,1356,809,1356,929,1356,869m1356,869l1356,929,1356,889,1356,949,1356,889,1356,929,1356,869,1356,909,1356,869,1356,889,1356,829,1356,869,1356,849,1376,829m1376,829l1376,849,1376,769,1376,789,1376,769,1376,809,1376,789,1376,849,1376,809,1376,849,1376,829,1376,889,1376,769,1376,829,1376,789,1376,889,1376,749,1376,789,1396,789,1396,809,1396,789,1396,809,1396,769,1396,869,1396,849,1396,909,1396,789,1396,869,1396,809m1396,809l1396,889,1396,789,1396,869,1396,829,1396,929,1396,909,1396,969,1416,989,1416,929m1416,929l1416,949,1416,929,1416,949,1416,909,1416,929,1416,909,1416,929,1416,849,1416,869,1416,829,1416,869,1416,849,1416,889,1416,869m1416,869l1416,889,1416,869,1436,889,1436,909,1436,889,1436,989,1436,969,1436,989,1436,969,1436,989,1436,969,1436,989,1436,969,1456,949,1456,929,1456,949,1456,909m1456,909l1456,929,1456,909,1456,1009,1456,909,1456,969,1456,909,1456,969,1456,949,1476,949,1476,909,1476,929,1476,909,1476,929,1476,909,1476,1009,1476,889,1476,989,1476,929m1476,929l1476,1009,1476,869,1496,869,1496,949,1496,869,1496,929,1496,909,1496,949,1496,869,1496,929,1496,909,1496,949,1496,889,1496,909,1496,889,1516,889,1516,869,1516,909,1516,869,1516,929,1516,869,1516,889,1516,869,1516,929,1516,849,1516,869,1516,849,1516,909,1536,889,1536,849,1536,869,1536,849,1536,889,1536,869,1536,909,1536,869,1536,889,1536,869,1536,889,1536,829,1536,849,1536,829,1536,849,1536,829,1556,829m1556,829l1556,949,1556,789,1556,849,1556,809,1556,829,1556,809,1556,929,1556,809,1556,829,1556,809,1556,889,1576,929m1556,929l1556,889,1556,909,1576,909,1576,889,1576,929,1576,909,1576,929,1576,909,1576,929,1576,909,1576,929m1576,929l1576,889,1576,949,1576,909,1576,989,1576,909,1576,1029,1576,949,1596,1069,1596,969,1596,1029,1596,969,1596,1049,1596,989m1596,989l1596,1009,1596,929,1596,989,1596,969,1596,1009,1596,929,1596,989,1596,909,1596,949,1596,929,1616,949,1616,1009,1616,929,1616,1029,1616,929,1616,989,1616,909,1616,929,1616,869m1616,869l1616,989,1616,889,1616,929,1616,909,1616,989,1616,909,1636,909,1636,889,1636,909,1636,889,1636,909,1636,889m1636,909l1636,889,1636,909,1636,869,1636,989,1636,809,1636,849,1656,869,1656,889,1656,829,1656,929m1656,929l1656,889,1656,1009,1656,769,1656,1009,1656,829,1656,1009,1656,829,1656,1049,1656,929,1656,1049,1656,929,1656,1069,1656,889,1656,929,1656,889,1676,909,1676,889,1676,929,1676,889,1676,929,1676,889m1676,889l1676,969,1676,909,1676,949,1676,929,1676,969,1676,929,1676,969,1696,949,1696,969m1696,869l1696,969m1696,949l1716,929,1716,869,1716,929,1716,889,1716,949,1716,829,1716,949,1716,909,1716,949,1716,849,1716,929,1716,849,1716,909,1736,909,1736,989,1736,929m1736,929l1736,969,1736,909,1736,1009,1736,909,1736,949,1736,889,1736,929,1736,909,1736,949,1736,929,1756,929,1756,969,1756,949,1756,989,1756,849,1756,949m1756,949l1756,909,1756,969,1756,929,1756,949,1756,909,1756,929,1776,909,1776,969e" filled="false" stroked="true" strokeweight=".75pt" strokecolor="#0066a5">
              <v:path arrowok="t"/>
              <v:stroke dashstyle="solid"/>
            </v:shape>
            <v:line style="position:absolute" from="1768,969" to="1783,969" stroked="true" strokeweight="2pt" strokecolor="#0066a5">
              <v:stroke dashstyle="solid"/>
            </v:line>
            <v:shape style="position:absolute;left:1775;top:808;width:200;height:400" coordorigin="1776,809" coordsize="200,400" path="m1776,989l1776,969,1776,1009,1776,989,1776,1029,1776,989,1776,1009,1776,969,1776,989,1796,969,1796,989,1796,929,1796,949,1796,929,1796,1009,1796,969m1796,969l1796,1009,1796,949,1796,989,1816,989,1816,1009,1816,969,1816,989m1816,989l1816,969,1816,989,1816,969,1816,989,1816,969,1816,989,1816,949,1816,969,1816,949,1836,949m1836,949l1836,929,1836,1069,1836,1029m1836,1029l1836,1049,1856,1089,1856,1149,1856,1109,1856,1189,1856,1149,1856,1189,1856,1149,1856,1209,1856,1169,1856,1189,1856,1169,1856,1189,1856,1169,1876,1149,1876,1169,1876,1089,1876,1129,1876,1089,1876,1149,1876,1069,1876,1129,1876,1029,1876,1109,1876,1049,1876,1149,1876,1089,1896,1069,1896,1109,1896,1089,1896,1129,1896,1069,1896,1089,1896,1009,1896,1089,1896,1049,1896,1069,1896,1049,1896,1089,1896,1069,1916,1089,1916,1049,1916,1069,1916,1029,1916,1069,1916,1029,1916,1049,1916,1029m1916,1029l1916,1069,1916,989,1916,1069,1916,1029,1916,1049,1916,1029,1936,1069,1936,1049m1936,1049l1936,1069,1936,1049,1936,1069,1936,929,1936,989,1956,949,1956,969,1956,929,1956,949,1956,929,1956,949m1956,949l1956,909,1956,929,1956,909,1956,929,1956,909,1956,929,1956,909,1956,929,1976,949,1976,929m1956,929l1976,929,1976,829,1976,849,1976,809,1976,889,1976,829,1976,909,1976,869e" filled="false" stroked="true" strokeweight=".75pt" strokecolor="#0066a5">
              <v:path arrowok="t"/>
              <v:stroke dashstyle="solid"/>
            </v:shape>
            <v:line style="position:absolute" from="1968,869" to="1983,869" stroked="true" strokeweight="4pt" strokecolor="#0066a5">
              <v:stroke dashstyle="solid"/>
            </v:line>
            <v:shape style="position:absolute;left:1975;top:848;width:100;height:320" coordorigin="1976,849" coordsize="100,320" path="m1976,849l1976,909,1996,909,1996,889,1996,929,1996,909,1996,1029,1996,989,1996,1029,1996,1009,1996,1029,1996,1009,1996,1029,1996,969,2016,969,2016,1009,2016,989,2016,1029m2036,1029l2036,1069,2036,1049,2036,1109,2036,1029,2036,1049,2036,1029,2036,1049,2056,1049,2056,1109,2056,1089,2056,1169m2056,1169l2056,1069,2056,1089,2056,1069,2056,1109,2056,1089,2056,1129,2076,1129e" filled="false" stroked="true" strokeweight=".75pt" strokecolor="#0066a5">
              <v:path arrowok="t"/>
              <v:stroke dashstyle="solid"/>
            </v:shape>
            <v:line style="position:absolute" from="2068,1109" to="2083,1109" stroked="true" strokeweight="4pt" strokecolor="#0066a5">
              <v:stroke dashstyle="solid"/>
            </v:line>
            <v:shape style="position:absolute;left:2075;top:888;width:180;height:240" coordorigin="2076,889" coordsize="180,240" path="m2076,1069l2076,1089,2076,1049,2076,1109,2076,1069,2076,1109,2076,1049,2076,1089,2096,1089,2096,1109,2096,1029m2096,1029l2096,1049,2096,989,2096,1029,2096,1009,2096,1029,2116,1029,2116,989,2116,1029m2116,1029l2116,969,2116,1029,2116,969,2116,1029,2116,949,2116,1029,2116,989,2116,1029,2116,949,2116,989,2116,969,2116,1029,2116,969,2116,1009,2136,989,2136,1009,2136,969,2136,1009,2136,929,2136,949,2136,929m2136,929l2136,1049,2136,1029,2136,1089,2136,1029,2156,1029,2156,1069,2156,1009,2156,1029,2156,909,2156,949,2156,889,2156,909m2156,909l2176,909,2176,989,2176,929,2176,969,2176,929,2176,1029,2176,989,2176,1029,2196,1049,2196,1029,2196,1049,2196,1029,2196,1069,2196,1049,2196,1109,2196,1089,2196,1109,2196,1089,2196,1109,2196,1069,2196,1109,2216,1109m2216,1109l2216,1129,2216,1049,2216,1069,2216,1049,2216,1089,2216,1029,2216,1049,2236,1029,2236,1049,2236,1029,2236,1049,2236,1029,2236,1049,2236,1029,2236,1049,2236,989,2236,1049,2236,1009,2236,1049,2236,1009,2256,1029,2256,1069,2256,1049,2256,1089,2256,1049,2256,1089,2256,1069,2256,1089,2256,1069,2256,1089,2256,1049e" filled="false" stroked="true" strokeweight=".75pt" strokecolor="#0066a5">
              <v:path arrowok="t"/>
              <v:stroke dashstyle="solid"/>
            </v:shape>
            <v:line style="position:absolute" from="2248,1069" to="2263,1069" stroked="true" strokeweight="2pt" strokecolor="#0066a5">
              <v:stroke dashstyle="solid"/>
            </v:line>
            <v:shape style="position:absolute;left:2255;top:1048;width:140;height:260" coordorigin="2256,1049" coordsize="140,260" path="m2256,1089l2256,1069,2256,1089,2276,1089,2276,1109,2276,1089,2276,1109,2276,1089,2276,1149,2276,1129,2276,1149,2296,1149,2296,1109,2296,1149,2296,1069,2296,1129m2296,1129l2296,1049,2296,1129,2296,1109,2296,1129,2296,1109,2296,1129,2296,1109,2296,1129,2296,1109,2296,1129,2316,1129,2316,1089,2316,1189,2316,1169,2316,1189,2316,1169,2316,1189,2316,1169m2316,1169l2316,1189,2316,1169,2316,1209,2316,1189,2316,1229,2316,1209,2336,1209,2336,1229,2336,1189,2336,1209,2336,1149,2336,1249,2336,1209,2336,1269,2336,1169,2356,1169,2356,1189,2356,1169,2356,1189,2356,1169,2356,1189,2356,1169,2356,1189,2356,1169,2356,1209,2376,1189,2376,1309,2376,1209,2376,1289,2376,1209,2376,1289,2376,1209,2376,1249,2376,1189,2376,1269,2396,1249,2396,1209,2396,1269,2396,1189,2396,1289,2396,1209,2396,1249,2396,1209,2396,1249,2396,1149,2396,1249,2396,1169,2396,1229,2396,1169,2396,1249,2396,1189e" filled="false" stroked="true" strokeweight=".75pt" strokecolor="#0066a5">
              <v:path arrowok="t"/>
              <v:stroke dashstyle="solid"/>
            </v:shape>
            <v:line style="position:absolute" from="2388,1209" to="2403,1209" stroked="true" strokeweight="4pt" strokecolor="#0066a5">
              <v:stroke dashstyle="solid"/>
            </v:line>
            <v:shape style="position:absolute;left:2395;top:688;width:280;height:560" coordorigin="2396,689" coordsize="280,560" path="m2396,1249l2396,1169,2396,1249,2396,1149,2416,1209,2416,1249,2416,1189,2416,1249,2416,1229,2416,1249,2416,1189,2416,1249,2416,1209,2416,1249,2416,1129,2436,1209,2436,1149,2436,1189,2436,1109,2436,1149,2436,1109m2436,1109l2436,1229,2436,1129,2436,1209,2436,1149,2436,1189,2436,1149,2436,1169,2436,1149,2436,1169,2436,1109,2436,1169,2436,1109,2436,1229,2456,1169,2456,1189,2456,1149,2456,1189,2456,1169,2456,1209,2456,1189,2456,1229m2456,1229l2456,1209,2456,1249,2456,1189,2456,1209,2456,1189,2456,1209,2456,1169,2476,1189,2476,1169,2476,1209,2476,1169,2476,1189,2476,1169,2476,1189,2476,1169,2476,1209,2476,1169,2476,1189,2476,1149,2476,1189,2476,1149,2496,1189,2496,1209,2496,1169,2496,1229m2476,1229l2496,1189,2496,1149,2496,1169,2496,1129,2496,1149,2496,1129,2496,1189,2496,1149,2496,1189,2496,1129,2496,1149,2516,1149,2516,1169,2516,1129,2516,1169,2516,1129,2516,1169,2516,1129,2516,1169,2516,1149,2516,1189,2516,1169,2516,1189,2516,1169,2536,1169,2536,1149,2536,1169,2536,1109,2536,1169,2536,1109,2536,1149,2536,1109,2536,1129m2536,1129l2536,1069,2536,1089,2556,1129m2536,1129l2536,1049,2556,1109,2556,1049,2556,1069,2556,1049,2556,1069,2556,949,2556,969,2556,929,2576,929,2576,949,2576,889,2576,929,2576,849,2576,909,2576,849,2596,869,2596,849,2596,869,2596,849,2596,969,2596,889,2596,1009,2596,889,2596,989,2596,929,2596,989,2596,889,2596,929,2616,909,2616,969,2616,949,2616,969,2616,949,2616,969,2616,909,2616,929,2616,909,2636,929,2636,909,2636,929,2636,909,2636,929,2636,689,2636,829,2636,729,2636,849,2636,769,2656,789,2656,849,2656,829,2656,849,2656,829,2656,889,2656,849,2656,869,2656,809,2656,849,2656,829,2656,849,2656,829,2676,789e" filled="false" stroked="true" strokeweight=".75pt" strokecolor="#0066a5">
              <v:path arrowok="t"/>
              <v:stroke dashstyle="solid"/>
            </v:shape>
            <v:shape style="position:absolute;left:2668;top:741;width:335;height:455" type="#_x0000_t75" stroked="false">
              <v:imagedata r:id="rId27" o:title=""/>
            </v:shape>
            <v:shape style="position:absolute;left:2995;top:768;width:140;height:500" coordorigin="2996,769" coordsize="140,500" path="m2996,1149l2996,1189,2996,1129,2996,1169,2996,1149,2996,1169,2996,1109,2996,1129,3016,1209,3016,1189,3016,1269,3016,1249,3016,1269,3016,789,3016,829,3036,849,3036,969,3036,769m3036,789l3036,929,3036,869,3036,909,3036,889,3056,889,3056,909,3056,889,3056,949,3056,909,3056,949,3056,909,3056,1009,3056,929,3056,989,3056,969,3076,929,3076,829,3076,849,3076,829,3076,849,3076,829,3076,869,3076,849,3076,909,3076,869,3076,889,3076,869,3096,849,3096,949m3096,949l3096,929,3096,1009,3096,949,3096,1029,3096,989,3096,1069,3096,1009,3096,1069,3096,1029,3096,1049,3096,1029m3096,1029l3096,1049,3096,1029,3116,1009,3116,989,3116,1009,3116,969,3116,1069,3116,1009,3116,1069m3116,1069l3116,1029,3116,1049,3116,1029,3116,1069,3116,1029,3136,1009,3136,1029e" filled="false" stroked="true" strokeweight=".75pt" strokecolor="#0066a5">
              <v:path arrowok="t"/>
              <v:stroke dashstyle="solid"/>
            </v:shape>
            <v:line style="position:absolute" from="3128,1019" to="3143,1019" stroked="true" strokeweight="3pt" strokecolor="#0066a5">
              <v:stroke dashstyle="solid"/>
            </v:line>
            <v:shape style="position:absolute;left:3135;top:1048;width:520;height:420" coordorigin="3136,1049" coordsize="520,420" path="m3136,1049l3156,1049,3156,1149,3156,1109,3156,1189,3156,1169,3176,1169,3176,1149,3176,1169,3176,1149,3176,1269,3176,1249,3176,1309,3176,1269,3176,1329,3176,1309,3176,1329,3196,1309m3196,1309l3196,1329,3196,1289,3196,1309,3196,1289,3196,1329,3196,1309,3216,1309,3216,1329,3216,1289,3216,1309,3216,1269,3216,1309,3216,1289,3216,1349,3236,1349,3236,1329,3236,1429,3236,1389,3236,1469,3236,1429m3236,1429l3236,1469,3236,1449,3256,1449,3256,1429,3256,1449,3256,1429,3256,1449,3256,1409,3256,1469,3256,1409,3256,1429,3256,1389,3256,1409,3256,1369,3276,1369,3276,1389,3276,1309,3276,1349,3276,1289,3276,1329,3276,1289,3276,1309,3276,1289,3276,1329,3276,1269,3276,1309,3276,1229m3276,1229l3276,1269,3296,1249,3296,1189,3296,1329,3296,1269,3296,1309,3296,1249,3296,1269,3296,1249,3296,1289,3296,1249,3296,1289,3296,1269,3296,1349,3296,1209,3316,1189,3316,1209,3316,1189,3316,1269,3316,1169,3316,1209,3316,1129,3316,1229,3316,1169,3316,1229,3316,1189,3316,1229,3316,1169,3316,1229,3316,1149,3316,1189,3336,1169m3336,1169l3336,1149,3336,1249,3336,1209,3336,1229,3336,1189,3336,1249,3336,1209,3336,1229,3356,1229,3356,1209,3356,1269,3356,1229,3356,1249,3356,1209,3356,1229,3356,1169,3356,1209,3356,1189,3356,1229,3356,1209,3376,1189,3376,1209m3376,1209l3376,1129,3376,1209,3376,1189,3376,1209,3376,1129,3376,1189,3376,1169,3376,1189,3376,1149,3376,1249,3396,1229,3396,1189,3396,1229,3396,1209,3396,1229,3396,1209,3396,1229,3396,1209,3416,1229,3416,1249,3416,1229,3416,1249,3416,1229,3416,1249,3416,1229,3416,1249,3416,1229,3416,1269,3416,1189m3416,1189l3416,1209,3416,1189,3436,1229,3436,1209,3436,1229,3436,1209,3436,1229,3436,1209,3436,1249,3436,1229,3436,1249,3436,1209,3456,1209,3456,1229m3456,1229l3456,1209,3456,1229,3456,1189,3456,1249,3456,1229,3456,1249,3476,1229,3476,1209m3456,1209l3476,1229,3476,1209,3476,1249,3476,1229,3476,1249m3476,1249l3476,1229,3476,1249,3476,1229,3496,1229,3496,1289m3496,1289l3496,1269,3496,1289,3496,1269,3496,1289,3496,1229,3496,1249,3496,1209,3496,1229,3516,1209,3516,1229m3516,1229l3516,1169,3516,1189,3516,1169,3516,1189,3516,1169,3516,1209,3516,1169,3536,1189,3536,1209,3536,1189,3536,1209,3536,1169,3536,1189m3536,1189l3536,1169,3536,1189,3536,1169,3536,1189,3556,1189,3556,1209,3556,1189,3556,1229,3556,1129,3556,1149m3556,1149l3556,1129,3576,1129,3576,1109,3576,1189,3576,1169,3576,1229,3576,1209,3596,1209,3596,1249m3596,1249l3596,1189,3596,1229,3596,1189,3616,1209m3616,1209l3616,1229,3616,1209,3616,1229,3616,1189,3616,1209,3616,1189,3616,1209,3616,1149,3616,1169,3616,1129,3636,1109,3636,1149,3636,1109,3636,1149,3636,1109,3636,1129,3636,1109,3636,1129,3636,1109,3636,1129,3636,1109,3636,1129,3656,1149e" filled="false" stroked="true" strokeweight=".75pt" strokecolor="#0066a5">
              <v:path arrowok="t"/>
              <v:stroke dashstyle="solid"/>
            </v:shape>
            <v:line style="position:absolute" from="3648,1149" to="3663,1149" stroked="true" strokeweight="4pt" strokecolor="#0066a5">
              <v:stroke dashstyle="solid"/>
            </v:line>
            <v:shape style="position:absolute;left:3655;top:1108;width:500;height:820" coordorigin="3656,1109" coordsize="500,820" path="m3656,1109l3656,1169,3676,1169,3676,1149,3676,1169,3676,1149,3676,1169,3676,1129,3676,1169,3676,1129,3676,1149,3676,1129,3696,1129,3696,1169,3696,1149,3696,1169,3716,1169,3716,1149,3716,1169,3716,1129,3716,1149,3736,1129,3736,1169,3736,1149m3736,1149l3736,1229,3736,1209,3736,1229,3736,1209,3736,1229,3736,1209,3756,1209,3756,1249,3756,1229,3756,1289,3756,1269,3756,1289,3776,1289,3776,1329,3776,1269,3776,1289,3776,1269m3776,1269l3776,1309,3776,1249,3776,1269,3776,1249,3776,1269,3796,1269m3796,1269l3796,1289,3796,1269,3796,1289,3796,1269,3796,1349,3816,1349,3816,1329,3816,1349,3816,1309,3816,1329,3816,1269,3836,1269,3836,1289,3836,1269,3836,1289,3836,1269,3836,1429m3836,1429l3836,1409,3836,1429,3856,1409,3856,1369,3856,1389,3856,1369,3856,1429,3856,1409,3856,1429,3856,1409,3876,1429,3876,1449,3876,1429,3876,1509,3876,1469,3876,1489,3876,1469,3876,1509,3876,1489,3896,1469m3896,1469l3896,1449,3896,1469,3896,1449,3896,1469,3896,1429,3896,1469,3916,1489,3916,1549,3916,1529,3916,1549m3916,1549l3916,1509,3916,1589,3916,1549,3916,1609,3916,1549,3916,1569,3936,1569,3936,1549,3936,1569,3936,1549m3916,1549l3936,1549,3936,1569,3936,1549,3936,1589,3936,1549,3936,1589,3936,1569,3936,1609,3956,1609,3956,1589,3956,1649,3956,1609m3956,1609l3956,1629,3956,1609,3956,1669,3956,1649,3956,1669,3976,1649,3976,1669,3976,1629,3976,1649,3976,1629,3976,1689m3976,1689l3976,1669,3996,1669,3996,1649,3996,1709,3996,1689,3996,1709,3996,1689,3996,1709,4016,1709,4016,1729,4016,1709,4016,1729m4016,1729l4016,1689,4016,1709,4016,1689,4016,1709,4016,1689,4036,1689m4036,1689l4036,1809,4036,1789,4056,1789,4056,1809,4056,1749,4056,1809,4076,1789,4076,1769m4076,1769l4076,1829m4076,1829l4076,1809,4076,1829,4096,1829,4096,1849,4096,1829,4096,1869,4096,1849,4096,1889,4096,1729,4096,1789,4096,1769,4096,1789,4096,1749,4096,1769,4116,1789,4116,1769,4116,1789,4116,1769,4116,1869,4116,1829,4116,1869m4116,1869l4136,1869,4136,1889,4136,1869,4136,1909,4136,1889,4136,1909,4136,1889,4136,1929,4136,1889,4136,1909,4156,1889,4156,1929,4156,1909e" filled="false" stroked="true" strokeweight=".75pt" strokecolor="#0066a5">
              <v:path arrowok="t"/>
              <v:stroke dashstyle="solid"/>
            </v:shape>
            <v:line style="position:absolute" from="4156,1909" to="4156,1909" stroked="true" strokeweight=".75pt" strokecolor="#0066a5">
              <v:stroke dashstyle="solid"/>
            </v:line>
            <v:shape style="position:absolute;left:1135;top:608;width:640;height:1080" coordorigin="1136,609" coordsize="640,1080" path="m1136,729l1136,829,1156,709,1156,749,1156,689,1156,729,1156,609,1156,789,1156,749,1156,849,1156,689,1156,849,1156,669,1156,829,1156,689,1156,809,1156,749,1156,809,1156,729,1156,769,1156,709,1156,809,1156,689,1176,749,1176,729,1176,809,1176,649,1176,909,1176,889,1176,949,1176,669,1176,1009,1176,669,1176,829,1176,629,1176,849,1176,669m1176,669l1176,749,1176,649,1176,729,1196,709,1196,749,1196,649,1196,769,1196,709,1196,809,1196,729,1196,789,1196,729,1196,769m1196,769l1196,729,1196,749,1196,649,1196,689,1196,629,1196,809,1216,809,1216,609,1216,709,1216,609,1216,669,1216,649,1216,789,1216,709,1216,909,1216,829,1216,869,1216,849,1216,949,1216,889,1216,949,1216,889,1216,909,1216,889,1216,909,1236,909,1236,989,1236,969,1236,1069,1236,1029,1236,1229,1236,1109,1236,1249,1236,1169,1236,1189,1236,1169,1236,1209,1256,1149,1256,1209,1256,1169,1256,1229,1256,1109,1256,1129,1256,1109,1256,1149m1256,1149l1256,1069,1256,1109,1256,1029,1256,1069,1256,989,1256,1149,1256,1029,1276,1049,1276,1069,1276,1029,1276,1169m1256,1169l1276,1169,1276,1009,1276,1109,1276,1069,1276,1209,1276,1109,1276,1209,1276,909,1276,1129m1276,1129l1276,1049,1276,1089,1276,969,1296,989,1296,1089,1296,889,1296,909,1296,829,1296,849,1296,809,1296,909,1296,869m1296,889l1296,869,1296,1149,1296,1009,1296,1129,1296,1069,1316,1109,1316,1209,1316,1169m1316,1169l1316,1249,1316,1169,1316,1289,1316,1169,1316,1329,1316,1249,1316,1289,1316,1169,1316,1289,1316,1269,1316,1409,1316,1309,1336,1349,1336,1269,1336,1309,1336,1269,1336,1289,1336,1249,1336,1329,1336,1309,1336,1329,1336,1289m1336,1289l1336,1369,1336,1269,1336,1329,1356,1309,1356,1329,1356,1309,1356,1449,1356,1389m1356,1389l1356,1449,1356,1389,1356,1449,1356,1409,1356,1449,1356,1389,1356,1429,1356,1389,1356,1429,1356,1369,1356,1389,1356,1369,1376,1369,1376,1389,1376,1329,1376,1389,1376,1369,1376,1409,1376,1389,1376,1469,1376,1349,1376,1389,1376,1349,1376,1449,1376,1329,1376,1389,1376,1349,1396,1429,1396,1409,1396,1489,1396,1369,1396,1449,1396,1349m1396,1349l1396,1409,1396,1329,1396,1409,1396,1389,1396,1469,1396,1449,1396,1509,1416,1509,1416,1449,1416,1469,1416,1449,1416,1469,1416,1449,1416,1469,1416,1369,1416,1389,1416,1369,1416,1389,1416,1369,1416,1409,1416,1389m1416,1389l1416,1429,1416,1409,1436,1409,1436,1449,1436,1409,1436,1469,1436,1449,1436,1489,1436,1469,1436,1509,1436,1489,1436,1529,1436,1509,1436,1529,1436,1489,1456,1469,1456,1449,1456,1469,1456,1449,1456,1469,1456,1449,1456,1529,1456,1469,1456,1489,1456,1469,1456,1509,1456,1469,1456,1509,1476,1489,1476,1469,1476,1549,1476,1449,1476,1549,1476,1489m1476,1489l1476,1549,1476,1449,1496,1429,1496,1529,1496,1449,1496,1509,1496,1489,1496,1529,1496,1509m1496,1489l1496,1449,1496,1509,1496,1489,1496,1509,1496,1409,1496,1429m1496,1429l1516,1429,1516,1409,1516,1449,1516,1409,1516,1469,1516,1409,1516,1429,1516,1409,1516,1489,1516,1409,1516,1429,1516,1409,1516,1469,1516,1449,1516,1469,1536,1469,1536,1509,1536,1469,1536,1509,1536,1469,1536,1489,1536,1469,1536,1509,1536,1449,1536,1469,1536,1429,1536,1449,1556,1429,1556,1569,1556,1409,1556,1489,1556,1449,1556,1589,1556,1469,1556,1489,1556,1469,1556,1529,1556,1509,1556,1589m1556,1589l1556,1509,1576,1529,1576,1509,1576,1549,1576,1529,1576,1549,1576,1509,1576,1569,1576,1509,1576,1609,1576,1529,1576,1649,1576,1569,1576,1689,1576,1589,1596,1649,1596,1589,1596,1649,1596,1589m1596,1589l1596,1609,1596,1529,1596,1569,1596,1549,1596,1589,1596,1509,1596,1569,1596,1469,1596,1509,1596,1489m1596,1489l1596,1509,1596,1489,1616,1509,1616,1549,1616,1489,1616,1509,1616,1469,1616,1549,1616,1469,1616,1529,1616,1449,1616,1469,1616,1429,1616,1449,1616,1389m1616,1389l1616,1529,1616,1429,1616,1469,1616,1449,1616,1529,1616,1429,1616,1449,1636,1429,1636,1449,1636,1409m1636,1409l1636,1429,1636,1409,1636,1529,1636,1349,1636,1409,1636,1349,1636,1469m1636,1469l1656,1409,1656,1549,1656,1289,1656,1549,1656,1369,1656,1549,1656,1369,1656,1589,1656,1429,1656,1589,1656,1569m1656,1569l1656,1469,1656,1609,1656,1409,1656,1469,1656,1409,1676,1449,1676,1409,1676,1449,1676,1409,1676,1429,1676,1409,1676,1449,1676,1389,1676,1509,1676,1449,1676,1549,1696,1529,1696,1549m1696,1549l1696,1469,1696,1529,1696,1429,1696,1509,1696,1449,1696,1509,1696,1469,1696,1549m1696,1549l1696,1469,1696,1529,1696,1509,1696,1549,1716,1449,1716,1549,1716,1509,1716,1569,1716,1469,1716,1529,1716,1509,1716,1549,1716,1449,1716,1529,1736,1529,1736,1609,1736,1529,1736,1569,1736,1529,1736,1609,1736,1509,1736,1549,1736,1509,1736,1529,1736,1509,1736,1549,1736,1529,1756,1529,1756,1509,1756,1569,1756,1529,1756,1589,1756,1429,1756,1549m1756,1549l1756,1489,1756,1569,1756,1489,1756,1529,1776,1509,1776,1569e" filled="false" stroked="true" strokeweight=".75pt" strokecolor="#faab54">
              <v:path arrowok="t"/>
              <v:stroke dashstyle="solid"/>
            </v:shape>
            <v:line style="position:absolute" from="1768,1579" to="1783,1579" stroked="true" strokeweight="3pt" strokecolor="#faab54">
              <v:stroke dashstyle="solid"/>
            </v:line>
            <v:shape style="position:absolute;left:1775;top:1548;width:60;height:140" coordorigin="1776,1549" coordsize="60,140" path="m1776,1609l1776,1569,1776,1609,1776,1589,1776,1649,1776,1569,1776,1609,1776,1569,1796,1569,1796,1549,1796,1569,1796,1549,1796,1629,1796,1609m1796,1609l1796,1649,1796,1589,1796,1629,1816,1649,1816,1629,1816,1649,1816,1629,1816,1649m1816,1649l1816,1629,1816,1669,1816,1609,1836,1609,1836,1649,1836,1629,1836,1689,1836,1669,1836,1689,1836,1649e" filled="false" stroked="true" strokeweight=".75pt" strokecolor="#faab54">
              <v:path arrowok="t"/>
              <v:stroke dashstyle="solid"/>
            </v:shape>
            <v:line style="position:absolute" from="1828,1669" to="1843,1669" stroked="true" strokeweight="2pt" strokecolor="#faab54">
              <v:stroke dashstyle="solid"/>
            </v:line>
            <v:shape style="position:absolute;left:1835;top:1448;width:700;height:480" coordorigin="1836,1449" coordsize="700,480" path="m1836,1669l1836,1749,1856,1789,1856,1769,1856,1849,1856,1809,1856,1849,1856,1809,1856,1849,1856,1789,1856,1809,1856,1769,1856,1789,1856,1769,1876,1749,1876,1769,1876,1669,1876,1709m1876,1709l1876,1649,1876,1709,1876,1649,1876,1669,1876,1589,1876,1649,1876,1609,1876,1689,1876,1649,1896,1629,1896,1669,1896,1629,1896,1649,1896,1569,1896,1669,1896,1629,1896,1669,1896,1649,1896,1669,1896,1629,1916,1669,1916,1629,1916,1669,1916,1649m1916,1649l1916,1669,1916,1609,1916,1669,1916,1629,1916,1649,1916,1629,1916,1649,1916,1629,1916,1649,1936,1649,1936,1629,1936,1649,1936,1629,1936,1649,1936,1609,1936,1629,1936,1589,1936,1609,1936,1589,1936,1609,1936,1529,1936,1629,1956,1589,1956,1609,1956,1589,1956,1609,1956,1589,1956,1609,1956,1549,1956,1569,1956,1549,1956,1589,1956,1569,1956,1589,1956,1569,1956,1609,1956,1589m1956,1589l1976,1569,1976,1449,1976,1469,1976,1449,1976,1529,1976,1469,1976,1549,1976,1489m1976,1489l1976,1509,1976,1469,1976,1529,1976,1489m1976,1489l1976,1529,1996,1529,1996,1609,1996,1569,1996,1669,1996,1609,1996,1629,1996,1609,1996,1629,1996,1609,1996,1629,1996,1609,1996,1629,1996,1589,2016,1589m2016,1589l2016,1549,2016,1569,2016,1549,2016,1609,2036,1609,2036,1589,2036,1689,2036,1629,2036,1689,2036,1609,2036,1669,2036,1649,2036,1669m2036,1669l2036,1629,2036,1649,2036,1629,2036,1649,2036,1629,2036,1689,2036,1669,2036,1729,2056,1729,2056,1809m2056,1809l2056,1709,2056,1769,2056,1749,2056,1809,2076,1809,2076,1789,2076,1809,2076,1789,2076,1829,2076,1809,2076,1829,2076,1769,2076,1809,2076,1769m2076,1769l2076,1789,2076,1749,2076,1809,2076,1769,2076,1809,2076,1749,2076,1789,2096,1789,2096,1809,2096,1729,2096,1749,2096,1689,2096,1749,2096,1729,2096,1769,2116,1769,2116,1749,2116,1769m2096,1769l2116,1709,2116,1769,2116,1689,2116,1749,2116,1669,2116,1749,2116,1729,2116,1769,2116,1689,2116,1729,2116,1709,2116,1749,2116,1709,2116,1729,2136,1729,2136,1749,2136,1729,2136,1769,2136,1729,2136,1769,2136,1729,2136,1889,2136,1869,2136,1889,2136,1769,2156,1789,2156,1809,2156,1749,2156,1769,2156,1689,2156,1709,2156,1629,2156,1669,2156,1629,2156,1649,2156,1629,2156,1669,2176,1689,2176,1709,2176,1689,2176,1709,2176,1689,2176,1729,2176,1709,2176,1729m2176,1729l2176,1709,2176,1769,2176,1749,2176,1769,2196,1789,2196,1749m2196,1769l2196,1749,2196,1789,2196,1769,2196,1829,2196,1809,2196,1829,2196,1789,2196,1849,2216,1829m2216,1829l2216,1849,2216,1769,2216,1809,2216,1789,2216,1809,2216,1729,2216,1769,2236,1769,2236,1749,2236,1769,2236,1709,2236,1769,2236,1749,2236,1789,2256,1789,2256,1809,2256,1789,2256,1809,2256,1789,2256,1809,2256,1789,2256,1809,2256,1789m2256,1789l2256,1829,2256,1789,2256,1849,2276,1849,2276,1869,2276,1829,2276,1869,2276,1809,2276,1869,2276,1849,2296,1849,2296,1689,2296,1769,2296,1709,2296,1769,2296,1749,2296,1849,2296,1749,2296,1849,2296,1769,2296,1829,2296,1749,2296,1829m2296,1829l2296,1769,2296,1869,2296,1849,2316,1889,2316,1869,2316,1889,2316,1869,2316,1889,2316,1869,2316,1889,2316,1849m2316,1849l2316,1869,2316,1829,2316,1889,2316,1829,2316,1849,2316,1829,2316,1869,2316,1849,2336,1769,2336,1869,2336,1769,2336,1869,2336,1809,2336,1909,2336,1889,2336,1929,2336,1869,2336,1889,2336,1829,2336,1849,2336,1829,2336,1849,2356,1849,2356,1869,2356,1809,2356,1829,2356,1809,2356,1869,2356,1789,2356,1829,2356,1809,2356,1869,2356,1829,2376,1829,2376,1929,2376,1849,2376,1929,2376,1809,2376,1889,2376,1789,2376,1849,2376,1769,2376,1869,2396,1849,2396,1829,2396,1849m2396,1789l2396,1909m2396,1889l2396,1829,2396,1889,2396,1789,2416,1849,2416,1889,2416,1829,2416,1889,2416,1869,2416,1889,2416,1829,2416,1889,2416,1869,2416,1889,2416,1789,2416,1889,2416,1809,2436,1849,2436,1769,2436,1829,2436,1789m2436,1789l2436,1889,2436,1789,2436,1869,2436,1809,2436,1849,2436,1789,2436,1809,2436,1789,2436,1809,2436,1769,2436,1809,2436,1769,2436,1849,2436,1789,2436,1829,2436,1749,2436,1809,2436,1769,2456,1789,2456,1749,2456,1869,2456,1769,2456,1809m2456,1809l2456,1789,2456,1889,2456,1769,2456,1789,2456,1769,2456,1849,2456,1829,2476,1829,2476,1809,2476,1849,2476,1749,2476,1769m2476,1749l2476,1869m2476,1869l2496,1829,2496,1769,2496,1789,2496,1769,2496,1809,2496,1789,2496,1809,2496,1749,2496,1769,2496,1749,2496,1789,2516,1749,2516,1789,2516,1749,2516,1789,2516,1769,2516,1789,2516,1769,2516,1809,2516,1789,2516,1809,2516,1769,2536,1769,2536,1789e" filled="false" stroked="true" strokeweight=".75pt" strokecolor="#faab54">
              <v:path arrowok="t"/>
              <v:stroke dashstyle="solid"/>
            </v:shape>
            <v:line style="position:absolute" from="2528,1769" to="2543,1769" stroked="true" strokeweight="2pt" strokecolor="#faab54">
              <v:stroke dashstyle="solid"/>
            </v:line>
            <v:shape style="position:absolute;left:2535;top:1388;width:280;height:380" coordorigin="2536,1389" coordsize="280,380" path="m2536,1769l2536,1729,2536,1769,2536,1709,2556,1769,2556,1709,2556,1729,2556,1689,2556,1709,2556,1649,2556,1669,2556,1649,2576,1649,2576,1629,2576,1649,2576,1609,2576,1629,2576,1569,2576,1649,2576,1589,2576,1609,2576,1589,2596,1589,2596,1609,2596,1589,2596,1669,2596,1589,2596,1729,2596,1589,2596,1689,2596,1629,2596,1669,2596,1649,2596,1669,2596,1649,2596,1669,2596,1569,2596,1629,2616,1609,2616,1649,2616,1629m2616,1629l2616,1649,2616,1629,2616,1649,2616,1629,2616,1649,2616,1629,2616,1649,2616,1629,2616,1649,2616,1629,2636,1629,2636,1649,2636,1389,2636,1549,2636,1429,2636,1549m2636,1549l2636,1489,2636,1529,2636,1489,2656,1509,2656,1569,2656,1549,2656,1589,2656,1569m2656,1569l2656,1609,2656,1589,2656,1609,2656,1569,2656,1589,2656,1569,2656,1589,2656,1569,2676,1549,2676,1529m2676,1529l2676,1549,2676,1529,2676,1569,2676,1509,2676,1589,2676,1529,2676,1589,2676,1489,2676,1549,2676,1509m2676,1509l2676,1529,2676,1489,2676,1529,2676,1489,2676,1529,2696,1489,2696,1549,2696,1529,2696,1569,2696,1549,2696,1609,2696,1589,2696,1609,2696,1589,2696,1669,2696,1629,2696,1709,2696,1629,2696,1649,2716,1649,2716,1689,2716,1609,2716,1689,2716,1669,2716,1729,2716,1689,2716,1729,2716,1709,2716,1729,2716,1709,2716,1749m2716,1749l2716,1729,2736,1709,2736,1689,2736,1709,2736,1669,2736,1689,2736,1649,2736,1669,2736,1629,2736,1649,2736,1609,2736,1709,2756,1669,2756,1629,2756,1709m2756,1709l2756,1649,2756,1669,2756,1649,2756,1669,2756,1629,2756,1669,2756,1649,2756,1669,2776,1629,2776,1649,2776,1629,2776,1669,2776,1629,2776,1649,2776,1629m2776,1629l2776,1649,2776,1629,2776,1649,2776,1609,2776,1649,2776,1629,2776,1649,2796,1649,2796,1609,2796,1649m2796,1649l2796,1609,2796,1669,2796,1649,2796,1689,2796,1669,2796,1709,2816,1709e" filled="false" stroked="true" strokeweight=".75pt" strokecolor="#faab54">
              <v:path arrowok="t"/>
              <v:stroke dashstyle="solid"/>
            </v:shape>
            <v:line style="position:absolute" from="2808,1709" to="2823,1709" stroked="true" strokeweight="4pt" strokecolor="#faab54">
              <v:stroke dashstyle="solid"/>
            </v:line>
            <v:shape style="position:absolute;left:2815;top:1448;width:400;height:620" coordorigin="2816,1449" coordsize="400,620" path="m2816,1709l2816,1689,2816,1749,2836,1709,2836,1689,2836,1809,2836,1749,2856,1749,2856,1729,2856,1749,2856,1709,2856,1749,2856,1729,2856,1769,2856,1729,2856,1769,2856,1749,2856,1769,2856,1749,2856,1769,2876,1749,2876,1729,2876,1749,2876,1729,2876,1769,2876,1729,2876,1809m2876,1809l2876,1789,2876,1869,2876,1789,2876,1829,2876,1809,2876,1849,2896,1809,2896,1849,2896,1809m2896,1809l2896,1789,2896,1889m2896,1889l2896,1809,2896,1929,2896,1829,2896,1949,2896,1829,2916,1829,2916,1889,2916,1829m2916,1829l2916,1929,2916,1829,2916,1869,2916,1849,2916,1909,2916,1849,2916,1929,2916,1869,2916,1889,2916,1829,2916,1929,2916,1829,2916,1929,2916,1869,2936,1829,2936,1889,2936,1869,2936,1889m2936,1889l2936,1869,2936,1949,2936,1849,2936,1909,2936,1849,2936,1889,2936,1869m2936,1869l2956,1869,2956,1909,2956,1889,2956,1909,2956,1889,2956,1909,2956,1889,2956,1909m2956,1909l2956,1849,2956,1869,2956,1829,2976,1829,2976,1869,2976,1849,2976,1909m2976,1909l2976,1889,2976,1929,2976,1909,2976,1929,2976,1909,2976,1929,2976,1909,2976,1929,2996,1949,2996,1929,2996,1949,2996,1909m2996,1909l2996,1969,2996,1909,2996,1949,2996,1909,2996,1929,3016,1989,3016,1969,3016,2069,3016,2049,3016,2069,3016,1629,3016,1649,3016,1489,3016,1649,3016,1629,3036,1629,3036,1449m3036,1449l3036,1549,3036,1529m3036,1529l3036,1589,3036,1529,3036,1549,3036,1529,3036,1609,3036,1569,3036,1589,3056,1589,3056,1669,3056,1629,3056,1669,3056,1629,3056,1729,3056,1669,3056,1689,3056,1649,3076,1629,3076,1569,3076,1589,3076,1529,3076,1569,3076,1549,3076,1609,3076,1569,3076,1589,3076,1529,3076,1649m3076,1649l3076,1589,3096,1649,3096,1669,3096,1649,3096,1669,3096,1609,3096,1689,3096,1649,3096,1729,3096,1669,3096,1729,3096,1689m3096,1689l3096,1709,3096,1669,3116,1629,3116,1709,3116,1629,3116,1729,3116,1669,3116,1689,3116,1669,3116,1709,3116,1669,3116,1689,3116,1669,3136,1669,3136,1649,3136,1669m3136,1669l3136,1649,3136,1669,3136,1649,3136,1669,3136,1629,3136,1729,3156,1749,3156,1729,3156,1769,3156,1749m3156,1749l3156,1769,3156,1749,3156,1809,3176,1809,3176,1769,3176,1789,3176,1769,3176,1849m3176,1849l3176,1829,3176,1909,3176,1889,3176,1929,3176,1909,3196,1909m3196,1909l3196,1929,3196,1869,3196,1889,3196,1869,3196,1909,3196,1889,3216,1889,3216,1909,3216,1889e" filled="false" stroked="true" strokeweight=".75pt" strokecolor="#faab54">
              <v:path arrowok="t"/>
              <v:stroke dashstyle="solid"/>
            </v:shape>
            <v:line style="position:absolute" from="3208,1909" to="3223,1909" stroked="true" strokeweight="4pt" strokecolor="#faab54">
              <v:stroke dashstyle="solid"/>
            </v:line>
            <v:shape style="position:absolute;left:3215;top:1788;width:240;height:240" coordorigin="3216,1789" coordsize="240,240" path="m3216,1929l3216,1949,3236,1949,3236,2009,3236,1969,3236,1989,3236,1969,3236,2009,3236,1989,3236,2029,3236,2009,3236,2029m3236,2029l3236,1989,3256,1989,3256,2009,3256,1989,3256,2009,3256,1969,3256,2009,3256,1969,3256,1989,3256,1929,3256,1949,3256,1909,3256,1949,3276,1949,3276,1969,3276,1909,3276,1949,3276,1909,3276,1949,3276,1909,3276,1929,3276,1889,3276,1909,3276,1869,3276,1889,3276,1849m3276,1849l3276,1889,3276,1809,3276,1869,3296,1909,3296,1929,3296,1849,3296,1889,3296,1849,3296,1869,3296,1829,3296,1869,3296,1849,3296,1889,3296,1869,3296,1929,3296,1829,3316,1829,3316,1809,3316,1889,3316,1789,3316,1849,3316,1789,3316,1889,3316,1829,3316,1889,3316,1849,3316,1869,3316,1829,3316,1889,3316,1829,3316,1869,3336,1869m3336,1869l3336,1849,3336,1909,3336,1889,3336,1909,3336,1869,3336,1909,3336,1889,3356,1909,3356,1929,3356,1889,3356,1909,3356,1869,3356,1889,3356,1869,3356,1889,3356,1829,3356,1869,3356,1829,3356,1889,3356,1869,3356,1889,3356,1869,3376,1829,3376,1869m3376,1869l3376,1789,3376,1889,3376,1809,3376,1849,3376,1829,3376,1849,3376,1829,3376,1889,3396,1889,3396,1849,3396,1909,3396,1869,3396,1889,3416,1889,3416,1909,3416,1889,3416,1909,3416,1889,3416,1909,3416,1869,3436,1889,3436,1869,3436,1909,3436,1889,3436,1909m3436,1889l3436,1909,3436,1889,3436,1909,3436,1889,3456,1889e" filled="false" stroked="true" strokeweight=".75pt" strokecolor="#faab54">
              <v:path arrowok="t"/>
              <v:stroke dashstyle="solid"/>
            </v:shape>
            <v:shape style="position:absolute;left:3448;top:1868;width:15;height:40" coordorigin="3448,1869" coordsize="15,40" path="m3463,1869l3448,1869,3448,1889,3448,1909,3463,1909,3463,1889,3463,1869xe" filled="true" fillcolor="#faab54" stroked="false">
              <v:path arrowok="t"/>
              <v:fill type="solid"/>
            </v:shape>
            <v:shape style="position:absolute;left:3455;top:1768;width:280;height:140" coordorigin="3456,1769" coordsize="280,140" path="m3456,1889l3476,1889,3476,1869,3476,1889,3476,1869,3476,1909,3476,1869,3476,1889m3476,1889l3476,1869,3476,1889,3476,1869,3496,1869,3496,1889,3496,1869,3496,1889,3496,1829,3496,1849,3496,1829,3496,1849,3516,1829,3516,1849m3516,1849l3516,1789,3516,1829,3516,1769,3516,1789,3536,1789,3536,1809,3536,1769,3536,1789,3536,1769,3536,1829m3536,1829l3536,1769,3536,1809,3536,1769,3536,1809,3536,1789,3536,1809,3536,1789,3536,1809,3556,1809,3556,1849,3556,1769,3556,1789,3556,1769,3576,1769,3576,1789,3576,1769,3576,1809,3576,1789,3576,1809,3576,1789m3576,1789l3576,1829,3576,1809,3576,1849,3576,1829,3596,1829,3596,1849,3596,1829,3596,1849,3596,1829,3596,1849,3596,1809,3596,1849,3616,1849,3616,1869,3616,1829,3616,1849,3616,1829,3616,1849,3616,1789,3616,1809m3616,1809l3616,1789,3616,1809,3616,1789,3616,1809,3616,1769,3636,1769,3636,1809,3636,1769,3636,1789,3636,1769,3636,1789,3636,1769,3636,1789,3636,1769,3636,1789,3636,1769,3656,1789m3656,1789l3656,1829,3656,1809,3656,1829,3656,1809,3656,1829,3656,1789,3656,1829,3676,1829,3676,1809,3676,1829,3676,1809,3676,1829,3676,1809,3676,1829,3676,1789,3676,1809,3676,1789,3676,1809,3676,1789,3676,1809,3696,1809,3696,1829,3696,1809,3696,1829,3696,1809,3696,1829,3716,1829,3716,1809,3716,1829,3716,1769,3716,1809,3716,1789,3736,1809,3736,1849e" filled="false" stroked="true" strokeweight=".75pt" strokecolor="#faab54">
              <v:path arrowok="t"/>
              <v:stroke dashstyle="solid"/>
            </v:shape>
            <v:line style="position:absolute" from="3728,1839" to="3743,1839" stroked="true" strokeweight="3pt" strokecolor="#faab54">
              <v:stroke dashstyle="solid"/>
            </v:line>
            <v:shape style="position:absolute;left:3735;top:1848;width:320;height:380" coordorigin="3736,1849" coordsize="320,380" path="m3736,1869l3736,1849,3756,1869,3756,1889,3756,1869,3756,1929,3756,1909,3776,1909,3776,1949,3776,1909,3776,1929,3776,1909,3776,1949,3776,1889,3776,1909,3776,1889,3776,1909,3796,1909m3796,1909l3796,1949,3796,1909,3796,1929,3796,1909,3796,1969,3796,1949,3816,1929,3816,1949,3816,1909,3836,1889,3836,1929,3836,1909,3836,2049m3836,2049l3836,2029,3836,2069,3836,2049,3856,2029,3856,2009,3856,2029,3856,2009,3856,2049,3856,2029,3856,2069,3856,2029,3856,2049,3856,2029,3856,2069,3876,2049,3876,2109m3876,2109l3876,2089,3876,2109,3876,2069,3876,2109,3876,2089,3896,2069m3876,2069l3876,2069,3896,2049,3896,2069,3896,2049m3896,2049l3896,2069,3916,2089,3916,2129,3916,2109,3916,2129,3916,2109,3916,2129,3916,2089,3916,2149,3916,2109,3916,2169,3916,2109,3916,2129,3916,2109,3916,2129,3916,2109,3916,2129,3916,2089m3916,2089l3936,2089,3936,2109,3936,2089,3936,2129,3936,2109,3936,2149,3936,2129,3936,2149,3936,2129,3956,2129,3956,2149,3956,2129m3956,2129l3956,2149,3956,2129,3956,2189,3976,2169,3976,2189,3976,2169,3976,2189,3976,2169,3976,2209m3976,2209l3976,2189,3996,2189,3996,2209,3996,2169,3996,2209,3996,2189,3996,2209,3996,2189,3996,2209,3996,2189,4016,2209m4016,2209l4016,2169,4016,2189,4016,2169,4016,2189,4016,2149,4036,2149,4036,2189,4036,2169,4036,2229,4036,2189,4036,2209,4036,2189,4056,2189,4056,2209,4056,2189,4056,2209,4056,2189e" filled="false" stroked="true" strokeweight=".75pt" strokecolor="#faab54">
              <v:path arrowok="t"/>
              <v:stroke dashstyle="solid"/>
            </v:shape>
            <v:line style="position:absolute" from="4048,2189" to="4063,2189" stroked="true" strokeweight="2pt" strokecolor="#faab54">
              <v:stroke dashstyle="solid"/>
            </v:line>
            <v:shape style="position:absolute;left:4055;top:2168;width:100;height:120" coordorigin="4056,2169" coordsize="100,120" path="m4056,2169l4056,2189,4076,2169,4076,2189,4076,2169,4076,2209,4076,2189,4076,2209,4076,2189,4076,2229,4076,2189,4076,2209,4076,2189m4076,2189l4076,2229,4096,2229,4096,2249,4096,2229,4096,2289,4096,2249,4096,2269m4096,2269l4096,2189,4096,2229,4096,2189,4096,2209,4096,2189,4116,2209,4116,2169,4116,2249,4116,2209,4116,2249,4116,2229,4116,2249,4116,2229,4136,2229,4136,2209,4136,2249,4136,2209,4136,2229,4156,2229,4156,2249m4156,2249l4156,2209e" filled="false" stroked="true" strokeweight=".75pt" strokecolor="#faab54">
              <v:path arrowok="t"/>
              <v:stroke dashstyle="solid"/>
            </v:shape>
            <v:line style="position:absolute" from="4156,2209" to="4156,2209" stroked="true" strokeweight=".75pt" strokecolor="#faab54">
              <v:stroke dashstyle="solid"/>
            </v:line>
            <v:shape style="position:absolute;left:4215;top:68;width:100;height:2140" coordorigin="4216,69" coordsize="100,2140" path="m4316,2209l4216,2209m4316,1789l4216,1789m4316,1349l4216,1349m4316,929l4216,929m4316,509l4216,509m4316,69l4216,69e" filled="false" stroked="true" strokeweight=".5pt" strokecolor="#000000">
              <v:path arrowok="t"/>
              <v:stroke dashstyle="solid"/>
            </v:shape>
            <v:line style="position:absolute" from="1136,2029" to="4156,2029" stroked="true" strokeweight=".5pt" strokecolor="#008256">
              <v:stroke dashstyle="solid"/>
            </v:line>
            <v:line style="position:absolute" from="2756,2322" to="2756,2136" stroked="true" strokeweight=".5pt" strokecolor="#231f20">
              <v:stroke dashstyle="solid"/>
            </v:line>
            <v:shape style="position:absolute;left:2730;top:2067;width:51;height:85" coordorigin="2731,2068" coordsize="51,85" path="m2756,2068l2731,2153,2781,2153,2760,2087,2757,2077,2756,2068xe" filled="true" fillcolor="#231f20" stroked="false">
              <v:path arrowok="t"/>
              <v:fill type="solid"/>
            </v:shape>
            <v:shape style="position:absolute;left:1135;top:2068;width:140;height:160" coordorigin="1136,2069" coordsize="140,160" path="m1136,2209l1136,2189,1156,2189,1156,2109,1156,2189,1156,2129,1156,2189,1156,2169,1156,2189,1156,2069m1156,2069l1156,2189,1156,2149,1156,2189,1156,2169,1176,2169,1176,2129m1176,2129l1176,2169,1176,2089,1176,2149,1176,2089,1176,2129,1176,2069,1176,2089,1176,2069,1176,2129,1176,2069,1176,2129,1176,2069m1176,2069l1196,2069,1196,2129,1196,2069,1196,2129,1196,2069,1196,2129,1196,2109,1196,2129,1196,2069m1196,2069l1196,2129,1216,2149,1216,2129,1216,2149,1216,2129,1216,2169,1216,2149,1216,2169,1216,2129,1216,2149,1216,2129,1216,2149,1216,2129,1216,2169,1216,2129,1216,2169,1236,2169,1236,2129,1236,2229,1236,2209,1256,2229,1256,2189,1256,2209,1256,2189,1256,2209,1256,2169m1256,2169l1256,2209,1256,2169,1256,2209,1256,2189,1276,2189,1276,2109,1276,2189,1276,2129,1276,2209,1276,2189,1276,2229,1276,2209e" filled="false" stroked="true" strokeweight=".75pt" strokecolor="#008256">
              <v:path arrowok="t"/>
              <v:stroke dashstyle="solid"/>
            </v:shape>
            <v:line style="position:absolute" from="1268,2209" to="1283,2209" stroked="true" strokeweight="2pt" strokecolor="#008256">
              <v:stroke dashstyle="solid"/>
            </v:line>
            <v:shape style="position:absolute;left:1275;top:2188;width:40;height:60" coordorigin="1276,2189" coordsize="40,60" path="m1276,2189l1276,2249,1276,2229,1296,2229,1296,2189,1296,2249,1296,2229,1296,2249,1296,2229,1296,2249,1296,2229,1296,2249,1296,2229,1316,2229,1316,2249,1316,2229,1316,2249,1316,2229e" filled="false" stroked="true" strokeweight=".75pt" strokecolor="#008256">
              <v:path arrowok="t"/>
              <v:stroke dashstyle="solid"/>
            </v:shape>
            <v:line style="position:absolute" from="1308,2209" to="1323,2209" stroked="true" strokeweight="4pt" strokecolor="#008256">
              <v:stroke dashstyle="solid"/>
            </v:line>
            <v:shape style="position:absolute;left:1315;top:1968;width:700;height:260" coordorigin="1316,1969" coordsize="700,260" path="m1316,2189l1336,2189,1336,2229,1336,2189,1336,2229,1336,2209,1336,2229,1336,2189,1336,2209,1336,2169m1336,2169l1336,2189,1356,2169,1356,2129m1356,2129l1356,2149,1356,2109,1356,2129,1376,2129m1376,2129l1376,2069,1376,2089,1376,2069,1376,2089,1376,2069,1376,2089,1376,2069,1376,2089,1396,2089,1396,2069,1396,2089,1396,2069,1396,2089,1396,2069,1396,2089,1396,2069,1396,2129,1416,2129,1416,2109,1416,2129,1416,2109,1416,2129,1436,2129,1436,2109,1476,2109,1476,2089,1476,2109,1476,2089,1476,2109,1476,2089,1476,2109,1476,2089,1476,2109,1476,2069,1496,2069,1496,2109,1496,2089,1496,2109,1516,2109,1516,2089,1516,2109,1516,2089,1536,2089,1536,2029,1536,2049,1556,2049,1556,1989,1556,2009,1576,2009m1556,2009l1556,2049,1576,2049,1576,2029,1576,2049,1576,2029,1576,2049,1576,2029,1576,2049,1576,2029,1576,2049,1576,2029,1576,2049,1596,2049,1596,2089,1596,2069,1596,2089,1616,2089,1616,2129,1616,2109,1616,2129,1616,2109m1616,2109l1616,2129,1616,2109,1616,2129,1616,2109,1616,2129,1636,2129,1636,2109,1636,2129,1636,2109,1656,2109,1656,2129,1656,2109,1656,2129,1656,2109,1656,2129,1656,2109,1656,2129,1656,2109,1656,2149,1656,2089,1656,2129,1676,2129,1676,2149,1676,2069,1696,2069,1696,2049m1696,2049l1736,2049m1736,2049l1736,2069,1756,2069,1756,2049,1756,2069m1756,2049l1776,2049,1796,2029m1796,2029l1796,2049,1796,2029,1796,2049,1796,2009,1816,2009,1816,1969,1816,1989,1836,1989,1836,1969,1836,2029,1836,2009,1856,2009,1856,1989,1856,2009,1856,1989m1856,1989l1856,2049,1876,2049,1876,2069m1876,2069l1876,2089,1876,2069,1876,2109,1876,2089,1876,2109,1876,2089,1896,2089,1896,2109,1896,2069m1896,2069l1896,2089,1896,2069,1916,2069,1916,2049,1936,2049,1936,2069,1936,2029,1936,2049,1936,2029,1956,2009,1956,2029,1956,2009,1956,2029,1956,1989,1956,2009,1956,1989,1956,2009,1956,1989,1956,2009,1976,2009m1956,2009l1976,2009,1976,1989,1976,2029,1976,2009,1976,2029,1996,2049,1996,1969,1996,2029,1996,1969,1996,2049,1996,2029,1996,2069,1996,2049,2016,2049,2016,2069e" filled="false" stroked="true" strokeweight=".75pt" strokecolor="#008256">
              <v:path arrowok="t"/>
              <v:stroke dashstyle="solid"/>
            </v:shape>
            <v:line style="position:absolute" from="2008,2089" to="2023,2089" stroked="true" strokeweight="4pt" strokecolor="#008256">
              <v:stroke dashstyle="solid"/>
            </v:line>
            <v:shape style="position:absolute;left:2035;top:1828;width:320;height:300" coordorigin="2036,1829" coordsize="320,300" path="m2036,2109l2036,2129,2036,2049,2036,2129,2036,2069,2036,2129,2036,2049,2036,2069,2036,2029,2056,2029,2056,1969,2056,1989,2076,1989,2076,1969m2076,1969l2076,1989,2076,1949,2076,1969,2076,1949,2096,1949,2096,1929m2096,1929l2096,1949,2096,1929,2096,1949,2096,1909,2116,1909,2116,1889,2116,1929,2116,1909,2116,1929,2116,1909,2116,1929,2116,1909,2136,1909,2136,1829m2136,1829l2136,1889,2136,1849,2136,1909,2156,1909,2156,1889,2156,1949,2156,1929m2156,1909l2176,1909,2176,1929,2176,1909,2176,1929,2176,1849m2176,1849l2176,1889,2176,1869,2176,1909,2196,1909,2196,1949,2196,1929,2216,1929,2216,1949,2216,1929,2216,1949,2236,1949,2236,1929,2236,1949,2236,1929,2236,1949,2236,1929,2236,1949,2236,1929,2256,1929,2256,1909,2256,1929,2256,1909,2256,1929,2256,1909,2276,1889,2276,1929m2276,1929l2296,1929,2296,2029m2296,2029l2296,1929,2296,2009,2296,1929,2296,2009,2296,1949,2296,2009,2296,1929,2296,2029,2296,1949,2316,2029,2316,1949,2316,1969,2316,1949,2316,1969,2316,1949,2316,2009,2336,2089,2336,1989,2336,2089,2336,1989,2336,2009m2336,2009l2336,1969,2336,1989,2356,1969e" filled="false" stroked="true" strokeweight=".75pt" strokecolor="#008256">
              <v:path arrowok="t"/>
              <v:stroke dashstyle="solid"/>
            </v:shape>
            <v:line style="position:absolute" from="2348,1999" to="2363,1999" stroked="true" strokeweight="3pt" strokecolor="#008256">
              <v:stroke dashstyle="solid"/>
            </v:line>
            <v:shape style="position:absolute;left:2355;top:1828;width:780;height:240" coordorigin="2356,1829" coordsize="780,240" path="m2356,1969l2356,2029,2376,2029,2376,2049,2376,2029,2376,2049,2376,2009,2376,2049,2396,2049,2396,2029m2396,2029l2396,2049,2396,2029,2396,2069,2396,2029,2396,2049,2396,2009,2396,2029,2396,2009,2416,2009,2416,1989,2436,1989,2436,1969m2436,1969l2436,2009,2436,1989,2436,2049,2456,2049,2456,2009,2456,2049,2456,2009,2456,2049,2456,1989,2456,2069,2456,2009,2456,2069,2456,2009,2476,2009,2476,2069m2476,2069l2476,2009,2476,2069,2476,2049,2476,2069,2476,2009,2496,2049,2496,2009m2476,2009l2496,2029,2496,2009,2496,2029,2496,2009,2496,2029,2496,2009,2496,2029,2516,2029,2516,2009,2516,2029,2516,2009,2516,2049,2536,2049,2536,2029,2536,2049,2536,1989,2536,2009,2556,2009m2536,2009l2536,2009,2556,1989,2556,2009,2556,1949,2576,1949,2576,1929,2576,1949,2576,1909,2596,1909,2596,1949,2596,1929,2596,1949,2596,1929,2596,1969,2596,1949,2596,1969,2616,1969,2616,1949,2616,1969,2616,1929,2636,1949,2636,1929,2636,1949,2636,1929,2636,1949,2636,1929m2636,1929l2656,1929,2656,1909,2676,1909,2676,1929,2676,1909,2676,1929,2676,1889,2676,1909,2676,1889,2676,1929,2676,1889,2676,1909m2676,1909l2696,1909,2696,1949,2696,1929,2696,1969,2696,1929,2696,1969m2696,1969l2696,1929,2716,1929,2716,1949m2716,1949l2716,1929,2736,1929,2736,1949,2736,1929,2736,1969,2736,1929,2756,1929,2756,1949,2756,1929,2756,1969,2756,1949,2776,1949,2776,1969,2776,1929,2776,1949,2776,1929,2796,1929,2796,1909,2796,1929,2796,1909,2796,1929,2796,1909,2796,1929,2796,1909,2816,1909m2816,1909l2816,1929,2836,1929,2836,1909,2836,1949,2836,1929,2836,1949,2836,1909,2876,1909,2876,1889,2876,1929,2876,1909,2896,1909,2896,1929,2896,1909,2916,1909,2916,1849,2936,1829m2936,1829l2936,1869,2936,1849,2936,1889,2936,1849,2936,1889,2956,1889,2956,1869,2956,1909,2956,1869,2956,1929m2956,1929l2956,1909,2956,1929,2976,1929,2976,1889,2996,1889m2996,1889l2996,1869,2996,1889,2996,1869,2996,1889,2996,1849,3016,1869,3016,1849,3016,1869,3016,1849,3016,1889,3016,1849,3016,1949,3016,1929,3016,1969,3036,1969,3036,1989,3036,1969,3036,1989,3036,1949,3056,1949,3056,1929,3056,1949,3096,1949,3096,1989,3096,1969,3096,1989,3096,1969,3096,2009,3096,1989m3096,1989l3096,2009,3116,2029,3116,1989,3116,2029,3116,2009,3116,2029,3116,1989,3116,2009,3136,1989,3136,2009e" filled="false" stroked="true" strokeweight=".75pt" strokecolor="#008256">
              <v:path arrowok="t"/>
              <v:stroke dashstyle="solid"/>
            </v:shape>
            <v:line style="position:absolute" from="3128,2009" to="3143,2009" stroked="true" strokeweight="2pt" strokecolor="#008256">
              <v:stroke dashstyle="solid"/>
            </v:line>
            <v:shape style="position:absolute;left:3135;top:1968;width:1020;height:380" coordorigin="3136,1969" coordsize="1020,380" path="m3136,2009l3156,2009,3156,2029,3156,2009,3156,2029,3176,2029,3176,2049,3196,2049,3196,2089,3196,2069,3216,2069,3216,2049,3216,2069,3216,2049,3216,2069,3236,2069,3236,2049,3236,2109,3256,2109,3256,2089,3256,2109,3256,2089,3276,2089,3276,2069,3276,2089,3276,2029,3276,2049,3276,2029,3276,2069,3276,2029,3276,2049,3276,2029,3296,2029,3296,2069,3296,2049,3296,2069,3296,2049,3296,2069,3296,2049,3296,2089,3296,2029,3316,2029m3316,2029l3316,2049,3316,1989,3316,2009,3316,1969,3336,1969,3336,1989,3356,1989,3356,1969,3356,2009,3376,2009m3376,2009l3376,1969,3376,1989,3376,1969,3376,2009,3396,1989m3396,1989l3416,1989,3416,2009,3416,1989,3416,2009,3416,1989,3436,1989,3436,1969,3436,1989,3436,1969,3436,1989,3456,1989,3456,1969,3456,1989m3456,1989l3456,1969,3456,1989,3456,1969,3456,1989,3456,1969,3456,1989,3456,1969,3456,2009,3456,1969,3476,1969,3476,1989,3476,1969,3476,1989m3456,1989l3476,1989,3476,2009,3476,1989,3476,2009m3476,2009l3476,2029,3476,2009,3496,2009,3496,2049,3496,2029,3496,2049,3496,2029,3496,2049m3496,2049l3496,2029,3496,2049,3496,2029,3496,2049,3496,2029,3496,2049,3496,2029,3496,2049,3516,2049,3516,2009,3516,2029,3516,2009,3516,2049,3516,2029,3516,2049,3516,2029m3516,2029l3516,2049,3536,2049,3536,2029,3536,2069,3536,2029,3536,2049,3556,2049,3556,2069,3556,2009,3556,2029,3556,1989,3556,2009,3556,1989,3556,2009,3576,2009,3576,2029,3596,2029,3596,2049,3596,2029,3616,2029,3616,2009,3636,2009,3636,1989,3636,2009,3636,1989,3656,1989m3656,1989l3656,2009,3656,1989,3656,2009,3656,1989,3656,2009,3656,1989,3656,2009,3656,1989,3676,1989,3676,1969,3676,1989,3676,1969,3696,1989m3696,1989l3716,1989,3716,2009,3716,1989,3716,2009,3716,1989,3736,1989,3736,1969,3736,2009,3736,1989m3736,1989l3736,2029,3736,2009,3736,2029,3736,2009,3756,2009,3756,1989,3756,2009,3756,1989,3756,2029,3776,2029,3776,2009,3776,2029,3776,2009,3796,2009,3796,2049,3816,2049,3816,2029,3816,2049,3816,2029,3836,2029,3836,2009,3836,2029,3856,2029,3856,2009,3856,2029,3856,2009,3856,2029m3856,2029l3856,2009,3856,2029,3856,2009,3856,2029,3876,2029,3876,2049,3916,2049,3916,2089,3916,2069m3916,2069l3916,2109,3916,2089,3916,2109,3936,2089,3936,2109m3916,2109l3936,2129,3936,2109,3936,2129,3936,2109,3936,2129,3936,2109m3936,2109l3936,2129,3956,2129,3956,2149,3956,2129m3956,2129l3956,2149,3956,2129,3956,2149,3956,2129,3956,2149,3976,2129m3976,2129l3976,2109,3976,2129,3996,2129,3996,2169,4016,2169,4016,2189m4016,2189l4016,2169,4036,2169,4036,2229,4036,2209,4036,2249,4036,2229,4036,2249,4036,2229,4056,2229,4056,2249,4056,2229,4056,2249,4076,2249,4076,2229,4076,2269,4076,2249,4096,2249,4096,2269,4096,2229,4096,2269,4096,2189,4096,2229,4116,2229,4116,2269m4116,2269l4136,2289,4136,2329,4156,2329,4156,2349e" filled="false" stroked="true" strokeweight=".75pt" strokecolor="#008256">
              <v:path arrowok="t"/>
              <v:stroke dashstyle="solid"/>
            </v:shape>
            <v:line style="position:absolute" from="4148,2359" to="4163,2359" stroked="true" strokeweight="1pt" strokecolor="#008256">
              <v:stroke dashstyle="solid"/>
            </v:line>
            <v:shape style="position:absolute;left:1925;top:678;width:440;height:133" type="#_x0000_t202" filled="false" stroked="false">
              <v:textbox inset="0,0,0,0">
                <w:txbxContent>
                  <w:p>
                    <w:pPr>
                      <w:spacing w:line="133" w:lineRule="exact" w:before="0"/>
                      <w:ind w:left="0" w:right="0" w:firstLine="0"/>
                      <w:jc w:val="left"/>
                      <w:rPr>
                        <w:sz w:val="12"/>
                      </w:rPr>
                    </w:pPr>
                    <w:r>
                      <w:rPr>
                        <w:sz w:val="12"/>
                      </w:rPr>
                      <w:t>Nominal</w:t>
                    </w:r>
                  </w:p>
                </w:txbxContent>
              </v:textbox>
              <w10:wrap type="none"/>
            </v:shape>
            <v:shape style="position:absolute;left:3198;top:1518;width:667;height:233" type="#_x0000_t202" filled="false" stroked="false">
              <v:textbox inset="0,0,0,0">
                <w:txbxContent>
                  <w:p>
                    <w:pPr>
                      <w:spacing w:line="172" w:lineRule="auto" w:before="26"/>
                      <w:ind w:left="46" w:right="1" w:hanging="47"/>
                      <w:jc w:val="left"/>
                      <w:rPr>
                        <w:sz w:val="12"/>
                      </w:rPr>
                    </w:pPr>
                    <w:r>
                      <w:rPr>
                        <w:sz w:val="12"/>
                      </w:rPr>
                      <w:t>Inflation expectations</w:t>
                    </w:r>
                  </w:p>
                </w:txbxContent>
              </v:textbox>
              <w10:wrap type="none"/>
            </v:shape>
            <v:shape style="position:absolute;left:1358;top:2191;width:240;height:133" type="#_x0000_t202" filled="false" stroked="false">
              <v:textbox inset="0,0,0,0">
                <w:txbxContent>
                  <w:p>
                    <w:pPr>
                      <w:spacing w:line="133" w:lineRule="exact" w:before="0"/>
                      <w:ind w:left="0" w:right="0" w:firstLine="0"/>
                      <w:jc w:val="left"/>
                      <w:rPr>
                        <w:sz w:val="12"/>
                      </w:rPr>
                    </w:pPr>
                    <w:r>
                      <w:rPr>
                        <w:sz w:val="12"/>
                      </w:rPr>
                      <w:t>Real</w:t>
                    </w:r>
                  </w:p>
                </w:txbxContent>
              </v:textbox>
              <w10:wrap type="none"/>
            </v:shape>
            <v:shape style="position:absolute;left:2205;top:2345;width:1233;height:133" type="#_x0000_t202" filled="false" stroked="false">
              <v:textbox inset="0,0,0,0">
                <w:txbxContent>
                  <w:p>
                    <w:pPr>
                      <w:spacing w:line="133" w:lineRule="exact" w:before="0"/>
                      <w:ind w:left="0" w:right="0" w:firstLine="0"/>
                      <w:jc w:val="left"/>
                      <w:rPr>
                        <w:sz w:val="12"/>
                      </w:rPr>
                    </w:pPr>
                    <w:r>
                      <w:rPr>
                        <w:sz w:val="12"/>
                      </w:rPr>
                      <w:t>Average since 1982 (3.6)</w:t>
                    </w:r>
                  </w:p>
                </w:txbxContent>
              </v:textbox>
              <w10:wrap type="none"/>
            </v:shape>
            <w10:wrap type="none"/>
          </v:group>
        </w:pict>
      </w:r>
      <w:r>
        <w:rPr>
          <w:sz w:val="12"/>
        </w:rPr>
        <w:t>15.0</w:t>
      </w:r>
    </w:p>
    <w:p>
      <w:pPr>
        <w:pStyle w:val="BodyText"/>
        <w:rPr>
          <w:sz w:val="12"/>
        </w:rPr>
      </w:pPr>
    </w:p>
    <w:p>
      <w:pPr>
        <w:pStyle w:val="BodyText"/>
        <w:spacing w:before="3"/>
        <w:rPr>
          <w:sz w:val="14"/>
        </w:rPr>
      </w:pPr>
    </w:p>
    <w:p>
      <w:pPr>
        <w:spacing w:before="0"/>
        <w:ind w:left="0" w:right="38" w:firstLine="0"/>
        <w:jc w:val="right"/>
        <w:rPr>
          <w:sz w:val="12"/>
        </w:rPr>
      </w:pPr>
      <w:r>
        <w:rPr/>
        <w:pict>
          <v:line style="position:absolute;mso-position-horizontal-relative:page;mso-position-vertical-relative:paragraph;z-index:15792128" from="51.779999pt,3.43457pt" to="46.779999pt,3.43457pt" stroked="true" strokeweight=".5pt" strokecolor="#000000">
            <v:stroke dashstyle="solid"/>
            <w10:wrap type="none"/>
          </v:line>
        </w:pict>
      </w:r>
      <w:r>
        <w:rPr>
          <w:sz w:val="12"/>
        </w:rPr>
        <w:t>12.5</w:t>
      </w:r>
    </w:p>
    <w:p>
      <w:pPr>
        <w:pStyle w:val="BodyText"/>
        <w:rPr>
          <w:sz w:val="12"/>
        </w:rPr>
      </w:pPr>
    </w:p>
    <w:p>
      <w:pPr>
        <w:pStyle w:val="BodyText"/>
        <w:spacing w:before="6"/>
        <w:rPr>
          <w:sz w:val="12"/>
        </w:rPr>
      </w:pPr>
    </w:p>
    <w:p>
      <w:pPr>
        <w:spacing w:before="0"/>
        <w:ind w:left="0" w:right="38" w:firstLine="0"/>
        <w:jc w:val="right"/>
        <w:rPr>
          <w:sz w:val="12"/>
        </w:rPr>
      </w:pPr>
      <w:r>
        <w:rPr/>
        <w:pict>
          <v:line style="position:absolute;mso-position-horizontal-relative:page;mso-position-vertical-relative:paragraph;z-index:15791616" from="51.779999pt,3.43457pt" to="46.779999pt,3.43457pt" stroked="true" strokeweight=".5pt" strokecolor="#000000">
            <v:stroke dashstyle="solid"/>
            <w10:wrap type="none"/>
          </v:line>
        </w:pict>
      </w:r>
      <w:r>
        <w:rPr>
          <w:sz w:val="12"/>
        </w:rPr>
        <w:t>10.0</w:t>
      </w:r>
    </w:p>
    <w:p>
      <w:pPr>
        <w:pStyle w:val="BodyText"/>
        <w:rPr>
          <w:sz w:val="12"/>
        </w:rPr>
      </w:pPr>
    </w:p>
    <w:p>
      <w:pPr>
        <w:pStyle w:val="BodyText"/>
        <w:spacing w:before="6"/>
        <w:rPr>
          <w:sz w:val="12"/>
        </w:rPr>
      </w:pPr>
    </w:p>
    <w:p>
      <w:pPr>
        <w:spacing w:before="0"/>
        <w:ind w:left="0" w:right="38" w:firstLine="0"/>
        <w:jc w:val="right"/>
        <w:rPr>
          <w:sz w:val="12"/>
        </w:rPr>
      </w:pPr>
      <w:r>
        <w:rPr/>
        <w:pict>
          <v:line style="position:absolute;mso-position-horizontal-relative:page;mso-position-vertical-relative:paragraph;z-index:15791104" from="51.779999pt,3.43457pt" to="46.779999pt,3.43457pt" stroked="true" strokeweight=".5pt" strokecolor="#000000">
            <v:stroke dashstyle="solid"/>
            <w10:wrap type="none"/>
          </v:line>
        </w:pict>
      </w:r>
      <w:r>
        <w:rPr>
          <w:sz w:val="12"/>
        </w:rPr>
        <w:t>7.5</w:t>
      </w:r>
    </w:p>
    <w:p>
      <w:pPr>
        <w:pStyle w:val="BodyText"/>
        <w:rPr>
          <w:sz w:val="12"/>
        </w:rPr>
      </w:pPr>
    </w:p>
    <w:p>
      <w:pPr>
        <w:pStyle w:val="BodyText"/>
        <w:spacing w:before="3"/>
        <w:rPr>
          <w:sz w:val="14"/>
        </w:rPr>
      </w:pPr>
    </w:p>
    <w:p>
      <w:pPr>
        <w:spacing w:before="0"/>
        <w:ind w:left="0" w:right="38" w:firstLine="0"/>
        <w:jc w:val="right"/>
        <w:rPr>
          <w:sz w:val="12"/>
        </w:rPr>
      </w:pPr>
      <w:r>
        <w:rPr/>
        <w:pict>
          <v:line style="position:absolute;mso-position-horizontal-relative:page;mso-position-vertical-relative:paragraph;z-index:15790592" from="51.779999pt,3.43457pt" to="46.779999pt,3.43457pt" stroked="true" strokeweight=".5pt" strokecolor="#000000">
            <v:stroke dashstyle="solid"/>
            <w10:wrap type="none"/>
          </v:line>
        </w:pict>
      </w:r>
      <w:r>
        <w:rPr>
          <w:sz w:val="12"/>
        </w:rPr>
        <w:t>5.0</w:t>
      </w:r>
    </w:p>
    <w:p>
      <w:pPr>
        <w:pStyle w:val="BodyText"/>
        <w:rPr>
          <w:sz w:val="12"/>
        </w:rPr>
      </w:pPr>
    </w:p>
    <w:p>
      <w:pPr>
        <w:pStyle w:val="BodyText"/>
        <w:spacing w:before="6"/>
        <w:rPr>
          <w:sz w:val="12"/>
        </w:rPr>
      </w:pPr>
    </w:p>
    <w:p>
      <w:pPr>
        <w:spacing w:before="1"/>
        <w:ind w:left="0" w:right="38" w:firstLine="0"/>
        <w:jc w:val="right"/>
        <w:rPr>
          <w:sz w:val="12"/>
        </w:rPr>
      </w:pPr>
      <w:r>
        <w:rPr/>
        <w:pict>
          <v:line style="position:absolute;mso-position-horizontal-relative:page;mso-position-vertical-relative:paragraph;z-index:15790080" from="51.779999pt,3.48457pt" to="46.779999pt,3.48457pt" stroked="true" strokeweight=".5pt" strokecolor="#000000">
            <v:stroke dashstyle="solid"/>
            <w10:wrap type="none"/>
          </v:line>
        </w:pict>
      </w:r>
      <w:r>
        <w:rPr>
          <w:sz w:val="12"/>
        </w:rPr>
        <w:t>2.5</w:t>
      </w:r>
    </w:p>
    <w:p>
      <w:pPr>
        <w:pStyle w:val="Heading4"/>
        <w:spacing w:line="242" w:lineRule="auto" w:before="207"/>
        <w:ind w:left="181" w:right="318"/>
      </w:pPr>
      <w:r>
        <w:rPr/>
        <w:br w:type="column"/>
      </w:r>
      <w:r>
        <w:rPr/>
        <w:t>in December for the first time since 1986, and the differential with German Bunds is at its lowest since 1983. Chart 1.13 shows a combined yield curve derived from German and French government bonds, which can be thought of as representing market interest rate expectations in the euro area. It shows that implied long-run forward interest rates for the United Kingdom are below those for the euro area and the United States. However, information derived from swaps data, which includes an implicit credit risk, suggests that sterling nominal forward interest rates are expected to converge with those in the euro area.</w:t>
      </w:r>
    </w:p>
    <w:p>
      <w:pPr>
        <w:pStyle w:val="BodyText"/>
        <w:spacing w:before="7"/>
        <w:rPr>
          <w:sz w:val="32"/>
        </w:rPr>
      </w:pPr>
    </w:p>
    <w:p>
      <w:pPr>
        <w:spacing w:before="0"/>
        <w:ind w:left="181" w:right="0" w:firstLine="0"/>
        <w:jc w:val="left"/>
        <w:rPr>
          <w:sz w:val="24"/>
        </w:rPr>
      </w:pPr>
      <w:r>
        <w:rPr>
          <w:sz w:val="24"/>
        </w:rPr>
        <w:t>Changes in nominal interest rate expectations reflect</w:t>
      </w:r>
    </w:p>
    <w:p>
      <w:pPr>
        <w:spacing w:after="0"/>
        <w:jc w:val="left"/>
        <w:rPr>
          <w:sz w:val="24"/>
        </w:rPr>
        <w:sectPr>
          <w:type w:val="continuous"/>
          <w:pgSz w:w="11900" w:h="16840"/>
          <w:pgMar w:top="1220" w:bottom="280" w:left="640" w:right="600"/>
          <w:cols w:num="2" w:equalWidth="0">
            <w:col w:w="3956" w:space="803"/>
            <w:col w:w="5901"/>
          </w:cols>
        </w:sectPr>
      </w:pPr>
    </w:p>
    <w:p>
      <w:pPr>
        <w:pStyle w:val="BodyText"/>
        <w:spacing w:before="2"/>
        <w:rPr>
          <w:sz w:val="9"/>
        </w:rPr>
      </w:pPr>
    </w:p>
    <w:p>
      <w:pPr>
        <w:pStyle w:val="BodyText"/>
        <w:spacing w:line="20" w:lineRule="exact"/>
        <w:ind w:left="290"/>
        <w:rPr>
          <w:sz w:val="2"/>
        </w:rPr>
      </w:pPr>
      <w:r>
        <w:rPr>
          <w:sz w:val="2"/>
        </w:rPr>
        <w:pict>
          <v:group style="width:5pt;height:.5pt;mso-position-horizontal-relative:char;mso-position-vertical-relative:line" coordorigin="0,0" coordsize="100,10">
            <v:line style="position:absolute" from="100,5" to="0,5" stroked="true" strokeweight=".5pt" strokecolor="#000000">
              <v:stroke dashstyle="solid"/>
            </v:line>
          </v:group>
        </w:pict>
      </w:r>
      <w:r>
        <w:rPr>
          <w:sz w:val="2"/>
        </w:rPr>
      </w:r>
    </w:p>
    <w:p>
      <w:pPr>
        <w:spacing w:before="3"/>
        <w:ind w:left="465" w:right="0" w:firstLine="0"/>
        <w:jc w:val="left"/>
        <w:rPr>
          <w:sz w:val="12"/>
        </w:rPr>
      </w:pPr>
      <w:r>
        <w:rPr/>
        <w:pict>
          <v:shape style="position:absolute;margin-left:56.779999pt;margin-top:-4.581438pt;width:159pt;height:3.85pt;mso-position-horizontal-relative:page;mso-position-vertical-relative:paragraph;z-index:15796224" coordorigin="1136,-92" coordsize="3180,77" path="m4316,-15l4216,-15m1136,-15l4156,-15m1276,-15l1276,-92m1456,-15l1456,-92m1636,-15l1636,-92m1816,-15l1816,-92m1996,-15l1996,-92m2176,-15l2176,-92m2356,-15l2356,-92m2536,-15l2536,-92m2716,-15l2716,-92m2896,-15l2896,-92m3056,-15l3056,-92m3236,-15l3236,-92m3416,-15l3416,-92m3596,-15l3596,-92m3776,-15l3776,-92m3956,-15l3956,-92m4136,-15l4136,-92e" filled="false" stroked="true" strokeweight=".5pt" strokecolor="#000000">
            <v:path arrowok="t"/>
            <v:stroke dashstyle="solid"/>
            <w10:wrap type="none"/>
          </v:shape>
        </w:pict>
      </w:r>
      <w:r>
        <w:rPr>
          <w:sz w:val="12"/>
        </w:rPr>
        <w:t>1982</w:t>
      </w:r>
    </w:p>
    <w:p>
      <w:pPr>
        <w:pStyle w:val="BodyText"/>
        <w:spacing w:before="2"/>
        <w:rPr>
          <w:sz w:val="11"/>
        </w:rPr>
      </w:pPr>
      <w:r>
        <w:rPr/>
        <w:br w:type="column"/>
      </w:r>
      <w:r>
        <w:rPr>
          <w:sz w:val="11"/>
        </w:rPr>
      </w:r>
    </w:p>
    <w:p>
      <w:pPr>
        <w:tabs>
          <w:tab w:pos="479" w:val="left" w:leader="none"/>
          <w:tab w:pos="819" w:val="left" w:leader="none"/>
          <w:tab w:pos="1159" w:val="left" w:leader="none"/>
          <w:tab w:pos="1539" w:val="left" w:leader="none"/>
        </w:tabs>
        <w:spacing w:before="0"/>
        <w:ind w:left="100" w:right="0" w:firstLine="0"/>
        <w:jc w:val="left"/>
        <w:rPr>
          <w:sz w:val="12"/>
        </w:rPr>
      </w:pPr>
      <w:r>
        <w:rPr>
          <w:sz w:val="12"/>
        </w:rPr>
        <w:t>84</w:t>
        <w:tab/>
        <w:t>86</w:t>
        <w:tab/>
        <w:t>88</w:t>
        <w:tab/>
        <w:t>90</w:t>
        <w:tab/>
      </w:r>
      <w:r>
        <w:rPr>
          <w:spacing w:val="-10"/>
          <w:sz w:val="12"/>
        </w:rPr>
        <w:t>92</w:t>
      </w:r>
    </w:p>
    <w:p>
      <w:pPr>
        <w:pStyle w:val="BodyText"/>
        <w:spacing w:before="2"/>
        <w:rPr>
          <w:sz w:val="11"/>
        </w:rPr>
      </w:pPr>
      <w:r>
        <w:rPr/>
        <w:br w:type="column"/>
      </w:r>
      <w:r>
        <w:rPr>
          <w:sz w:val="11"/>
        </w:rPr>
      </w:r>
    </w:p>
    <w:p>
      <w:pPr>
        <w:tabs>
          <w:tab w:pos="559" w:val="left" w:leader="none"/>
          <w:tab w:pos="919" w:val="left" w:leader="none"/>
        </w:tabs>
        <w:spacing w:before="0"/>
        <w:ind w:left="200" w:right="0" w:firstLine="0"/>
        <w:jc w:val="left"/>
        <w:rPr>
          <w:sz w:val="12"/>
        </w:rPr>
      </w:pPr>
      <w:r>
        <w:rPr>
          <w:sz w:val="12"/>
        </w:rPr>
        <w:t>94</w:t>
        <w:tab/>
        <w:t>96</w:t>
        <w:tab/>
      </w:r>
      <w:r>
        <w:rPr>
          <w:spacing w:val="-10"/>
          <w:sz w:val="12"/>
        </w:rPr>
        <w:t>98</w:t>
      </w:r>
    </w:p>
    <w:p>
      <w:pPr>
        <w:spacing w:before="42"/>
        <w:ind w:left="239" w:right="0" w:firstLine="0"/>
        <w:jc w:val="left"/>
        <w:rPr>
          <w:sz w:val="12"/>
        </w:rPr>
      </w:pPr>
      <w:r>
        <w:rPr/>
        <w:br w:type="column"/>
      </w:r>
      <w:r>
        <w:rPr>
          <w:sz w:val="12"/>
        </w:rPr>
        <w:t>0.0</w:t>
      </w:r>
    </w:p>
    <w:p>
      <w:pPr>
        <w:pStyle w:val="Heading4"/>
        <w:spacing w:before="4"/>
        <w:ind w:left="465"/>
      </w:pPr>
      <w:r>
        <w:rPr/>
        <w:br w:type="column"/>
      </w:r>
      <w:r>
        <w:rPr/>
        <w:t>revisions to expectations about inflation or real interest</w:t>
      </w:r>
    </w:p>
    <w:p>
      <w:pPr>
        <w:spacing w:after="0"/>
        <w:sectPr>
          <w:type w:val="continuous"/>
          <w:pgSz w:w="11900" w:h="16840"/>
          <w:pgMar w:top="1220" w:bottom="280" w:left="640" w:right="600"/>
          <w:cols w:num="5" w:equalWidth="0">
            <w:col w:w="706" w:space="40"/>
            <w:col w:w="1661" w:space="39"/>
            <w:col w:w="1041" w:space="39"/>
            <w:col w:w="430" w:space="518"/>
            <w:col w:w="6186"/>
          </w:cols>
        </w:sectPr>
      </w:pPr>
    </w:p>
    <w:p>
      <w:pPr>
        <w:spacing w:before="52"/>
        <w:ind w:left="159" w:right="0" w:firstLine="0"/>
        <w:jc w:val="left"/>
        <w:rPr>
          <w:sz w:val="12"/>
        </w:rPr>
      </w:pPr>
      <w:r>
        <w:rPr>
          <w:sz w:val="12"/>
        </w:rPr>
        <w:t>(a) Ten years.</w:t>
      </w: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2"/>
        <w:rPr>
          <w:sz w:val="13"/>
        </w:rPr>
      </w:pPr>
    </w:p>
    <w:p>
      <w:pPr>
        <w:pStyle w:val="Heading7"/>
        <w:spacing w:before="0"/>
      </w:pPr>
      <w:r>
        <w:rPr>
          <w:color w:val="0093C1"/>
        </w:rPr>
        <w:t>Chart 1.13</w:t>
      </w:r>
    </w:p>
    <w:p>
      <w:pPr>
        <w:spacing w:line="249" w:lineRule="auto" w:before="10"/>
        <w:ind w:left="180" w:right="20" w:firstLine="0"/>
        <w:jc w:val="left"/>
        <w:rPr>
          <w:b/>
          <w:sz w:val="20"/>
        </w:rPr>
      </w:pPr>
      <w:r>
        <w:rPr>
          <w:b/>
          <w:color w:val="0093C1"/>
          <w:sz w:val="20"/>
        </w:rPr>
        <w:t>Implied forward nominal interest rate as at 3 February 1999</w:t>
      </w:r>
    </w:p>
    <w:p>
      <w:pPr>
        <w:spacing w:before="117"/>
        <w:ind w:left="3220" w:right="0" w:firstLine="0"/>
        <w:jc w:val="left"/>
        <w:rPr>
          <w:sz w:val="12"/>
        </w:rPr>
      </w:pPr>
      <w:r>
        <w:rPr/>
        <w:pict>
          <v:line style="position:absolute;mso-position-horizontal-relative:page;mso-position-vertical-relative:paragraph;z-index:15800320" from="51.5pt,13.451563pt" to="46.5pt,13.451563pt" stroked="true" strokeweight=".5pt" strokecolor="#000000">
            <v:stroke dashstyle="solid"/>
            <w10:wrap type="none"/>
          </v:line>
        </w:pict>
      </w:r>
      <w:r>
        <w:rPr/>
        <w:pict>
          <v:line style="position:absolute;mso-position-horizontal-relative:page;mso-position-vertical-relative:paragraph;z-index:-21212672" from="212.5pt,13.451563pt" to="208.5pt,13.451563pt" stroked="true" strokeweight=".5pt" strokecolor="#000000">
            <v:stroke dashstyle="solid"/>
            <w10:wrap type="none"/>
          </v:line>
        </w:pict>
      </w:r>
      <w:r>
        <w:rPr>
          <w:sz w:val="12"/>
        </w:rPr>
        <w:t>Per cent </w:t>
      </w:r>
      <w:r>
        <w:rPr>
          <w:spacing w:val="26"/>
          <w:sz w:val="12"/>
        </w:rPr>
        <w:t> </w:t>
      </w:r>
      <w:r>
        <w:rPr>
          <w:position w:val="-6"/>
          <w:sz w:val="12"/>
        </w:rPr>
        <w:t>6.0</w:t>
      </w:r>
    </w:p>
    <w:p>
      <w:pPr>
        <w:pStyle w:val="BodyText"/>
        <w:spacing w:before="6"/>
        <w:rPr>
          <w:sz w:val="24"/>
        </w:rPr>
      </w:pPr>
    </w:p>
    <w:p>
      <w:pPr>
        <w:spacing w:before="0"/>
        <w:ind w:left="0" w:right="70" w:firstLine="0"/>
        <w:jc w:val="right"/>
        <w:rPr>
          <w:sz w:val="12"/>
        </w:rPr>
      </w:pPr>
      <w:r>
        <w:rPr/>
        <w:pict>
          <v:line style="position:absolute;mso-position-horizontal-relative:page;mso-position-vertical-relative:paragraph;z-index:15799808" from="51.5pt,5.101776pt" to="46.5pt,5.101776pt" stroked="true" strokeweight=".5pt" strokecolor="#000000">
            <v:stroke dashstyle="solid"/>
            <w10:wrap type="none"/>
          </v:line>
        </w:pict>
      </w:r>
      <w:r>
        <w:rPr/>
        <w:pict>
          <v:group style="position:absolute;margin-left:85pt;margin-top:4.601776pt;width:128.5pt;height:108pt;mso-position-horizontal-relative:page;mso-position-vertical-relative:paragraph;z-index:15804928" coordorigin="1700,92" coordsize="2570,2160">
            <v:line style="position:absolute" from="4270,102" to="4170,102" stroked="true" strokeweight=".5pt" strokecolor="#000000">
              <v:stroke dashstyle="solid"/>
            </v:line>
            <v:shape style="position:absolute;left:1710;top:102;width:2400;height:660" coordorigin="1710,102" coordsize="2400,660" path="m1710,762l1850,742m1850,742l2010,722m2010,722l2150,682m2150,682l2310,662m2310,662l2450,622m2450,622l2770,542m2770,542l2910,482m2910,482l3070,442m3070,442l3210,402m3210,402l3370,342m3370,342l3510,302m3510,302l3670,242m3670,242l3810,202m3810,202l3970,142m3970,142l4110,102e" filled="false" stroked="true" strokeweight="1pt" strokecolor="#0066a5">
              <v:path arrowok="t"/>
              <v:stroke dashstyle="solid"/>
            </v:shape>
            <v:shape style="position:absolute;left:3810;top:682;width:300;height:120" coordorigin="3810,682" coordsize="300,120" path="m3810,802l3970,742m3970,742l4110,682e" filled="false" stroked="true" strokeweight="1pt" strokecolor="#df6f1d">
              <v:path arrowok="t"/>
              <v:stroke dashstyle="solid"/>
            </v:shape>
            <v:shape style="position:absolute;left:1710;top:1122;width:2400;height:260" coordorigin="1710,1122" coordsize="2400,260" path="m1710,1122l1850,1242m1850,1242l2010,1322m2010,1322l2150,1362m2150,1362l2310,1382m2310,1382l2610,1382m2610,1382l2770,1362m2770,1362l2910,1342m2910,1342l3070,1322m3070,1322l3210,1302m3210,1302l3370,1282m3370,1282l3510,1242m3510,1242l3670,1222m3670,1222l3810,1202m3810,1202l3970,1182m3970,1182l4110,1162e" filled="false" stroked="true" strokeweight="1pt" strokecolor="#008256">
              <v:path arrowok="t"/>
              <v:stroke dashstyle="solid"/>
            </v:shape>
            <v:shape style="position:absolute;left:1710;top:802;width:2100;height:1440" coordorigin="1710,802" coordsize="2100,1440" path="m1710,2242l1850,2102m1850,2102l2010,1962m2010,1962l2150,1822m2150,1822l2310,1702m2310,1702l2450,1582m2450,1582l2610,1462m2610,1462l2770,1362m2770,1362l2910,1262m2910,1262l3070,1182m3070,1182l3210,1102m3210,1102l3370,1022m3370,1022l3510,942m3510,942l3670,862m3670,862l3810,802e" filled="false" stroked="true" strokeweight="1pt" strokecolor="#df6f1d">
              <v:path arrowok="t"/>
              <v:stroke dashstyle="solid"/>
            </v:shape>
            <v:shape style="position:absolute;left:2420;top:310;width:664;height:133" type="#_x0000_t202" filled="false" stroked="false">
              <v:textbox inset="0,0,0,0">
                <w:txbxContent>
                  <w:p>
                    <w:pPr>
                      <w:spacing w:line="133" w:lineRule="exact" w:before="0"/>
                      <w:ind w:left="0" w:right="0" w:firstLine="0"/>
                      <w:jc w:val="left"/>
                      <w:rPr>
                        <w:sz w:val="12"/>
                      </w:rPr>
                    </w:pPr>
                    <w:r>
                      <w:rPr>
                        <w:sz w:val="12"/>
                      </w:rPr>
                      <w:t>United States</w:t>
                    </w:r>
                  </w:p>
                </w:txbxContent>
              </v:textbox>
              <w10:wrap type="none"/>
            </v:shape>
            <v:shape style="position:absolute;left:1820;top:1110;width:830;height:133" type="#_x0000_t202" filled="false" stroked="false">
              <v:textbox inset="0,0,0,0">
                <w:txbxContent>
                  <w:p>
                    <w:pPr>
                      <w:spacing w:line="133" w:lineRule="exact" w:before="0"/>
                      <w:ind w:left="0" w:right="0" w:firstLine="0"/>
                      <w:jc w:val="left"/>
                      <w:rPr>
                        <w:sz w:val="12"/>
                      </w:rPr>
                    </w:pPr>
                    <w:r>
                      <w:rPr>
                        <w:sz w:val="12"/>
                      </w:rPr>
                      <w:t>United Kingdom</w:t>
                    </w:r>
                  </w:p>
                </w:txbxContent>
              </v:textbox>
              <w10:wrap type="none"/>
            </v:shape>
            <v:shape style="position:absolute;left:2120;top:1865;width:647;height:133" type="#_x0000_t202" filled="false" stroked="false">
              <v:textbox inset="0,0,0,0">
                <w:txbxContent>
                  <w:p>
                    <w:pPr>
                      <w:spacing w:line="133" w:lineRule="exact" w:before="0"/>
                      <w:ind w:left="0" w:right="0" w:firstLine="0"/>
                      <w:jc w:val="left"/>
                      <w:rPr>
                        <w:sz w:val="12"/>
                      </w:rPr>
                    </w:pPr>
                    <w:r>
                      <w:rPr>
                        <w:sz w:val="12"/>
                      </w:rPr>
                      <w:t>Euro area (a)</w:t>
                    </w:r>
                  </w:p>
                </w:txbxContent>
              </v:textbox>
              <w10:wrap type="none"/>
            </v:shape>
            <w10:wrap type="none"/>
          </v:group>
        </w:pict>
      </w:r>
      <w:r>
        <w:rPr>
          <w:sz w:val="12"/>
        </w:rPr>
        <w:t>5.5</w:t>
      </w:r>
    </w:p>
    <w:p>
      <w:pPr>
        <w:pStyle w:val="BodyText"/>
        <w:rPr>
          <w:sz w:val="12"/>
        </w:rPr>
      </w:pPr>
    </w:p>
    <w:p>
      <w:pPr>
        <w:pStyle w:val="BodyText"/>
        <w:spacing w:before="3"/>
        <w:rPr>
          <w:sz w:val="14"/>
        </w:rPr>
      </w:pPr>
    </w:p>
    <w:p>
      <w:pPr>
        <w:spacing w:before="0"/>
        <w:ind w:left="0" w:right="70" w:firstLine="0"/>
        <w:jc w:val="right"/>
        <w:rPr>
          <w:sz w:val="12"/>
        </w:rPr>
      </w:pPr>
      <w:r>
        <w:rPr/>
        <w:pict>
          <v:line style="position:absolute;mso-position-horizontal-relative:page;mso-position-vertical-relative:paragraph;z-index:15799296" from="51.5pt,4.101563pt" to="46.5pt,4.101563pt" stroked="true" strokeweight=".5pt" strokecolor="#000000">
            <v:stroke dashstyle="solid"/>
            <w10:wrap type="none"/>
          </v:line>
        </w:pict>
      </w:r>
      <w:r>
        <w:rPr/>
        <w:pict>
          <v:line style="position:absolute;mso-position-horizontal-relative:page;mso-position-vertical-relative:paragraph;z-index:15802880" from="213.5pt,4.101563pt" to="208.5pt,4.101563pt" stroked="true" strokeweight=".5pt" strokecolor="#000000">
            <v:stroke dashstyle="solid"/>
            <w10:wrap type="none"/>
          </v:line>
        </w:pict>
      </w:r>
      <w:r>
        <w:rPr>
          <w:sz w:val="12"/>
        </w:rPr>
        <w:t>5.0</w:t>
      </w:r>
    </w:p>
    <w:p>
      <w:pPr>
        <w:pStyle w:val="BodyText"/>
        <w:rPr>
          <w:sz w:val="12"/>
        </w:rPr>
      </w:pPr>
    </w:p>
    <w:p>
      <w:pPr>
        <w:pStyle w:val="BodyText"/>
        <w:spacing w:before="6"/>
        <w:rPr>
          <w:sz w:val="12"/>
        </w:rPr>
      </w:pPr>
    </w:p>
    <w:p>
      <w:pPr>
        <w:spacing w:before="0"/>
        <w:ind w:left="0" w:right="70" w:firstLine="0"/>
        <w:jc w:val="right"/>
        <w:rPr>
          <w:sz w:val="12"/>
        </w:rPr>
      </w:pPr>
      <w:r>
        <w:rPr/>
        <w:pict>
          <v:line style="position:absolute;mso-position-horizontal-relative:page;mso-position-vertical-relative:paragraph;z-index:15798784" from="51.5pt,5.101563pt" to="46.5pt,5.101563pt" stroked="true" strokeweight=".5pt" strokecolor="#000000">
            <v:stroke dashstyle="solid"/>
            <w10:wrap type="none"/>
          </v:line>
        </w:pict>
      </w:r>
      <w:r>
        <w:rPr/>
        <w:pict>
          <v:line style="position:absolute;mso-position-horizontal-relative:page;mso-position-vertical-relative:paragraph;z-index:15802368" from="213.5pt,5.101563pt" to="208.5pt,5.101563pt" stroked="true" strokeweight=".5pt" strokecolor="#000000">
            <v:stroke dashstyle="solid"/>
            <w10:wrap type="none"/>
          </v:line>
        </w:pict>
      </w:r>
      <w:r>
        <w:rPr>
          <w:sz w:val="12"/>
        </w:rPr>
        <w:t>4.5</w:t>
      </w:r>
    </w:p>
    <w:p>
      <w:pPr>
        <w:pStyle w:val="BodyText"/>
        <w:rPr>
          <w:sz w:val="12"/>
        </w:rPr>
      </w:pPr>
    </w:p>
    <w:p>
      <w:pPr>
        <w:pStyle w:val="BodyText"/>
        <w:spacing w:before="3"/>
        <w:rPr>
          <w:sz w:val="14"/>
        </w:rPr>
      </w:pPr>
    </w:p>
    <w:p>
      <w:pPr>
        <w:spacing w:before="0"/>
        <w:ind w:left="0" w:right="70" w:firstLine="0"/>
        <w:jc w:val="right"/>
        <w:rPr>
          <w:sz w:val="12"/>
        </w:rPr>
      </w:pPr>
      <w:r>
        <w:rPr/>
        <w:pict>
          <v:line style="position:absolute;mso-position-horizontal-relative:page;mso-position-vertical-relative:paragraph;z-index:15798272" from="51.5pt,4.101349pt" to="46.5pt,4.101349pt" stroked="true" strokeweight=".5pt" strokecolor="#000000">
            <v:stroke dashstyle="solid"/>
            <w10:wrap type="none"/>
          </v:line>
        </w:pict>
      </w:r>
      <w:r>
        <w:rPr/>
        <w:pict>
          <v:line style="position:absolute;mso-position-horizontal-relative:page;mso-position-vertical-relative:paragraph;z-index:15801856" from="213.5pt,4.101349pt" to="208.5pt,4.101349pt" stroked="true" strokeweight=".5pt" strokecolor="#000000">
            <v:stroke dashstyle="solid"/>
            <w10:wrap type="none"/>
          </v:line>
        </w:pict>
      </w:r>
      <w:r>
        <w:rPr>
          <w:sz w:val="12"/>
        </w:rPr>
        <w:t>4.0</w:t>
      </w:r>
    </w:p>
    <w:p>
      <w:pPr>
        <w:pStyle w:val="BodyText"/>
        <w:rPr>
          <w:sz w:val="12"/>
        </w:rPr>
      </w:pPr>
    </w:p>
    <w:p>
      <w:pPr>
        <w:pStyle w:val="BodyText"/>
        <w:spacing w:before="6"/>
        <w:rPr>
          <w:sz w:val="12"/>
        </w:rPr>
      </w:pPr>
    </w:p>
    <w:p>
      <w:pPr>
        <w:spacing w:before="0"/>
        <w:ind w:left="0" w:right="70" w:firstLine="0"/>
        <w:jc w:val="right"/>
        <w:rPr>
          <w:sz w:val="12"/>
        </w:rPr>
      </w:pPr>
      <w:r>
        <w:rPr/>
        <w:pict>
          <v:line style="position:absolute;mso-position-horizontal-relative:page;mso-position-vertical-relative:paragraph;z-index:15797760" from="51.5pt,5.101349pt" to="46.5pt,5.101349pt" stroked="true" strokeweight=".5pt" strokecolor="#000000">
            <v:stroke dashstyle="solid"/>
            <w10:wrap type="none"/>
          </v:line>
        </w:pict>
      </w:r>
      <w:r>
        <w:rPr/>
        <w:pict>
          <v:line style="position:absolute;mso-position-horizontal-relative:page;mso-position-vertical-relative:paragraph;z-index:15801344" from="213.5pt,5.101349pt" to="208.5pt,5.101349pt" stroked="true" strokeweight=".5pt" strokecolor="#000000">
            <v:stroke dashstyle="solid"/>
            <w10:wrap type="none"/>
          </v:line>
        </w:pict>
      </w:r>
      <w:r>
        <w:rPr>
          <w:sz w:val="12"/>
        </w:rPr>
        <w:t>3.5</w:t>
      </w:r>
    </w:p>
    <w:p>
      <w:pPr>
        <w:pStyle w:val="BodyText"/>
        <w:rPr>
          <w:sz w:val="12"/>
        </w:rPr>
      </w:pPr>
    </w:p>
    <w:p>
      <w:pPr>
        <w:pStyle w:val="BodyText"/>
        <w:spacing w:before="3"/>
        <w:rPr>
          <w:sz w:val="14"/>
        </w:rPr>
      </w:pPr>
    </w:p>
    <w:p>
      <w:pPr>
        <w:spacing w:before="0"/>
        <w:ind w:left="0" w:right="70" w:firstLine="0"/>
        <w:jc w:val="right"/>
        <w:rPr>
          <w:sz w:val="12"/>
        </w:rPr>
      </w:pPr>
      <w:r>
        <w:rPr/>
        <w:pict>
          <v:line style="position:absolute;mso-position-horizontal-relative:page;mso-position-vertical-relative:paragraph;z-index:15797248" from="51.5pt,4.101166pt" to="46.5pt,4.101166pt" stroked="true" strokeweight=".5pt" strokecolor="#000000">
            <v:stroke dashstyle="solid"/>
            <w10:wrap type="none"/>
          </v:line>
        </w:pict>
      </w:r>
      <w:r>
        <w:rPr/>
        <w:pict>
          <v:line style="position:absolute;mso-position-horizontal-relative:page;mso-position-vertical-relative:paragraph;z-index:15800832" from="213.5pt,4.101166pt" to="208.5pt,4.101166pt" stroked="true" strokeweight=".5pt" strokecolor="#000000">
            <v:stroke dashstyle="solid"/>
            <w10:wrap type="none"/>
          </v:line>
        </w:pict>
      </w:r>
      <w:r>
        <w:rPr>
          <w:sz w:val="12"/>
        </w:rPr>
        <w:t>3.0</w:t>
      </w:r>
    </w:p>
    <w:p>
      <w:pPr>
        <w:pStyle w:val="BodyText"/>
        <w:rPr>
          <w:sz w:val="12"/>
        </w:rPr>
      </w:pPr>
    </w:p>
    <w:p>
      <w:pPr>
        <w:pStyle w:val="BodyText"/>
        <w:spacing w:before="6"/>
        <w:rPr>
          <w:sz w:val="12"/>
        </w:rPr>
      </w:pPr>
    </w:p>
    <w:p>
      <w:pPr>
        <w:spacing w:line="136" w:lineRule="exact" w:before="0"/>
        <w:ind w:left="0" w:right="70" w:firstLine="0"/>
        <w:jc w:val="right"/>
        <w:rPr>
          <w:sz w:val="12"/>
        </w:rPr>
      </w:pPr>
      <w:r>
        <w:rPr/>
        <w:pict>
          <v:group style="position:absolute;margin-left:46.5pt;margin-top:4.768166pt;width:168.5pt;height:7.6pt;mso-position-horizontal-relative:page;mso-position-vertical-relative:paragraph;z-index:15796736" coordorigin="930,95" coordsize="3370,152">
            <v:shape style="position:absolute;left:930;top:102;width:3344;height:140" coordorigin="930,102" coordsize="3344,140" path="m1110,242l1110,202m1250,242l1250,202m1410,242l1410,202m1550,242l1550,202m1710,242l1710,202m1850,242l1850,202m2010,242l2010,202m2150,242l2150,202m2310,242l2310,202m2450,242l2450,202m2610,242l2610,202m2750,242l2750,202m2910,242l2910,202m3070,242l3070,202m3210,242l3210,202m3370,242l3370,202m3510,242l3510,202m3670,242l3670,202m3810,242l3810,202m3970,242l3970,202m4110,242l4110,202m930,242l4273,242m4270,102l4170,102e" filled="false" stroked="true" strokeweight=".5pt" strokecolor="#000000">
              <v:path arrowok="t"/>
              <v:stroke dashstyle="solid"/>
            </v:shape>
            <v:shape style="position:absolute;left:4255;top:110;width:40;height:127" coordorigin="4255,110" coordsize="40,127" path="m4275,110l4275,137,4255,153,4295,167,4255,187,4295,204,4272,214,4271,237e" filled="false" stroked="true" strokeweight=".5pt" strokecolor="#000000">
              <v:path arrowok="t"/>
              <v:stroke dashstyle="solid"/>
            </v:shape>
            <v:line style="position:absolute" from="1030,102" to="930,102" stroked="true" strokeweight=".5pt" strokecolor="#000000">
              <v:stroke dashstyle="solid"/>
            </v:line>
            <v:shape style="position:absolute;left:1010;top:100;width:40;height:142" coordorigin="1010,100" coordsize="40,142" path="m1030,100l1030,127,1010,143,1050,157,1010,177,1050,194,1027,204,1026,242e" filled="false" stroked="true" strokeweight=".5pt" strokecolor="#000000">
              <v:path arrowok="t"/>
              <v:stroke dashstyle="solid"/>
            </v:shape>
            <w10:wrap type="none"/>
          </v:group>
        </w:pict>
      </w:r>
      <w:r>
        <w:rPr>
          <w:sz w:val="12"/>
        </w:rPr>
        <w:t>2.5</w:t>
      </w:r>
    </w:p>
    <w:p>
      <w:pPr>
        <w:pStyle w:val="Heading4"/>
        <w:spacing w:line="242" w:lineRule="auto" w:before="4"/>
        <w:ind w:left="160" w:right="353"/>
      </w:pPr>
      <w:r>
        <w:rPr/>
        <w:br w:type="column"/>
      </w:r>
      <w:r>
        <w:rPr/>
        <w:t>rates, or both. A risk premium may also be priced into the nominal yield curves of some countries, reflecting past inflation surprises. Chart 1.12 shows ten-year forward nominal interest rates since 1982.</w:t>
      </w:r>
    </w:p>
    <w:p>
      <w:pPr>
        <w:pStyle w:val="BodyText"/>
        <w:spacing w:before="9"/>
        <w:rPr>
          <w:sz w:val="31"/>
        </w:rPr>
      </w:pPr>
    </w:p>
    <w:p>
      <w:pPr>
        <w:spacing w:line="242" w:lineRule="auto" w:before="0"/>
        <w:ind w:left="159" w:right="244" w:firstLine="0"/>
        <w:jc w:val="left"/>
        <w:rPr>
          <w:sz w:val="24"/>
        </w:rPr>
      </w:pPr>
      <w:r>
        <w:rPr>
          <w:sz w:val="24"/>
        </w:rPr>
        <w:t>The expected rate of inflation in the United Kingdom over the next ten years, inferred from conventional and index-linked gilt prices, has fallen sharply since 1997. But it has been little changed since November, at slightly above the inflation target of 2</w:t>
      </w:r>
      <w:r>
        <w:rPr>
          <w:position w:val="8"/>
          <w:sz w:val="12"/>
        </w:rPr>
        <w:t>1</w:t>
      </w:r>
      <w:r>
        <w:rPr>
          <w:sz w:val="24"/>
        </w:rPr>
        <w:t>/</w:t>
      </w:r>
      <w:r>
        <w:rPr>
          <w:sz w:val="12"/>
        </w:rPr>
        <w:t>2</w:t>
      </w:r>
      <w:r>
        <w:rPr>
          <w:sz w:val="24"/>
        </w:rPr>
        <w:t>. The fall in nominal yields since November largely reflects a fall in the real UK yield. The real yield on index-linked UK government bonds has been falling since 1996, and particularly since October, to below 2%—its lowest</w:t>
      </w:r>
      <w:r>
        <w:rPr>
          <w:spacing w:val="-18"/>
          <w:sz w:val="24"/>
        </w:rPr>
        <w:t> </w:t>
      </w:r>
      <w:r>
        <w:rPr>
          <w:spacing w:val="-6"/>
          <w:sz w:val="24"/>
        </w:rPr>
        <w:t>level </w:t>
      </w:r>
      <w:r>
        <w:rPr>
          <w:sz w:val="24"/>
        </w:rPr>
        <w:t>since index-linked bonds were first issued in</w:t>
      </w:r>
      <w:r>
        <w:rPr>
          <w:spacing w:val="-5"/>
          <w:sz w:val="24"/>
        </w:rPr>
        <w:t> </w:t>
      </w:r>
      <w:r>
        <w:rPr>
          <w:sz w:val="24"/>
        </w:rPr>
        <w:t>1981.</w:t>
      </w:r>
    </w:p>
    <w:p>
      <w:pPr>
        <w:pStyle w:val="BodyText"/>
        <w:spacing w:before="4"/>
        <w:rPr>
          <w:sz w:val="32"/>
        </w:rPr>
      </w:pPr>
    </w:p>
    <w:p>
      <w:pPr>
        <w:spacing w:before="1"/>
        <w:ind w:left="159" w:right="0" w:firstLine="0"/>
        <w:jc w:val="left"/>
        <w:rPr>
          <w:sz w:val="24"/>
        </w:rPr>
      </w:pPr>
      <w:r>
        <w:rPr>
          <w:sz w:val="24"/>
        </w:rPr>
        <w:t>International comparisons of real long-term yields are</w:t>
      </w:r>
    </w:p>
    <w:p>
      <w:pPr>
        <w:spacing w:after="0"/>
        <w:jc w:val="left"/>
        <w:rPr>
          <w:sz w:val="24"/>
        </w:rPr>
        <w:sectPr>
          <w:type w:val="continuous"/>
          <w:pgSz w:w="11900" w:h="16840"/>
          <w:pgMar w:top="1220" w:bottom="280" w:left="640" w:right="600"/>
          <w:cols w:num="2" w:equalWidth="0">
            <w:col w:w="3920" w:space="860"/>
            <w:col w:w="5880"/>
          </w:cols>
        </w:sectPr>
      </w:pPr>
    </w:p>
    <w:p>
      <w:pPr>
        <w:pStyle w:val="BodyText"/>
        <w:spacing w:before="9"/>
        <w:rPr>
          <w:sz w:val="10"/>
        </w:rPr>
      </w:pPr>
    </w:p>
    <w:p>
      <w:pPr>
        <w:tabs>
          <w:tab w:pos="739" w:val="left" w:leader="none"/>
          <w:tab w:pos="1039" w:val="left" w:leader="none"/>
          <w:tab w:pos="1339" w:val="left" w:leader="none"/>
          <w:tab w:pos="1639" w:val="left" w:leader="none"/>
          <w:tab w:pos="1939" w:val="left" w:leader="none"/>
          <w:tab w:pos="2239" w:val="left" w:leader="none"/>
          <w:tab w:pos="2539" w:val="left" w:leader="none"/>
          <w:tab w:pos="2839" w:val="left" w:leader="none"/>
          <w:tab w:pos="3139" w:val="left" w:leader="none"/>
          <w:tab w:pos="3419" w:val="left" w:leader="none"/>
        </w:tabs>
        <w:spacing w:line="132" w:lineRule="exact" w:before="0"/>
        <w:ind w:left="440" w:right="0" w:firstLine="0"/>
        <w:jc w:val="center"/>
        <w:rPr>
          <w:sz w:val="12"/>
        </w:rPr>
      </w:pPr>
      <w:r>
        <w:rPr>
          <w:sz w:val="12"/>
        </w:rPr>
        <w:t>0</w:t>
        <w:tab/>
        <w:t>1</w:t>
        <w:tab/>
        <w:t>2</w:t>
        <w:tab/>
        <w:t>3</w:t>
        <w:tab/>
        <w:t>4</w:t>
        <w:tab/>
        <w:t>5</w:t>
        <w:tab/>
        <w:t>6</w:t>
        <w:tab/>
        <w:t>7</w:t>
        <w:tab/>
        <w:t>8</w:t>
        <w:tab/>
        <w:t>9</w:t>
        <w:tab/>
      </w:r>
      <w:r>
        <w:rPr>
          <w:spacing w:val="-10"/>
          <w:sz w:val="12"/>
        </w:rPr>
        <w:t>10</w:t>
      </w:r>
    </w:p>
    <w:p>
      <w:pPr>
        <w:spacing w:line="132" w:lineRule="exact" w:before="0"/>
        <w:ind w:left="406" w:right="0" w:firstLine="0"/>
        <w:jc w:val="center"/>
        <w:rPr>
          <w:sz w:val="12"/>
        </w:rPr>
      </w:pPr>
      <w:r>
        <w:rPr>
          <w:sz w:val="12"/>
        </w:rPr>
        <w:t>Years</w:t>
      </w:r>
    </w:p>
    <w:p>
      <w:pPr>
        <w:spacing w:before="24"/>
        <w:ind w:left="113" w:right="0" w:firstLine="0"/>
        <w:jc w:val="left"/>
        <w:rPr>
          <w:sz w:val="12"/>
        </w:rPr>
      </w:pPr>
      <w:r>
        <w:rPr/>
        <w:br w:type="column"/>
      </w:r>
      <w:r>
        <w:rPr>
          <w:sz w:val="12"/>
        </w:rPr>
        <w:t>0.0</w:t>
      </w:r>
    </w:p>
    <w:p>
      <w:pPr>
        <w:pStyle w:val="Heading4"/>
        <w:spacing w:line="266" w:lineRule="exact"/>
        <w:ind w:left="440"/>
      </w:pPr>
      <w:r>
        <w:rPr/>
        <w:br w:type="column"/>
      </w:r>
      <w:r>
        <w:rPr/>
        <w:t>difficult to make, because of the scarcity of</w:t>
      </w:r>
      <w:r>
        <w:rPr>
          <w:spacing w:val="-22"/>
        </w:rPr>
        <w:t> </w:t>
      </w:r>
      <w:r>
        <w:rPr/>
        <w:t>index-linked</w:t>
      </w:r>
    </w:p>
    <w:p>
      <w:pPr>
        <w:spacing w:line="193" w:lineRule="exact" w:before="4"/>
        <w:ind w:left="440" w:right="0" w:firstLine="0"/>
        <w:jc w:val="left"/>
        <w:rPr>
          <w:sz w:val="24"/>
        </w:rPr>
      </w:pPr>
      <w:r>
        <w:rPr>
          <w:sz w:val="24"/>
        </w:rPr>
        <w:t>bond issues.  But there has not been a corresponding</w:t>
      </w:r>
      <w:r>
        <w:rPr>
          <w:spacing w:val="-3"/>
          <w:sz w:val="24"/>
        </w:rPr>
        <w:t> </w:t>
      </w:r>
      <w:r>
        <w:rPr>
          <w:sz w:val="24"/>
        </w:rPr>
        <w:t>fall</w:t>
      </w:r>
    </w:p>
    <w:p>
      <w:pPr>
        <w:spacing w:after="0" w:line="193" w:lineRule="exact"/>
        <w:jc w:val="left"/>
        <w:rPr>
          <w:sz w:val="24"/>
        </w:rPr>
        <w:sectPr>
          <w:type w:val="continuous"/>
          <w:pgSz w:w="11900" w:h="16840"/>
          <w:pgMar w:top="1220" w:bottom="280" w:left="640" w:right="600"/>
          <w:cols w:num="3" w:equalWidth="0">
            <w:col w:w="3540" w:space="40"/>
            <w:col w:w="304" w:space="616"/>
            <w:col w:w="6160"/>
          </w:cols>
        </w:sectPr>
      </w:pPr>
    </w:p>
    <w:p>
      <w:pPr>
        <w:spacing w:line="133" w:lineRule="exact" w:before="0"/>
        <w:ind w:left="180" w:right="0" w:firstLine="0"/>
        <w:jc w:val="left"/>
        <w:rPr>
          <w:sz w:val="12"/>
        </w:rPr>
      </w:pPr>
      <w:r>
        <w:rPr>
          <w:sz w:val="12"/>
        </w:rPr>
        <w:t>Source: Bank of England.</w:t>
      </w:r>
    </w:p>
    <w:p>
      <w:pPr>
        <w:spacing w:before="102"/>
        <w:ind w:left="180" w:right="0" w:firstLine="0"/>
        <w:jc w:val="left"/>
        <w:rPr>
          <w:sz w:val="12"/>
        </w:rPr>
      </w:pPr>
      <w:r>
        <w:rPr>
          <w:sz w:val="12"/>
        </w:rPr>
        <w:t>(a) Derived from combined French and German government bonds.</w:t>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10"/>
        <w:rPr>
          <w:sz w:val="14"/>
        </w:rPr>
      </w:pPr>
    </w:p>
    <w:p>
      <w:pPr>
        <w:pStyle w:val="Heading7"/>
        <w:spacing w:before="0"/>
        <w:ind w:left="165"/>
      </w:pPr>
      <w:r>
        <w:rPr>
          <w:color w:val="0093C1"/>
        </w:rPr>
        <w:t>Table 1.C</w:t>
      </w:r>
    </w:p>
    <w:p>
      <w:pPr>
        <w:spacing w:before="10"/>
        <w:ind w:left="165" w:right="0" w:firstLine="0"/>
        <w:jc w:val="left"/>
        <w:rPr>
          <w:b/>
          <w:sz w:val="20"/>
        </w:rPr>
      </w:pPr>
      <w:r>
        <w:rPr>
          <w:b/>
          <w:color w:val="0093C1"/>
          <w:sz w:val="20"/>
        </w:rPr>
        <w:t>General government gross financial liabilities</w:t>
      </w:r>
    </w:p>
    <w:p>
      <w:pPr>
        <w:spacing w:before="106"/>
        <w:ind w:left="165" w:right="0" w:firstLine="0"/>
        <w:jc w:val="left"/>
        <w:rPr>
          <w:sz w:val="14"/>
        </w:rPr>
      </w:pPr>
      <w:r>
        <w:rPr>
          <w:sz w:val="14"/>
        </w:rPr>
        <w:t>Percentage of nominal GDP</w:t>
      </w:r>
    </w:p>
    <w:p>
      <w:pPr>
        <w:tabs>
          <w:tab w:pos="2424" w:val="left" w:leader="none"/>
          <w:tab w:pos="2884" w:val="left" w:leader="none"/>
          <w:tab w:pos="3424" w:val="left" w:leader="none"/>
        </w:tabs>
        <w:spacing w:before="119"/>
        <w:ind w:left="1224" w:right="38" w:firstLine="0"/>
        <w:jc w:val="left"/>
        <w:rPr>
          <w:sz w:val="14"/>
        </w:rPr>
      </w:pPr>
      <w:r>
        <w:rPr>
          <w:sz w:val="14"/>
          <w:u w:val="single"/>
        </w:rPr>
        <w:t>Average of</w:t>
      </w:r>
      <w:r>
        <w:rPr>
          <w:sz w:val="14"/>
        </w:rPr>
        <w:t>:</w:t>
        <w:tab/>
        <w:tab/>
      </w:r>
      <w:r>
        <w:rPr>
          <w:sz w:val="14"/>
          <w:u w:val="single"/>
        </w:rPr>
        <w:t>Estimates and </w:t>
      </w:r>
      <w:r>
        <w:rPr>
          <w:spacing w:val="-2"/>
          <w:sz w:val="14"/>
          <w:u w:val="single"/>
        </w:rPr>
        <w:t>projections</w:t>
      </w:r>
      <w:r>
        <w:rPr>
          <w:spacing w:val="-2"/>
          <w:sz w:val="14"/>
        </w:rPr>
        <w:t>: </w:t>
      </w:r>
      <w:r>
        <w:rPr>
          <w:sz w:val="14"/>
          <w:u w:val="single"/>
        </w:rPr>
        <w:t>1990–95    </w:t>
      </w:r>
      <w:r>
        <w:rPr>
          <w:spacing w:val="14"/>
          <w:sz w:val="14"/>
          <w:u w:val="single"/>
        </w:rPr>
        <w:t> </w:t>
      </w:r>
      <w:r>
        <w:rPr>
          <w:sz w:val="14"/>
          <w:u w:val="single"/>
        </w:rPr>
        <w:t>1996</w:t>
      </w:r>
      <w:r>
        <w:rPr>
          <w:sz w:val="14"/>
        </w:rPr>
        <w:tab/>
      </w:r>
      <w:r>
        <w:rPr>
          <w:sz w:val="14"/>
          <w:u w:val="single"/>
        </w:rPr>
        <w:t>1997</w:t>
      </w:r>
      <w:r>
        <w:rPr>
          <w:sz w:val="14"/>
        </w:rPr>
        <w:t>    </w:t>
      </w:r>
      <w:r>
        <w:rPr>
          <w:spacing w:val="5"/>
          <w:sz w:val="14"/>
        </w:rPr>
        <w:t> </w:t>
      </w:r>
      <w:r>
        <w:rPr>
          <w:sz w:val="14"/>
          <w:u w:val="single"/>
        </w:rPr>
        <w:t>1998</w:t>
      </w:r>
      <w:r>
        <w:rPr>
          <w:sz w:val="14"/>
        </w:rPr>
        <w:tab/>
      </w:r>
      <w:r>
        <w:rPr>
          <w:sz w:val="14"/>
          <w:u w:val="single"/>
        </w:rPr>
        <w:t>1999</w:t>
      </w:r>
      <w:r>
        <w:rPr>
          <w:spacing w:val="25"/>
          <w:sz w:val="14"/>
        </w:rPr>
        <w:t> </w:t>
      </w:r>
      <w:r>
        <w:rPr>
          <w:sz w:val="14"/>
          <w:u w:val="single"/>
        </w:rPr>
        <w:t>2000</w:t>
      </w:r>
      <w:r>
        <w:rPr>
          <w:spacing w:val="-6"/>
          <w:sz w:val="14"/>
          <w:u w:val="single"/>
        </w:rPr>
        <w:t> </w:t>
      </w:r>
    </w:p>
    <w:p>
      <w:pPr>
        <w:pStyle w:val="BodyText"/>
        <w:rPr>
          <w:sz w:val="23"/>
        </w:rPr>
      </w:pPr>
    </w:p>
    <w:tbl>
      <w:tblPr>
        <w:tblW w:w="0" w:type="auto"/>
        <w:jc w:val="left"/>
        <w:tblInd w:w="1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33"/>
        <w:gridCol w:w="565"/>
        <w:gridCol w:w="500"/>
        <w:gridCol w:w="515"/>
        <w:gridCol w:w="490"/>
        <w:gridCol w:w="393"/>
      </w:tblGrid>
      <w:tr>
        <w:trPr>
          <w:trHeight w:val="147" w:hRule="atLeast"/>
        </w:trPr>
        <w:tc>
          <w:tcPr>
            <w:tcW w:w="1633" w:type="dxa"/>
          </w:tcPr>
          <w:p>
            <w:pPr>
              <w:pStyle w:val="TableParagraph"/>
              <w:tabs>
                <w:tab w:pos="1444" w:val="right" w:leader="none"/>
              </w:tabs>
              <w:spacing w:line="128" w:lineRule="exact"/>
              <w:ind w:left="50"/>
              <w:rPr>
                <w:sz w:val="14"/>
              </w:rPr>
            </w:pPr>
            <w:r>
              <w:rPr>
                <w:sz w:val="14"/>
              </w:rPr>
              <w:t>United States</w:t>
              <w:tab/>
              <w:t>60.8</w:t>
            </w:r>
          </w:p>
        </w:tc>
        <w:tc>
          <w:tcPr>
            <w:tcW w:w="565" w:type="dxa"/>
          </w:tcPr>
          <w:p>
            <w:pPr>
              <w:pStyle w:val="TableParagraph"/>
              <w:spacing w:line="128" w:lineRule="exact"/>
              <w:ind w:left="167" w:right="113"/>
              <w:jc w:val="center"/>
              <w:rPr>
                <w:sz w:val="14"/>
              </w:rPr>
            </w:pPr>
            <w:r>
              <w:rPr>
                <w:sz w:val="14"/>
              </w:rPr>
              <w:t>61.3</w:t>
            </w:r>
          </w:p>
        </w:tc>
        <w:tc>
          <w:tcPr>
            <w:tcW w:w="500" w:type="dxa"/>
          </w:tcPr>
          <w:p>
            <w:pPr>
              <w:pStyle w:val="TableParagraph"/>
              <w:spacing w:line="128" w:lineRule="exact"/>
              <w:ind w:right="120"/>
              <w:jc w:val="right"/>
              <w:rPr>
                <w:sz w:val="14"/>
              </w:rPr>
            </w:pPr>
            <w:r>
              <w:rPr>
                <w:sz w:val="14"/>
              </w:rPr>
              <w:t>59.1</w:t>
            </w:r>
          </w:p>
        </w:tc>
        <w:tc>
          <w:tcPr>
            <w:tcW w:w="515" w:type="dxa"/>
          </w:tcPr>
          <w:p>
            <w:pPr>
              <w:pStyle w:val="TableParagraph"/>
              <w:spacing w:line="128" w:lineRule="exact"/>
              <w:ind w:left="103" w:right="126"/>
              <w:jc w:val="center"/>
              <w:rPr>
                <w:sz w:val="14"/>
              </w:rPr>
            </w:pPr>
            <w:r>
              <w:rPr>
                <w:sz w:val="14"/>
              </w:rPr>
              <w:t>57.4</w:t>
            </w:r>
          </w:p>
        </w:tc>
        <w:tc>
          <w:tcPr>
            <w:tcW w:w="490" w:type="dxa"/>
          </w:tcPr>
          <w:p>
            <w:pPr>
              <w:pStyle w:val="TableParagraph"/>
              <w:spacing w:line="128" w:lineRule="exact"/>
              <w:ind w:left="127" w:right="78"/>
              <w:jc w:val="center"/>
              <w:rPr>
                <w:sz w:val="14"/>
              </w:rPr>
            </w:pPr>
            <w:r>
              <w:rPr>
                <w:sz w:val="14"/>
              </w:rPr>
              <w:t>57.2</w:t>
            </w:r>
          </w:p>
        </w:tc>
        <w:tc>
          <w:tcPr>
            <w:tcW w:w="393" w:type="dxa"/>
          </w:tcPr>
          <w:p>
            <w:pPr>
              <w:pStyle w:val="TableParagraph"/>
              <w:spacing w:line="128" w:lineRule="exact"/>
              <w:ind w:left="77" w:right="31"/>
              <w:jc w:val="center"/>
              <w:rPr>
                <w:sz w:val="14"/>
              </w:rPr>
            </w:pPr>
            <w:r>
              <w:rPr>
                <w:sz w:val="14"/>
              </w:rPr>
              <w:t>55.9</w:t>
            </w:r>
          </w:p>
        </w:tc>
      </w:tr>
      <w:tr>
        <w:trPr>
          <w:trHeight w:val="140" w:hRule="atLeast"/>
        </w:trPr>
        <w:tc>
          <w:tcPr>
            <w:tcW w:w="1633" w:type="dxa"/>
          </w:tcPr>
          <w:p>
            <w:pPr>
              <w:pStyle w:val="TableParagraph"/>
              <w:tabs>
                <w:tab w:pos="1444" w:val="right" w:leader="none"/>
              </w:tabs>
              <w:ind w:left="50"/>
              <w:rPr>
                <w:sz w:val="14"/>
              </w:rPr>
            </w:pPr>
            <w:r>
              <w:rPr>
                <w:sz w:val="14"/>
              </w:rPr>
              <w:t>Euro area</w:t>
              <w:tab/>
              <w:t>67.6</w:t>
            </w:r>
          </w:p>
        </w:tc>
        <w:tc>
          <w:tcPr>
            <w:tcW w:w="565" w:type="dxa"/>
          </w:tcPr>
          <w:p>
            <w:pPr>
              <w:pStyle w:val="TableParagraph"/>
              <w:ind w:left="167" w:right="113"/>
              <w:jc w:val="center"/>
              <w:rPr>
                <w:sz w:val="14"/>
              </w:rPr>
            </w:pPr>
            <w:r>
              <w:rPr>
                <w:sz w:val="14"/>
              </w:rPr>
              <w:t>78.2</w:t>
            </w:r>
          </w:p>
        </w:tc>
        <w:tc>
          <w:tcPr>
            <w:tcW w:w="500" w:type="dxa"/>
          </w:tcPr>
          <w:p>
            <w:pPr>
              <w:pStyle w:val="TableParagraph"/>
              <w:ind w:right="120"/>
              <w:jc w:val="right"/>
              <w:rPr>
                <w:sz w:val="14"/>
              </w:rPr>
            </w:pPr>
            <w:r>
              <w:rPr>
                <w:sz w:val="14"/>
              </w:rPr>
              <w:t>78.0</w:t>
            </w:r>
          </w:p>
        </w:tc>
        <w:tc>
          <w:tcPr>
            <w:tcW w:w="515" w:type="dxa"/>
          </w:tcPr>
          <w:p>
            <w:pPr>
              <w:pStyle w:val="TableParagraph"/>
              <w:ind w:left="103" w:right="126"/>
              <w:jc w:val="center"/>
              <w:rPr>
                <w:sz w:val="14"/>
              </w:rPr>
            </w:pPr>
            <w:r>
              <w:rPr>
                <w:sz w:val="14"/>
              </w:rPr>
              <w:t>76.7</w:t>
            </w:r>
          </w:p>
        </w:tc>
        <w:tc>
          <w:tcPr>
            <w:tcW w:w="490" w:type="dxa"/>
          </w:tcPr>
          <w:p>
            <w:pPr>
              <w:pStyle w:val="TableParagraph"/>
              <w:ind w:left="127" w:right="78"/>
              <w:jc w:val="center"/>
              <w:rPr>
                <w:sz w:val="14"/>
              </w:rPr>
            </w:pPr>
            <w:r>
              <w:rPr>
                <w:sz w:val="14"/>
              </w:rPr>
              <w:t>75.9</w:t>
            </w:r>
          </w:p>
        </w:tc>
        <w:tc>
          <w:tcPr>
            <w:tcW w:w="393" w:type="dxa"/>
          </w:tcPr>
          <w:p>
            <w:pPr>
              <w:pStyle w:val="TableParagraph"/>
              <w:ind w:left="77" w:right="31"/>
              <w:jc w:val="center"/>
              <w:rPr>
                <w:sz w:val="14"/>
              </w:rPr>
            </w:pPr>
            <w:r>
              <w:rPr>
                <w:sz w:val="14"/>
              </w:rPr>
              <w:t>74.9</w:t>
            </w:r>
          </w:p>
        </w:tc>
      </w:tr>
      <w:tr>
        <w:trPr>
          <w:trHeight w:val="140" w:hRule="atLeast"/>
        </w:trPr>
        <w:tc>
          <w:tcPr>
            <w:tcW w:w="1633" w:type="dxa"/>
          </w:tcPr>
          <w:p>
            <w:pPr>
              <w:pStyle w:val="TableParagraph"/>
              <w:tabs>
                <w:tab w:pos="1200" w:val="left" w:leader="none"/>
              </w:tabs>
              <w:ind w:left="50"/>
              <w:rPr>
                <w:sz w:val="14"/>
              </w:rPr>
            </w:pPr>
            <w:r>
              <w:rPr>
                <w:sz w:val="14"/>
              </w:rPr>
              <w:t>United Kingdom</w:t>
              <w:tab/>
              <w:t>49.1</w:t>
            </w:r>
          </w:p>
        </w:tc>
        <w:tc>
          <w:tcPr>
            <w:tcW w:w="565" w:type="dxa"/>
          </w:tcPr>
          <w:p>
            <w:pPr>
              <w:pStyle w:val="TableParagraph"/>
              <w:ind w:left="167" w:right="113"/>
              <w:jc w:val="center"/>
              <w:rPr>
                <w:sz w:val="14"/>
              </w:rPr>
            </w:pPr>
            <w:r>
              <w:rPr>
                <w:sz w:val="14"/>
              </w:rPr>
              <w:t>60.0</w:t>
            </w:r>
          </w:p>
        </w:tc>
        <w:tc>
          <w:tcPr>
            <w:tcW w:w="500" w:type="dxa"/>
          </w:tcPr>
          <w:p>
            <w:pPr>
              <w:pStyle w:val="TableParagraph"/>
              <w:ind w:right="120"/>
              <w:jc w:val="right"/>
              <w:rPr>
                <w:sz w:val="14"/>
              </w:rPr>
            </w:pPr>
            <w:r>
              <w:rPr>
                <w:sz w:val="14"/>
              </w:rPr>
              <w:t>59.1</w:t>
            </w:r>
          </w:p>
        </w:tc>
        <w:tc>
          <w:tcPr>
            <w:tcW w:w="515" w:type="dxa"/>
          </w:tcPr>
          <w:p>
            <w:pPr>
              <w:pStyle w:val="TableParagraph"/>
              <w:ind w:left="103" w:right="126"/>
              <w:jc w:val="center"/>
              <w:rPr>
                <w:sz w:val="14"/>
              </w:rPr>
            </w:pPr>
            <w:r>
              <w:rPr>
                <w:sz w:val="14"/>
              </w:rPr>
              <w:t>57.2</w:t>
            </w:r>
          </w:p>
        </w:tc>
        <w:tc>
          <w:tcPr>
            <w:tcW w:w="490" w:type="dxa"/>
          </w:tcPr>
          <w:p>
            <w:pPr>
              <w:pStyle w:val="TableParagraph"/>
              <w:ind w:left="127" w:right="78"/>
              <w:jc w:val="center"/>
              <w:rPr>
                <w:sz w:val="14"/>
              </w:rPr>
            </w:pPr>
            <w:r>
              <w:rPr>
                <w:sz w:val="14"/>
              </w:rPr>
              <w:t>56.2</w:t>
            </w:r>
          </w:p>
        </w:tc>
        <w:tc>
          <w:tcPr>
            <w:tcW w:w="393" w:type="dxa"/>
          </w:tcPr>
          <w:p>
            <w:pPr>
              <w:pStyle w:val="TableParagraph"/>
              <w:ind w:left="77" w:right="31"/>
              <w:jc w:val="center"/>
              <w:rPr>
                <w:sz w:val="14"/>
              </w:rPr>
            </w:pPr>
            <w:r>
              <w:rPr>
                <w:sz w:val="14"/>
              </w:rPr>
              <w:t>55.6</w:t>
            </w:r>
          </w:p>
        </w:tc>
      </w:tr>
      <w:tr>
        <w:trPr>
          <w:trHeight w:val="147" w:hRule="atLeast"/>
        </w:trPr>
        <w:tc>
          <w:tcPr>
            <w:tcW w:w="1633" w:type="dxa"/>
          </w:tcPr>
          <w:p>
            <w:pPr>
              <w:pStyle w:val="TableParagraph"/>
              <w:tabs>
                <w:tab w:pos="1445" w:val="right" w:leader="none"/>
              </w:tabs>
              <w:spacing w:line="128" w:lineRule="exact"/>
              <w:ind w:left="50"/>
              <w:rPr>
                <w:sz w:val="14"/>
              </w:rPr>
            </w:pPr>
            <w:r>
              <w:rPr>
                <w:sz w:val="14"/>
              </w:rPr>
              <w:t>G7</w:t>
              <w:tab/>
              <w:t>63.7</w:t>
            </w:r>
          </w:p>
        </w:tc>
        <w:tc>
          <w:tcPr>
            <w:tcW w:w="565" w:type="dxa"/>
          </w:tcPr>
          <w:p>
            <w:pPr>
              <w:pStyle w:val="TableParagraph"/>
              <w:spacing w:line="128" w:lineRule="exact"/>
              <w:ind w:left="167" w:right="113"/>
              <w:jc w:val="center"/>
              <w:rPr>
                <w:sz w:val="14"/>
              </w:rPr>
            </w:pPr>
            <w:r>
              <w:rPr>
                <w:sz w:val="14"/>
              </w:rPr>
              <w:t>71.2</w:t>
            </w:r>
          </w:p>
        </w:tc>
        <w:tc>
          <w:tcPr>
            <w:tcW w:w="500" w:type="dxa"/>
          </w:tcPr>
          <w:p>
            <w:pPr>
              <w:pStyle w:val="TableParagraph"/>
              <w:spacing w:line="128" w:lineRule="exact"/>
              <w:ind w:right="120"/>
              <w:jc w:val="right"/>
              <w:rPr>
                <w:sz w:val="14"/>
              </w:rPr>
            </w:pPr>
            <w:r>
              <w:rPr>
                <w:sz w:val="14"/>
              </w:rPr>
              <w:t>71.3</w:t>
            </w:r>
          </w:p>
        </w:tc>
        <w:tc>
          <w:tcPr>
            <w:tcW w:w="515" w:type="dxa"/>
          </w:tcPr>
          <w:p>
            <w:pPr>
              <w:pStyle w:val="TableParagraph"/>
              <w:spacing w:line="128" w:lineRule="exact"/>
              <w:ind w:left="103" w:right="126"/>
              <w:jc w:val="center"/>
              <w:rPr>
                <w:sz w:val="14"/>
              </w:rPr>
            </w:pPr>
            <w:r>
              <w:rPr>
                <w:sz w:val="14"/>
              </w:rPr>
              <w:t>72.3</w:t>
            </w:r>
          </w:p>
        </w:tc>
        <w:tc>
          <w:tcPr>
            <w:tcW w:w="490" w:type="dxa"/>
          </w:tcPr>
          <w:p>
            <w:pPr>
              <w:pStyle w:val="TableParagraph"/>
              <w:spacing w:line="128" w:lineRule="exact"/>
              <w:ind w:left="127" w:right="78"/>
              <w:jc w:val="center"/>
              <w:rPr>
                <w:sz w:val="14"/>
              </w:rPr>
            </w:pPr>
            <w:r>
              <w:rPr>
                <w:sz w:val="14"/>
              </w:rPr>
              <w:t>73.3</w:t>
            </w:r>
          </w:p>
        </w:tc>
        <w:tc>
          <w:tcPr>
            <w:tcW w:w="393" w:type="dxa"/>
          </w:tcPr>
          <w:p>
            <w:pPr>
              <w:pStyle w:val="TableParagraph"/>
              <w:spacing w:line="128" w:lineRule="exact"/>
              <w:ind w:left="77" w:right="31"/>
              <w:jc w:val="center"/>
              <w:rPr>
                <w:sz w:val="14"/>
              </w:rPr>
            </w:pPr>
            <w:r>
              <w:rPr>
                <w:sz w:val="14"/>
              </w:rPr>
              <w:t>74.0</w:t>
            </w:r>
          </w:p>
        </w:tc>
      </w:tr>
    </w:tbl>
    <w:p>
      <w:pPr>
        <w:spacing w:before="117"/>
        <w:ind w:left="165" w:right="0" w:firstLine="0"/>
        <w:jc w:val="left"/>
        <w:rPr>
          <w:sz w:val="12"/>
        </w:rPr>
      </w:pPr>
      <w:r>
        <w:rPr>
          <w:sz w:val="12"/>
        </w:rPr>
        <w:t>Source: OECD </w:t>
      </w:r>
      <w:r>
        <w:rPr>
          <w:i/>
          <w:sz w:val="12"/>
        </w:rPr>
        <w:t>Economic Outlook</w:t>
      </w:r>
      <w:r>
        <w:rPr>
          <w:sz w:val="12"/>
        </w:rPr>
        <w:t>, December 1998.</w:t>
      </w:r>
    </w:p>
    <w:p>
      <w:pPr>
        <w:pStyle w:val="Heading4"/>
        <w:spacing w:line="242" w:lineRule="auto" w:before="87"/>
        <w:ind w:left="165" w:right="208"/>
      </w:pPr>
      <w:r>
        <w:rPr/>
        <w:br w:type="column"/>
      </w:r>
      <w:r>
        <w:rPr/>
        <w:t>in the real yield on index-linked US bonds. Previous research suggests that fiscal considerations are important determinants of long-term real world interest rates. With the exception of Japan, the ratio of debt to GDP has fallen in most major economies since 1996. Moreover, the move into budget surplus in the United States and the signing of the Stability and Growth Pact by prospective EMU participants suggest that this trend is unlikely to be unwound during the next few years (see Table 1.C).</w:t>
      </w:r>
    </w:p>
    <w:p>
      <w:pPr>
        <w:spacing w:line="242" w:lineRule="auto" w:before="11"/>
        <w:ind w:left="165" w:right="261" w:firstLine="0"/>
        <w:jc w:val="left"/>
        <w:rPr>
          <w:sz w:val="24"/>
        </w:rPr>
      </w:pPr>
      <w:r>
        <w:rPr>
          <w:sz w:val="24"/>
        </w:rPr>
        <w:t>Institutional factors, such as the minimum funding requirement for pension funds, may also have put upward pressure on the price of UK index-linked bonds by raising demand relative to supply. Nonetheless, the sharp fall in UK real yields relative to those overseas remains difficult to explain, given the underlying determinants.</w:t>
      </w:r>
    </w:p>
    <w:p>
      <w:pPr>
        <w:spacing w:after="0" w:line="242" w:lineRule="auto"/>
        <w:jc w:val="left"/>
        <w:rPr>
          <w:sz w:val="24"/>
        </w:rPr>
        <w:sectPr>
          <w:type w:val="continuous"/>
          <w:pgSz w:w="11900" w:h="16840"/>
          <w:pgMar w:top="1220" w:bottom="280" w:left="640" w:right="600"/>
          <w:cols w:num="2" w:equalWidth="0">
            <w:col w:w="4403" w:space="372"/>
            <w:col w:w="5885"/>
          </w:cols>
        </w:sectPr>
      </w:pPr>
    </w:p>
    <w:p>
      <w:pPr>
        <w:pStyle w:val="BodyText"/>
        <w:rPr>
          <w:sz w:val="20"/>
        </w:rPr>
      </w:pPr>
    </w:p>
    <w:p>
      <w:pPr>
        <w:spacing w:after="0"/>
        <w:rPr>
          <w:sz w:val="20"/>
        </w:rPr>
        <w:sectPr>
          <w:pgSz w:w="11900" w:h="16840"/>
          <w:pgMar w:header="586" w:footer="597" w:top="780" w:bottom="780" w:left="640" w:right="600"/>
        </w:sectPr>
      </w:pPr>
    </w:p>
    <w:p>
      <w:pPr>
        <w:pStyle w:val="BodyText"/>
        <w:spacing w:before="3"/>
        <w:rPr>
          <w:sz w:val="22"/>
        </w:rPr>
      </w:pPr>
    </w:p>
    <w:p>
      <w:pPr>
        <w:pStyle w:val="Heading7"/>
        <w:spacing w:before="0"/>
        <w:ind w:left="215"/>
      </w:pPr>
      <w:bookmarkStart w:name="Equity prices" w:id="23"/>
      <w:bookmarkEnd w:id="23"/>
      <w:r>
        <w:rPr>
          <w:b w:val="0"/>
        </w:rPr>
      </w:r>
      <w:bookmarkStart w:name="Property prices" w:id="24"/>
      <w:bookmarkEnd w:id="24"/>
      <w:r>
        <w:rPr>
          <w:b w:val="0"/>
        </w:rPr>
      </w:r>
      <w:bookmarkStart w:name="_bookmark7" w:id="25"/>
      <w:bookmarkEnd w:id="25"/>
      <w:r>
        <w:rPr>
          <w:b w:val="0"/>
        </w:rPr>
      </w:r>
      <w:r>
        <w:rPr>
          <w:color w:val="0093C1"/>
        </w:rPr>
        <w:t>Chart 1.14</w:t>
      </w:r>
    </w:p>
    <w:p>
      <w:pPr>
        <w:spacing w:before="10"/>
        <w:ind w:left="215" w:right="0" w:firstLine="0"/>
        <w:jc w:val="left"/>
        <w:rPr>
          <w:sz w:val="12"/>
        </w:rPr>
      </w:pPr>
      <w:r>
        <w:rPr>
          <w:b/>
          <w:color w:val="0093C1"/>
          <w:sz w:val="20"/>
        </w:rPr>
        <w:t>Selected G7 share prices</w:t>
      </w:r>
      <w:r>
        <w:rPr>
          <w:position w:val="4"/>
          <w:sz w:val="12"/>
        </w:rPr>
        <w:t>(a)</w:t>
      </w:r>
    </w:p>
    <w:p>
      <w:pPr>
        <w:pStyle w:val="BodyText"/>
        <w:spacing w:before="11" w:after="39"/>
        <w:rPr>
          <w:sz w:val="15"/>
        </w:rPr>
      </w:pPr>
    </w:p>
    <w:p>
      <w:pPr>
        <w:pStyle w:val="BodyText"/>
        <w:spacing w:line="20" w:lineRule="exact"/>
        <w:ind w:left="300"/>
        <w:rPr>
          <w:sz w:val="2"/>
        </w:rPr>
      </w:pPr>
      <w:r>
        <w:rPr>
          <w:sz w:val="2"/>
        </w:rPr>
        <w:pict>
          <v:group style="width:5pt;height:.5pt;mso-position-horizontal-relative:char;mso-position-vertical-relative:line" coordorigin="0,0" coordsize="100,10">
            <v:line style="position:absolute" from="100,5" to="0,5" stroked="true" strokeweight=".5pt" strokecolor="#000000">
              <v:stroke dashstyle="solid"/>
            </v:line>
          </v:group>
        </w:pict>
      </w:r>
      <w:r>
        <w:rPr>
          <w:sz w:val="2"/>
        </w:rPr>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5"/>
        <w:rPr>
          <w:sz w:val="17"/>
        </w:rPr>
      </w:pPr>
      <w:r>
        <w:rPr/>
        <w:pict>
          <v:shape style="position:absolute;margin-left:47.279999pt;margin-top:12.261719pt;width:5pt;height:.1pt;mso-position-horizontal-relative:page;mso-position-vertical-relative:paragraph;z-index:-15650816;mso-wrap-distance-left:0;mso-wrap-distance-right:0" coordorigin="946,245" coordsize="100,0" path="m1046,245l946,245e" filled="false" stroked="true" strokeweight=".5pt" strokecolor="#000000">
            <v:path arrowok="t"/>
            <v:stroke dashstyle="solid"/>
            <w10:wrap type="topAndBottom"/>
          </v:shape>
        </w:pict>
      </w:r>
    </w:p>
    <w:p>
      <w:pPr>
        <w:pStyle w:val="BodyText"/>
        <w:rPr>
          <w:sz w:val="12"/>
        </w:rPr>
      </w:pPr>
      <w:r>
        <w:rPr/>
        <w:br w:type="column"/>
      </w:r>
      <w:r>
        <w:rPr>
          <w:sz w:val="12"/>
        </w:rPr>
      </w: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6"/>
        <w:rPr>
          <w:sz w:val="10"/>
        </w:rPr>
      </w:pPr>
    </w:p>
    <w:p>
      <w:pPr>
        <w:spacing w:line="338" w:lineRule="auto" w:before="0"/>
        <w:ind w:left="215" w:right="0" w:firstLine="230"/>
        <w:jc w:val="left"/>
        <w:rPr>
          <w:sz w:val="12"/>
        </w:rPr>
      </w:pPr>
      <w:r>
        <w:rPr>
          <w:sz w:val="12"/>
        </w:rPr>
        <w:t>1 June = 10</w:t>
      </w:r>
      <w:r>
        <w:rPr>
          <w:sz w:val="12"/>
          <w:u w:val="single"/>
        </w:rPr>
        <w:t>0</w:t>
      </w:r>
      <w:r>
        <w:rPr>
          <w:sz w:val="12"/>
        </w:rPr>
        <w:t> United States</w:t>
      </w:r>
    </w:p>
    <w:p>
      <w:pPr>
        <w:pStyle w:val="BodyText"/>
        <w:rPr>
          <w:sz w:val="12"/>
        </w:rPr>
      </w:pPr>
      <w:r>
        <w:rPr/>
        <w:br w:type="column"/>
      </w:r>
      <w:r>
        <w:rPr>
          <w:sz w:val="12"/>
        </w:rPr>
      </w: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9"/>
        <w:rPr>
          <w:sz w:val="15"/>
        </w:rPr>
      </w:pPr>
    </w:p>
    <w:p>
      <w:pPr>
        <w:spacing w:before="0"/>
        <w:ind w:left="-30" w:right="0" w:firstLine="0"/>
        <w:jc w:val="left"/>
        <w:rPr>
          <w:sz w:val="12"/>
        </w:rPr>
      </w:pPr>
      <w:r>
        <w:rPr>
          <w:sz w:val="12"/>
        </w:rPr>
        <w:t>120</w:t>
      </w:r>
    </w:p>
    <w:p>
      <w:pPr>
        <w:pStyle w:val="BodyText"/>
        <w:rPr>
          <w:sz w:val="12"/>
        </w:rPr>
      </w:pPr>
    </w:p>
    <w:p>
      <w:pPr>
        <w:pStyle w:val="BodyText"/>
        <w:rPr>
          <w:sz w:val="12"/>
        </w:rPr>
      </w:pPr>
    </w:p>
    <w:p>
      <w:pPr>
        <w:pStyle w:val="BodyText"/>
        <w:spacing w:before="2"/>
        <w:rPr>
          <w:sz w:val="16"/>
        </w:rPr>
      </w:pPr>
    </w:p>
    <w:p>
      <w:pPr>
        <w:spacing w:before="0"/>
        <w:ind w:left="-30" w:right="0" w:firstLine="0"/>
        <w:jc w:val="left"/>
        <w:rPr>
          <w:sz w:val="12"/>
        </w:rPr>
      </w:pPr>
      <w:r>
        <w:rPr>
          <w:sz w:val="12"/>
        </w:rPr>
        <w:t>110</w:t>
      </w:r>
    </w:p>
    <w:p>
      <w:pPr>
        <w:pStyle w:val="BodyText"/>
        <w:rPr>
          <w:sz w:val="12"/>
        </w:rPr>
      </w:pPr>
    </w:p>
    <w:p>
      <w:pPr>
        <w:pStyle w:val="BodyText"/>
        <w:rPr>
          <w:sz w:val="12"/>
        </w:rPr>
      </w:pPr>
    </w:p>
    <w:p>
      <w:pPr>
        <w:pStyle w:val="BodyText"/>
        <w:spacing w:before="2"/>
        <w:rPr>
          <w:sz w:val="16"/>
        </w:rPr>
      </w:pPr>
    </w:p>
    <w:p>
      <w:pPr>
        <w:spacing w:before="0"/>
        <w:ind w:left="-30" w:right="0" w:firstLine="0"/>
        <w:jc w:val="left"/>
        <w:rPr>
          <w:sz w:val="12"/>
        </w:rPr>
      </w:pPr>
      <w:r>
        <w:rPr>
          <w:sz w:val="12"/>
        </w:rPr>
        <w:t>100</w:t>
      </w:r>
    </w:p>
    <w:p>
      <w:pPr>
        <w:pStyle w:val="BodyText"/>
        <w:rPr>
          <w:sz w:val="12"/>
        </w:rPr>
      </w:pPr>
    </w:p>
    <w:p>
      <w:pPr>
        <w:pStyle w:val="BodyText"/>
        <w:rPr>
          <w:sz w:val="12"/>
        </w:rPr>
      </w:pPr>
    </w:p>
    <w:p>
      <w:pPr>
        <w:pStyle w:val="BodyText"/>
        <w:spacing w:before="2"/>
        <w:rPr>
          <w:sz w:val="16"/>
        </w:rPr>
      </w:pPr>
    </w:p>
    <w:p>
      <w:pPr>
        <w:spacing w:before="0"/>
        <w:ind w:left="0" w:right="0" w:firstLine="0"/>
        <w:jc w:val="left"/>
        <w:rPr>
          <w:sz w:val="12"/>
        </w:rPr>
      </w:pPr>
      <w:r>
        <w:rPr>
          <w:sz w:val="12"/>
        </w:rPr>
        <w:t>90</w:t>
      </w:r>
    </w:p>
    <w:p>
      <w:pPr>
        <w:pStyle w:val="BodyText"/>
        <w:rPr>
          <w:sz w:val="12"/>
        </w:rPr>
      </w:pPr>
    </w:p>
    <w:p>
      <w:pPr>
        <w:pStyle w:val="BodyText"/>
        <w:rPr>
          <w:sz w:val="12"/>
        </w:rPr>
      </w:pPr>
    </w:p>
    <w:p>
      <w:pPr>
        <w:pStyle w:val="BodyText"/>
        <w:spacing w:before="2"/>
        <w:rPr>
          <w:sz w:val="16"/>
        </w:rPr>
      </w:pPr>
    </w:p>
    <w:p>
      <w:pPr>
        <w:spacing w:before="0"/>
        <w:ind w:left="0" w:right="0" w:firstLine="0"/>
        <w:jc w:val="left"/>
        <w:rPr>
          <w:sz w:val="12"/>
        </w:rPr>
      </w:pPr>
      <w:r>
        <w:rPr>
          <w:sz w:val="12"/>
        </w:rPr>
        <w:t>80</w:t>
      </w:r>
    </w:p>
    <w:p>
      <w:pPr>
        <w:pStyle w:val="BodyText"/>
        <w:rPr>
          <w:sz w:val="12"/>
        </w:rPr>
      </w:pPr>
    </w:p>
    <w:p>
      <w:pPr>
        <w:pStyle w:val="BodyText"/>
        <w:rPr>
          <w:sz w:val="12"/>
        </w:rPr>
      </w:pPr>
    </w:p>
    <w:p>
      <w:pPr>
        <w:pStyle w:val="BodyText"/>
        <w:spacing w:before="5"/>
        <w:rPr>
          <w:sz w:val="17"/>
        </w:rPr>
      </w:pPr>
    </w:p>
    <w:p>
      <w:pPr>
        <w:spacing w:line="130" w:lineRule="exact" w:before="1"/>
        <w:ind w:left="0" w:right="0" w:firstLine="0"/>
        <w:jc w:val="left"/>
        <w:rPr>
          <w:sz w:val="12"/>
        </w:rPr>
      </w:pPr>
      <w:r>
        <w:rPr/>
        <w:pict>
          <v:group style="position:absolute;margin-left:47.279999pt;margin-top:-139.098434pt;width:167pt;height:131pt;mso-position-horizontal-relative:page;mso-position-vertical-relative:paragraph;z-index:-21200896" coordorigin="946,-2782" coordsize="3340,2620">
            <v:shape style="position:absolute;left:945;top:-2332;width:3340;height:1800" coordorigin="946,-2332" coordsize="3340,1800" path="m1046,-532l946,-532m1046,-1132l946,-1132m1046,-1732l946,-1732m1046,-2332l946,-2332m4286,-532l4186,-532m4286,-1132l4186,-1132m4286,-1732l4186,-1732e" filled="false" stroked="true" strokeweight=".5pt" strokecolor="#000000">
              <v:path arrowok="t"/>
              <v:stroke dashstyle="solid"/>
            </v:shape>
            <v:shape style="position:absolute;left:1115;top:-2782;width:3020;height:2620" type="#_x0000_t75" stroked="false">
              <v:imagedata r:id="rId28" o:title=""/>
            </v:shape>
            <v:line style="position:absolute" from="4286,-2332" to="4186,-2332" stroked="true" strokeweight=".5pt" strokecolor="#000000">
              <v:stroke dashstyle="solid"/>
            </v:line>
            <v:shape style="position:absolute;left:2625;top:-2509;width:294;height:133" type="#_x0000_t202" filled="false" stroked="false">
              <v:textbox inset="0,0,0,0">
                <w:txbxContent>
                  <w:p>
                    <w:pPr>
                      <w:spacing w:line="133" w:lineRule="exact" w:before="0"/>
                      <w:ind w:left="0" w:right="0" w:firstLine="0"/>
                      <w:jc w:val="left"/>
                      <w:rPr>
                        <w:sz w:val="12"/>
                      </w:rPr>
                    </w:pPr>
                    <w:r>
                      <w:rPr>
                        <w:sz w:val="12"/>
                      </w:rPr>
                      <w:t>Japan</w:t>
                    </w:r>
                  </w:p>
                </w:txbxContent>
              </v:textbox>
              <w10:wrap type="none"/>
            </v:shape>
            <v:shape style="position:absolute;left:3355;top:-1849;width:347;height:133" type="#_x0000_t202" filled="false" stroked="false">
              <v:textbox inset="0,0,0,0">
                <w:txbxContent>
                  <w:p>
                    <w:pPr>
                      <w:spacing w:line="133" w:lineRule="exact" w:before="0"/>
                      <w:ind w:left="0" w:right="0" w:firstLine="0"/>
                      <w:jc w:val="left"/>
                      <w:rPr>
                        <w:sz w:val="12"/>
                      </w:rPr>
                    </w:pPr>
                    <w:r>
                      <w:rPr>
                        <w:sz w:val="12"/>
                      </w:rPr>
                      <w:t>France</w:t>
                    </w:r>
                  </w:p>
                </w:txbxContent>
              </v:textbox>
              <w10:wrap type="none"/>
            </v:shape>
            <v:shape style="position:absolute;left:3655;top:-1009;width:467;height:133" type="#_x0000_t202" filled="false" stroked="false">
              <v:textbox inset="0,0,0,0">
                <w:txbxContent>
                  <w:p>
                    <w:pPr>
                      <w:spacing w:line="133" w:lineRule="exact" w:before="0"/>
                      <w:ind w:left="0" w:right="0" w:firstLine="0"/>
                      <w:jc w:val="left"/>
                      <w:rPr>
                        <w:sz w:val="12"/>
                      </w:rPr>
                    </w:pPr>
                    <w:r>
                      <w:rPr>
                        <w:sz w:val="12"/>
                      </w:rPr>
                      <w:t>Germany</w:t>
                    </w:r>
                  </w:p>
                </w:txbxContent>
              </v:textbox>
              <w10:wrap type="none"/>
            </v:shape>
            <v:shape style="position:absolute;left:1570;top:-754;width:830;height:133" type="#_x0000_t202" filled="false" stroked="false">
              <v:textbox inset="0,0,0,0">
                <w:txbxContent>
                  <w:p>
                    <w:pPr>
                      <w:spacing w:line="133" w:lineRule="exact" w:before="0"/>
                      <w:ind w:left="0" w:right="0" w:firstLine="0"/>
                      <w:jc w:val="left"/>
                      <w:rPr>
                        <w:sz w:val="12"/>
                      </w:rPr>
                    </w:pPr>
                    <w:r>
                      <w:rPr>
                        <w:sz w:val="12"/>
                      </w:rPr>
                      <w:t>United Kingdom</w:t>
                    </w:r>
                  </w:p>
                </w:txbxContent>
              </v:textbox>
              <w10:wrap type="none"/>
            </v:shape>
            <w10:wrap type="none"/>
          </v:group>
        </w:pict>
      </w:r>
      <w:r>
        <w:rPr/>
        <w:pict>
          <v:shape style="position:absolute;margin-left:56.279999pt;margin-top:-1.098438pt;width:158pt;height:5.5pt;mso-position-horizontal-relative:page;mso-position-vertical-relative:paragraph;z-index:15817728" coordorigin="1126,-22" coordsize="3160,110" path="m4286,88l4186,88m1126,88l4126,88m1486,88l1486,28m1886,88l1886,28m2246,88l2246,28m2626,88l2626,28m3006,88l3006,28m3366,88l3366,28m3726,88l3726,-22m4086,88l4086,28e" filled="false" stroked="true" strokeweight=".5pt" strokecolor="#000000">
            <v:path arrowok="t"/>
            <v:stroke dashstyle="solid"/>
            <w10:wrap type="none"/>
          </v:shape>
        </w:pict>
      </w:r>
      <w:r>
        <w:rPr>
          <w:sz w:val="12"/>
        </w:rPr>
        <w:t>70</w:t>
      </w:r>
    </w:p>
    <w:p>
      <w:pPr>
        <w:spacing w:before="207"/>
        <w:ind w:left="215" w:right="0" w:firstLine="0"/>
        <w:jc w:val="left"/>
        <w:rPr>
          <w:i/>
          <w:sz w:val="24"/>
        </w:rPr>
      </w:pPr>
      <w:r>
        <w:rPr/>
        <w:br w:type="column"/>
      </w:r>
      <w:r>
        <w:rPr>
          <w:i/>
          <w:color w:val="009483"/>
          <w:sz w:val="24"/>
        </w:rPr>
        <w:t>Equity prices</w:t>
      </w:r>
    </w:p>
    <w:p>
      <w:pPr>
        <w:spacing w:line="242" w:lineRule="auto" w:before="164"/>
        <w:ind w:left="215" w:right="134" w:firstLine="0"/>
        <w:jc w:val="left"/>
        <w:rPr>
          <w:sz w:val="24"/>
        </w:rPr>
      </w:pPr>
      <w:r>
        <w:rPr>
          <w:sz w:val="24"/>
        </w:rPr>
        <w:t>Share prices in the United States, France and the United Kingdom had by mid January reversed most of their falls in the autumn (see Chart 1.14). There was also some recovery in share prices in a number of emerging market economies, with the exceptions of Russia and Brazil (see Chart 1.15). The devaluation of the Brazilian real on</w:t>
      </w:r>
    </w:p>
    <w:p>
      <w:pPr>
        <w:spacing w:line="242" w:lineRule="auto" w:before="8"/>
        <w:ind w:left="215" w:right="134" w:firstLine="0"/>
        <w:jc w:val="left"/>
        <w:rPr>
          <w:sz w:val="24"/>
        </w:rPr>
      </w:pPr>
      <w:r>
        <w:rPr>
          <w:sz w:val="24"/>
        </w:rPr>
        <w:t>13 January led to an immediate fall in global equity prices. The subsequent decision to allow the real to float triggered a recovery in most of the major markets.</w:t>
      </w:r>
    </w:p>
    <w:p>
      <w:pPr>
        <w:pStyle w:val="BodyText"/>
        <w:spacing w:before="4"/>
        <w:rPr>
          <w:sz w:val="26"/>
        </w:rPr>
      </w:pPr>
    </w:p>
    <w:p>
      <w:pPr>
        <w:spacing w:line="242" w:lineRule="auto" w:before="1"/>
        <w:ind w:left="215" w:right="181" w:firstLine="0"/>
        <w:jc w:val="left"/>
        <w:rPr>
          <w:sz w:val="24"/>
        </w:rPr>
      </w:pPr>
      <w:r>
        <w:rPr>
          <w:sz w:val="24"/>
        </w:rPr>
        <w:t>There are a number of possible explanations for the rise in share prices since October. The value of an equity can</w:t>
      </w:r>
    </w:p>
    <w:p>
      <w:pPr>
        <w:spacing w:after="0" w:line="242" w:lineRule="auto"/>
        <w:jc w:val="left"/>
        <w:rPr>
          <w:sz w:val="24"/>
        </w:rPr>
        <w:sectPr>
          <w:type w:val="continuous"/>
          <w:pgSz w:w="11900" w:h="16840"/>
          <w:pgMar w:top="1220" w:bottom="280" w:left="640" w:right="600"/>
          <w:cols w:num="4" w:equalWidth="0">
            <w:col w:w="2472" w:space="78"/>
            <w:col w:w="1096" w:space="39"/>
            <w:col w:w="191" w:space="869"/>
            <w:col w:w="5915"/>
          </w:cols>
        </w:sectPr>
      </w:pPr>
    </w:p>
    <w:p>
      <w:pPr>
        <w:tabs>
          <w:tab w:pos="439" w:val="left" w:leader="none"/>
        </w:tabs>
        <w:spacing w:line="125" w:lineRule="exact" w:before="0"/>
        <w:ind w:left="0" w:right="435" w:firstLine="0"/>
        <w:jc w:val="right"/>
        <w:rPr>
          <w:sz w:val="12"/>
        </w:rPr>
      </w:pPr>
      <w:r>
        <w:rPr>
          <w:sz w:val="12"/>
        </w:rPr>
        <w:t>June</w:t>
        <w:tab/>
        <w:t>July Aug. Sept. Oct. Nov. Dec.</w:t>
      </w:r>
      <w:r>
        <w:rPr>
          <w:spacing w:val="4"/>
          <w:sz w:val="12"/>
        </w:rPr>
        <w:t> </w:t>
      </w:r>
      <w:r>
        <w:rPr>
          <w:sz w:val="12"/>
        </w:rPr>
        <w:t>Jan.</w:t>
      </w:r>
    </w:p>
    <w:p>
      <w:pPr>
        <w:tabs>
          <w:tab w:pos="1639" w:val="left" w:leader="none"/>
        </w:tabs>
        <w:spacing w:before="22"/>
        <w:ind w:left="0" w:right="505" w:firstLine="0"/>
        <w:jc w:val="right"/>
        <w:rPr>
          <w:sz w:val="12"/>
        </w:rPr>
      </w:pPr>
      <w:r>
        <w:rPr>
          <w:sz w:val="12"/>
        </w:rPr>
        <w:t>1998</w:t>
        <w:tab/>
        <w:t>99</w:t>
      </w:r>
    </w:p>
    <w:p>
      <w:pPr>
        <w:spacing w:before="86"/>
        <w:ind w:left="190" w:right="0" w:firstLine="0"/>
        <w:jc w:val="left"/>
        <w:rPr>
          <w:sz w:val="12"/>
        </w:rPr>
      </w:pPr>
      <w:r>
        <w:rPr>
          <w:sz w:val="12"/>
        </w:rPr>
        <w:t>(a)    In US</w:t>
      </w:r>
      <w:r>
        <w:rPr>
          <w:spacing w:val="-14"/>
          <w:sz w:val="12"/>
        </w:rPr>
        <w:t> </w:t>
      </w:r>
      <w:r>
        <w:rPr>
          <w:sz w:val="12"/>
        </w:rPr>
        <w:t>dollars.</w:t>
      </w:r>
    </w:p>
    <w:p>
      <w:pPr>
        <w:pStyle w:val="BodyText"/>
        <w:rPr>
          <w:sz w:val="12"/>
        </w:rPr>
      </w:pPr>
    </w:p>
    <w:p>
      <w:pPr>
        <w:pStyle w:val="BodyText"/>
        <w:rPr>
          <w:sz w:val="12"/>
        </w:rPr>
      </w:pPr>
    </w:p>
    <w:p>
      <w:pPr>
        <w:pStyle w:val="BodyText"/>
        <w:rPr>
          <w:sz w:val="12"/>
        </w:rPr>
      </w:pPr>
    </w:p>
    <w:p>
      <w:pPr>
        <w:pStyle w:val="BodyText"/>
        <w:spacing w:before="5"/>
        <w:rPr>
          <w:sz w:val="9"/>
        </w:rPr>
      </w:pPr>
    </w:p>
    <w:p>
      <w:pPr>
        <w:pStyle w:val="Heading7"/>
        <w:spacing w:before="0"/>
        <w:ind w:left="182"/>
      </w:pPr>
      <w:r>
        <w:rPr>
          <w:color w:val="0093C1"/>
        </w:rPr>
        <w:t>Chart 1.15</w:t>
      </w:r>
    </w:p>
    <w:p>
      <w:pPr>
        <w:spacing w:before="10"/>
        <w:ind w:left="182" w:right="0" w:firstLine="0"/>
        <w:jc w:val="left"/>
        <w:rPr>
          <w:sz w:val="12"/>
        </w:rPr>
      </w:pPr>
      <w:r>
        <w:rPr>
          <w:b/>
          <w:color w:val="0093C1"/>
          <w:sz w:val="20"/>
        </w:rPr>
        <w:t>Selected emerging markets share prices</w:t>
      </w:r>
      <w:r>
        <w:rPr>
          <w:position w:val="4"/>
          <w:sz w:val="12"/>
        </w:rPr>
        <w:t>(a)</w:t>
      </w:r>
    </w:p>
    <w:p>
      <w:pPr>
        <w:spacing w:before="139"/>
        <w:ind w:left="0" w:right="38" w:firstLine="0"/>
        <w:jc w:val="right"/>
        <w:rPr>
          <w:sz w:val="12"/>
        </w:rPr>
      </w:pPr>
      <w:r>
        <w:rPr/>
        <w:pict>
          <v:line style="position:absolute;mso-position-horizontal-relative:page;mso-position-vertical-relative:paragraph;z-index:15812608" from="48.639999pt,14.384753pt" to="43.639999pt,14.384753pt" stroked="true" strokeweight=".5pt" strokecolor="#000000">
            <v:stroke dashstyle="solid"/>
            <w10:wrap type="none"/>
          </v:line>
        </w:pict>
      </w:r>
      <w:r>
        <w:rPr>
          <w:sz w:val="12"/>
        </w:rPr>
        <w:t>1 June = 1</w:t>
      </w:r>
      <w:r>
        <w:rPr>
          <w:sz w:val="12"/>
          <w:u w:val="single"/>
        </w:rPr>
        <w:t>00</w:t>
      </w:r>
      <w:r>
        <w:rPr>
          <w:sz w:val="12"/>
        </w:rPr>
        <w:t> </w:t>
      </w:r>
      <w:r>
        <w:rPr>
          <w:position w:val="-7"/>
          <w:sz w:val="12"/>
        </w:rPr>
        <w:t>250</w:t>
      </w:r>
    </w:p>
    <w:p>
      <w:pPr>
        <w:spacing w:line="106" w:lineRule="exact" w:before="8"/>
        <w:ind w:left="0" w:right="554" w:firstLine="0"/>
        <w:jc w:val="right"/>
        <w:rPr>
          <w:sz w:val="12"/>
        </w:rPr>
      </w:pPr>
      <w:r>
        <w:rPr/>
        <w:pict>
          <v:group style="position:absolute;margin-left:43.639999pt;margin-top:7.001349pt;width:166pt;height:139.75pt;mso-position-horizontal-relative:page;mso-position-vertical-relative:paragraph;z-index:-21206016" coordorigin="873,140" coordsize="3320,2795">
            <v:shape style="position:absolute;left:872;top:1730;width:3320;height:1200" coordorigin="873,1730" coordsize="3320,1200" path="m973,2930l873,2930m4193,2930l4093,2930m1033,2930l4033,2930m973,2030l873,2030m973,1730l873,1730e" filled="false" stroked="true" strokeweight=".5pt" strokecolor="#000000">
              <v:path arrowok="t"/>
              <v:stroke dashstyle="solid"/>
            </v:shape>
            <v:shape style="position:absolute;left:1032;top:1570;width:2720;height:780" coordorigin="1033,1570" coordsize="2720,780" path="m1033,1730l1053,1670,1073,1690,1093,1650,1093,1630,1113,1610,1133,1630,1153,1690,1173,1690,1193,1730,1213,1810,1213,1790,1233,1690,1253,1750,1273,1730,1293,1730,1313,1690,1333,1710,1353,1750m1353,1750l1373,1730,1393,1730,1413,1690,1433,1690,1453,1670,1473,1690,1493,1670,1493,1650,1533,1650,1573,1610,1593,1610,1613,1570,1673,1570,1693,1610m1693,1610l1713,1630,1733,1630,1753,1650,1753,1630,1773,1570,1813,1650,1833,1710,1853,1710,1873,1730,1893,1790,1913,1810,1913,1850,1933,1890,1973,1850,1993,1870,2013,1870,2013,1890m2013,1890l2033,1950,2073,1990,2093,1990,2113,2030,2133,2130,2153,2110,2153,2090,2173,2090,2193,2170,2213,2210,2253,2210,2273,2250,2293,2350,2313,2270,2313,2230,2333,2090,2353,2110m2353,2110l2373,2150,2393,2110,2413,2150,2413,2130,2433,2050,2453,2090,2473,2110,2493,2110,2513,2090,2533,2130,2553,2210,2553,2150,2573,2190,2593,2170,2613,2190,2633,2190,2653,2150,2673,2150,2693,2130m2693,2130l2713,2150,2713,2090,2733,2110,2753,2110m2753,2110l2773,2090,2813,2010,2853,2090,2853,2110,2873,2110,2893,2150,2913,2070,2933,2070,2953,2030,2973,2010,2973,1950,2993,1950,3013,1930,3033,1970,3053,1990,3073,2030,3093,2010m3093,2010l3113,1970,3113,1930,3133,1910,3153,1930,3193,1890,3213,1890,3253,1850,3253,1830,3273,1890,3313,1930,3333,2010,3353,2010,3373,1970,3373,2030,3413,2030m3413,2030l3433,2070,3453,2150,3473,2110,3493,2150,3513,2130,3533,2070,3553,2090,3573,2070,3593,2070,3613,2110,3633,2130,3653,2130,3653,2110,3693,2070,3713,2110,3733,2130,3753,2170e" filled="false" stroked="true" strokeweight="1pt" strokecolor="#75442b">
              <v:path arrowok="t"/>
              <v:stroke dashstyle="solid"/>
            </v:shape>
            <v:line style="position:absolute" from="4193,2330" to="4093,2330" stroked="true" strokeweight=".5pt" strokecolor="#000000">
              <v:stroke dashstyle="solid"/>
            </v:line>
            <v:shape style="position:absolute;left:3752;top:2170;width:280;height:220" coordorigin="3753,2170" coordsize="280,220" path="m3753,2170l3773,2230,3773,2330,3793,2390,3813,2250,3833,2290,3853,2250,3873,2230,3893,2310,3913,2330,3913,2350,3933,2330,3953,2350,3973,2330,3993,2350,4013,2290,4033,2210,4033,2230e" filled="false" stroked="true" strokeweight="1pt" strokecolor="#75442b">
              <v:path arrowok="t"/>
              <v:stroke dashstyle="solid"/>
            </v:shape>
            <v:shape style="position:absolute;left:1032;top:1530;width:1660;height:420" coordorigin="1033,1530" coordsize="1660,420" path="m1033,1730l1053,1790,1073,1750,1093,1730,1093,1710,1113,1690,1133,1710,1153,1770,1173,1750,1193,1850,1213,1930,1213,1950,1233,1870,1253,1770,1273,1810,1293,1810,1333,1850,1353,1830,1353,1850m1353,1850l1393,1850,1413,1790,1433,1790,1453,1810,1473,1790,1493,1750,1493,1730,1513,1710,1553,1790,1593,1710,1613,1650,1633,1530,1673,1530,1693,1590m1693,1590l1713,1550,1733,1630,1753,1570,1753,1530,1773,1550,1793,1550,1833,1590,1853,1650,1913,1770,1953,1810,1973,1790,2013,1830,2013,1790m2013,1790l2033,1710,2053,1710,2073,1770,2113,1730,2153,1770,2153,1790,2193,1750,2213,1750,2233,1710,2253,1730,2273,1730,2293,1690,2313,1770,2313,1810,2373,1810,2393,1850,2413,1870,2413,1890,2433,1890,2453,1810,2473,1830,2493,1830,2513,1790,2553,1830,2573,1830,2593,1810,2633,1810,2653,1710,2673,1590,2693,1650e" filled="false" stroked="true" strokeweight="1pt" strokecolor="#ac6e90">
              <v:path arrowok="t"/>
              <v:stroke dashstyle="solid"/>
            </v:shape>
            <v:shape style="position:absolute;left:2682;top:1300;width:420;height:360" type="#_x0000_t75" stroked="false">
              <v:imagedata r:id="rId29" o:title=""/>
            </v:shape>
            <v:shape style="position:absolute;left:3092;top:150;width:660;height:1260" coordorigin="3093,150" coordsize="660,1260" path="m3093,1410l3113,1330,3113,1310,3133,1290,3153,1230,3173,1150,3193,1110,3213,1090,3233,1090,3253,1130,3273,1110,3293,1150,3333,1110,3353,1010,3373,810,3373,830,3393,770,3413,590m3413,590l3433,630,3453,610,3473,550,3493,670,3513,750,3513,770,3533,570,3553,670,3613,610,3653,610,3653,450,3693,290,3713,150,3733,270,3753,210e" filled="false" stroked="true" strokeweight="1pt" strokecolor="#ac6e90">
              <v:path arrowok="t"/>
              <v:stroke dashstyle="solid"/>
            </v:shape>
            <v:shape style="position:absolute;left:4092;top:210;width:100;height:320" coordorigin="4093,210" coordsize="100,320" path="m4193,530l4093,530m4193,210l4093,210e" filled="false" stroked="true" strokeweight=".5pt" strokecolor="#000000">
              <v:path arrowok="t"/>
              <v:stroke dashstyle="solid"/>
            </v:shape>
            <v:shape style="position:absolute;left:3752;top:210;width:280;height:460" coordorigin="3753,210" coordsize="280,460" path="m3753,210l3773,250,3793,390,3813,350,3833,290,3853,310,3873,310,3893,450,3913,610,3913,650,3933,650,3953,670,3973,530,3993,510,4013,530,4033,570e" filled="false" stroked="true" strokeweight="1pt" strokecolor="#ac6e90">
              <v:path arrowok="t"/>
              <v:stroke dashstyle="solid"/>
            </v:shape>
            <v:shape style="position:absolute;left:1032;top:1710;width:1720;height:620" coordorigin="1033,1710" coordsize="1720,620" path="m1033,1730l1053,1730,1073,1710,1093,1730,1093,1770,1113,1810,1133,1770,1153,1830,1173,1830,1193,1870,1213,1930,1213,1950,1233,1930,1253,1850,1273,1830,1293,1890,1313,1870,1353,1910,1353,1950m1353,1950l1373,1950,1433,1890,1453,1890,1473,1910,1493,1910,1493,1950,1513,1970,1533,2030,1553,2030,1613,1970,1613,1950,1633,1950,1653,1970,1673,2010,1693,2030m1693,2030l1713,2010,1753,2050,1753,2090,1793,2050,1813,2090,1853,2090,1873,2110,1893,2150,1913,2170,1913,2210,1933,2190,1953,2230,1973,2230,1993,2250,2013,2250,2013,2190m2013,2190l2033,2170,2053,2250,2073,2250,2093,2230,2113,2230,2153,2270,2153,2330,2173,2230,2193,2190,2213,2050,2233,1870,2253,2090,2273,1990,2293,2030,2313,2050,2313,1990,2333,2010,2353,1990m2353,1990l2373,2010,2393,1990,2413,2030,2413,2010,2433,2030,2453,2010,2493,2010,2533,2050,2553,2050,2553,2070,2573,2070,2593,2030,2613,2050,2653,2050,2673,2010,2713,2010,2713,1990,2753,1990e" filled="false" stroked="true" strokeweight="1pt" strokecolor="#9aca3c">
              <v:path arrowok="t"/>
              <v:stroke dashstyle="solid"/>
            </v:shape>
            <v:shape style="position:absolute;left:2742;top:1780;width:360;height:220" type="#_x0000_t75" stroked="false">
              <v:imagedata r:id="rId30" o:title=""/>
            </v:shape>
            <v:shape style="position:absolute;left:3092;top:1490;width:660;height:340" coordorigin="3093,1490" coordsize="660,340" path="m3093,1810l3113,1830,3113,1810,3133,1830,3173,1830,3193,1790,3213,1770,3233,1730,3273,1730,3293,1690,3313,1670,3333,1690,3353,1670,3373,1690,3373,1710,3453,1630,3513,1630,3513,1610,3533,1610,3553,1650,3573,1610,3593,1610,3613,1570,3653,1530,3653,1590,3673,1570,3693,1530,3713,1530,3753,1490e" filled="false" stroked="true" strokeweight="1pt" strokecolor="#9aca3c">
              <v:path arrowok="t"/>
              <v:stroke dashstyle="solid"/>
            </v:shape>
            <v:line style="position:absolute" from="4193,1430" to="4093,1430" stroked="true" strokeweight=".5pt" strokecolor="#000000">
              <v:stroke dashstyle="solid"/>
            </v:line>
            <v:shape style="position:absolute;left:3752;top:1450;width:280;height:140" coordorigin="3753,1450" coordsize="280,140" path="m3753,1490l3773,1510,3793,1510,3813,1490,3873,1490,3893,1450,3913,1450,3913,1470,3933,1470,3973,1510,3993,1510,4013,1570,4033,1550,4033,1590e" filled="false" stroked="true" strokeweight="1pt" strokecolor="#9aca3c">
              <v:path arrowok="t"/>
              <v:stroke dashstyle="solid"/>
            </v:shape>
            <v:shape style="position:absolute;left:1032;top:1410;width:2720;height:600" coordorigin="1033,1410" coordsize="2720,600" path="m1033,1730l1053,1730,1073,1690,1093,1730,1113,1730,1153,1810,1173,1830,1193,1830,1213,1890,1233,1810,1253,1750,1273,1730,1293,1790,1313,1790,1333,1770,1353,1730m1353,1730l1373,1750,1393,1730,1413,1730,1433,1690,1453,1730,1473,1750,1493,1750,1493,1730,1513,1750,1533,1790,1553,1810,1573,1790,1593,1750,1613,1730,1633,1750,1653,1730,1673,1750,1693,1790m1693,1790l1713,1790,1753,1830,1753,1850,1773,1830,1793,1830,1813,1870,1833,1870,1853,1890,1873,1930,1893,1950,1913,1950,1913,1990,1933,1970,1953,2010,1973,1930,2013,1930,2013,1870m2013,1870l2033,1850,2053,1890,2073,1830,2153,1830,2153,1950,2173,1910,2193,1910,2213,1890,2233,1810,2253,1790,2273,1830,2293,1830,2313,1870,2353,1830m2353,1830l2373,1870,2393,1890,2413,1930,2413,1910,2433,1890,2453,1830,2473,1850,2493,1830,2553,1830,2573,1870,2593,1870,2633,1830,2653,1750,2673,1690,2693,1670m2693,1670l2713,1690,2713,1670,2733,1570,2753,1590m2753,1590l2813,1590,2833,1550,2853,1570,2853,1550,2893,1550,2913,1510,2933,1510,2973,1470,2973,1510,2993,1510,3013,1550,3033,1570,3053,1510,3073,1550,3093,1530m3093,1530l3113,1490,3113,1510,3133,1510,3153,1490,3173,1510,3193,1470,3213,1410,3233,1430,3253,1430,3273,1470,3293,1550,3313,1530,3333,1530,3353,1550,3373,1470,3373,1490,3413,1490m3413,1490l3433,1550,3493,1550,3513,1530,3513,1510,3533,1490,3553,1490,3573,1510,3593,1490,3633,1530,3653,1530,3653,1570,3673,1550,3693,1510,3713,1430,3733,1430,3753,1450e" filled="false" stroked="true" strokeweight="1pt" strokecolor="#00a995">
              <v:path arrowok="t"/>
              <v:stroke dashstyle="solid"/>
            </v:shape>
            <v:line style="position:absolute" from="4193,1730" to="4093,1730" stroked="true" strokeweight=".5pt" strokecolor="#000000">
              <v:stroke dashstyle="solid"/>
            </v:line>
            <v:shape style="position:absolute;left:3752;top:1430;width:280;height:220" coordorigin="3753,1430" coordsize="280,220" path="m3753,1450l3773,1430,3773,1490,3793,1510,3813,1510,3833,1470,3853,1490,3873,1490,3913,1570,3913,1610,3933,1610,3953,1570,3973,1630,3993,1610,4033,1610,4033,1650e" filled="false" stroked="true" strokeweight="1pt" strokecolor="#00a995">
              <v:path arrowok="t"/>
              <v:stroke dashstyle="solid"/>
            </v:shape>
            <v:line style="position:absolute" from="973,1430" to="873,1430" stroked="true" strokeweight=".5pt" strokecolor="#000000">
              <v:stroke dashstyle="solid"/>
            </v:line>
            <v:shape style="position:absolute;left:1032;top:1470;width:1320;height:1340" coordorigin="1033,1470" coordsize="1320,1340" path="m1033,1730l1053,1590,1073,1470,1093,1470,1113,1490,1153,1650,1173,1690,1193,1690,1213,1790,1213,1730,1233,1670,1293,1730,1313,1730,1333,1690,1353,1730,1353,1790m1353,1790l1373,1870,1393,1870,1413,1930,1433,1930,1453,1890,1493,1970,1493,1990,1513,1990,1533,1930,1553,1830,1573,1650,1593,1610,1613,1670,1613,1590,1633,1590,1653,1650,1673,1750,1693,1830m1693,1830l1713,1830,1733,1950,1753,1910,1773,1890,1793,1890,1813,1930,1833,1910,1873,1990,1893,2010,1913,2090,1913,2170,1933,2190,1953,2230,1973,2150,1993,2190,2013,2310,2013,2370m2013,2370l2033,2410,2053,2430,2073,2410,2093,2450,2113,2510,2133,2690,2153,2690,2173,2670,2193,2730,2213,2770,2253,2810,2273,2810,2293,2750,2313,2730,2313,2690,2333,2710,2353,2670e" filled="false" stroked="true" strokeweight="1pt" strokecolor="#0099d8">
              <v:path arrowok="t"/>
              <v:stroke dashstyle="solid"/>
            </v:shape>
            <v:shape style="position:absolute;left:2342;top:2660;width:360;height:180" type="#_x0000_t75" stroked="false">
              <v:imagedata r:id="rId31" o:title=""/>
            </v:shape>
            <v:shape style="position:absolute;left:2692;top:2730;width:1340;height:100" coordorigin="2693,2730" coordsize="1340,100" path="m2693,2810l2713,2790,2713,2730,2773,2790,2793,2770,2833,2770,2853,2790,2933,2790,2953,2770,3053,2770,3073,2790,3173,2790,3193,2770,3313,2770,3353,2810,3453,2810,3473,2830,3493,2810,3513,2810,3513,2830,3533,2810,3653,2810,3673,2830,4033,2830e" filled="false" stroked="true" strokeweight="1pt" strokecolor="#0099d8">
              <v:path arrowok="t"/>
              <v:stroke dashstyle="solid"/>
            </v:shape>
            <v:shape style="position:absolute;left:1392;top:2860;width:2600;height:70" coordorigin="1393,2860" coordsize="2600,70" path="m1393,2930l1393,2890m1793,2930l1793,2890m2153,2930l2153,2890m2533,2930l2533,2890m2913,2930l2913,2890m3273,2930l3273,2890m3633,2930l3633,2860m3993,2930l3993,2890e" filled="false" stroked="true" strokeweight=".5pt" strokecolor="#000000">
              <v:path arrowok="t"/>
              <v:stroke dashstyle="solid"/>
            </v:shape>
            <v:shape style="position:absolute;left:3276;top:1246;width:540;height:593" type="#_x0000_t202" filled="false" stroked="false">
              <v:textbox inset="0,0,0,0">
                <w:txbxContent>
                  <w:p>
                    <w:pPr>
                      <w:spacing w:line="172" w:lineRule="auto" w:before="26"/>
                      <w:ind w:left="66" w:right="187" w:hanging="67"/>
                      <w:jc w:val="left"/>
                      <w:rPr>
                        <w:sz w:val="12"/>
                      </w:rPr>
                    </w:pPr>
                    <w:r>
                      <w:rPr>
                        <w:sz w:val="12"/>
                      </w:rPr>
                      <w:t>Hong Kong</w:t>
                    </w:r>
                  </w:p>
                  <w:p>
                    <w:pPr>
                      <w:spacing w:line="240" w:lineRule="auto" w:before="0"/>
                      <w:rPr>
                        <w:sz w:val="12"/>
                      </w:rPr>
                    </w:pPr>
                  </w:p>
                  <w:p>
                    <w:pPr>
                      <w:spacing w:before="92"/>
                      <w:ind w:left="80" w:right="0" w:firstLine="0"/>
                      <w:jc w:val="left"/>
                      <w:rPr>
                        <w:sz w:val="12"/>
                      </w:rPr>
                    </w:pPr>
                    <w:r>
                      <w:rPr>
                        <w:sz w:val="12"/>
                      </w:rPr>
                      <w:t>Malaysia</w:t>
                    </w:r>
                  </w:p>
                </w:txbxContent>
              </v:textbox>
              <w10:wrap type="none"/>
            </v:shape>
            <v:shape style="position:absolute;left:2822;top:2159;width:314;height:133" type="#_x0000_t202" filled="false" stroked="false">
              <v:textbox inset="0,0,0,0">
                <w:txbxContent>
                  <w:p>
                    <w:pPr>
                      <w:spacing w:line="133" w:lineRule="exact" w:before="0"/>
                      <w:ind w:left="0" w:right="0" w:firstLine="0"/>
                      <w:jc w:val="left"/>
                      <w:rPr>
                        <w:sz w:val="12"/>
                      </w:rPr>
                    </w:pPr>
                    <w:r>
                      <w:rPr>
                        <w:sz w:val="12"/>
                      </w:rPr>
                      <w:t>Brazil</w:t>
                    </w:r>
                  </w:p>
                </w:txbxContent>
              </v:textbox>
              <w10:wrap type="none"/>
            </v:shape>
            <v:shape style="position:absolute;left:3589;top:2679;width:341;height:133" type="#_x0000_t202" filled="false" stroked="false">
              <v:textbox inset="0,0,0,0">
                <w:txbxContent>
                  <w:p>
                    <w:pPr>
                      <w:spacing w:line="133" w:lineRule="exact" w:before="0"/>
                      <w:ind w:left="0" w:right="0" w:firstLine="0"/>
                      <w:jc w:val="left"/>
                      <w:rPr>
                        <w:sz w:val="12"/>
                      </w:rPr>
                    </w:pPr>
                    <w:r>
                      <w:rPr>
                        <w:sz w:val="12"/>
                      </w:rPr>
                      <w:t>Russia</w:t>
                    </w:r>
                  </w:p>
                </w:txbxContent>
              </v:textbox>
              <w10:wrap type="none"/>
            </v:shape>
            <w10:wrap type="none"/>
          </v:group>
        </w:pict>
      </w:r>
      <w:r>
        <w:rPr>
          <w:sz w:val="12"/>
        </w:rPr>
        <w:t>South Korea</w:t>
      </w:r>
    </w:p>
    <w:p>
      <w:pPr>
        <w:pStyle w:val="Heading4"/>
        <w:spacing w:line="242" w:lineRule="auto" w:before="2"/>
        <w:ind w:left="182" w:right="142"/>
      </w:pPr>
      <w:r>
        <w:rPr/>
        <w:br w:type="column"/>
      </w:r>
      <w:r>
        <w:rPr/>
        <w:t>be thought of as the discounted stream of real dividend payments derived from that equity. So changes in equity values reflect changes either in expectations about future real earnings, or in the discount factor, which is made up of a risk-free real return and a risk premium.</w:t>
      </w:r>
      <w:r>
        <w:rPr>
          <w:position w:val="5"/>
          <w:sz w:val="16"/>
        </w:rPr>
        <w:t>(1) </w:t>
      </w:r>
      <w:r>
        <w:rPr/>
        <w:t>The</w:t>
      </w:r>
    </w:p>
    <w:p>
      <w:pPr>
        <w:spacing w:line="242" w:lineRule="auto" w:before="6"/>
        <w:ind w:left="182" w:right="142" w:firstLine="0"/>
        <w:jc w:val="left"/>
        <w:rPr>
          <w:sz w:val="24"/>
        </w:rPr>
      </w:pPr>
      <w:r>
        <w:rPr>
          <w:sz w:val="24"/>
        </w:rPr>
        <w:t>risk-free real return as proxied by the real yield on government bonds has fallen, as noted above. Chart 1.16</w:t>
      </w:r>
    </w:p>
    <w:p>
      <w:pPr>
        <w:spacing w:after="0" w:line="242" w:lineRule="auto"/>
        <w:jc w:val="left"/>
        <w:rPr>
          <w:sz w:val="24"/>
        </w:rPr>
        <w:sectPr>
          <w:type w:val="continuous"/>
          <w:pgSz w:w="11900" w:h="16840"/>
          <w:pgMar w:top="1220" w:bottom="280" w:left="640" w:right="600"/>
          <w:cols w:num="2" w:equalWidth="0">
            <w:col w:w="3803" w:space="974"/>
            <w:col w:w="5883"/>
          </w:cols>
        </w:sectPr>
      </w:pPr>
    </w:p>
    <w:p>
      <w:pPr>
        <w:pStyle w:val="BodyText"/>
        <w:spacing w:before="11"/>
        <w:rPr>
          <w:sz w:val="7"/>
        </w:rPr>
      </w:pPr>
    </w:p>
    <w:p>
      <w:pPr>
        <w:pStyle w:val="BodyText"/>
        <w:spacing w:line="20" w:lineRule="exact"/>
        <w:ind w:left="227"/>
        <w:rPr>
          <w:sz w:val="2"/>
        </w:rPr>
      </w:pPr>
      <w:r>
        <w:rPr>
          <w:sz w:val="2"/>
        </w:rPr>
        <w:pict>
          <v:group style="width:5pt;height:.5pt;mso-position-horizontal-relative:char;mso-position-vertical-relative:line" coordorigin="0,0" coordsize="100,10">
            <v:line style="position:absolute" from="100,5" to="0,5" stroked="true" strokeweight=".5pt" strokecolor="#000000">
              <v:stroke dashstyle="solid"/>
            </v:line>
          </v:group>
        </w:pict>
      </w:r>
      <w:r>
        <w:rPr>
          <w:sz w:val="2"/>
        </w:rPr>
      </w:r>
    </w:p>
    <w:p>
      <w:pPr>
        <w:pStyle w:val="BodyText"/>
        <w:spacing w:before="8"/>
        <w:rPr>
          <w:sz w:val="22"/>
        </w:rPr>
      </w:pPr>
      <w:r>
        <w:rPr/>
        <w:pict>
          <v:shape style="position:absolute;margin-left:43.639999pt;margin-top:15.259026pt;width:5pt;height:.1pt;mso-position-horizontal-relative:page;mso-position-vertical-relative:paragraph;z-index:-15649792;mso-wrap-distance-left:0;mso-wrap-distance-right:0" coordorigin="873,305" coordsize="100,0" path="m973,305l873,305e" filled="false" stroked="true" strokeweight=".5pt" strokecolor="#000000">
            <v:path arrowok="t"/>
            <v:stroke dashstyle="solid"/>
            <w10:wrap type="topAndBottom"/>
          </v:shape>
        </w:pict>
      </w:r>
      <w:r>
        <w:rPr/>
        <w:pict>
          <v:shape style="position:absolute;margin-left:43.639999pt;margin-top:30.259026pt;width:5pt;height:.1pt;mso-position-horizontal-relative:page;mso-position-vertical-relative:paragraph;z-index:-15649280;mso-wrap-distance-left:0;mso-wrap-distance-right:0" coordorigin="873,605" coordsize="100,0" path="m973,605l873,605e" filled="false" stroked="true" strokeweight=".5pt" strokecolor="#000000">
            <v:path arrowok="t"/>
            <v:stroke dashstyle="solid"/>
            <w10:wrap type="topAndBottom"/>
          </v:shape>
        </w:pict>
      </w:r>
      <w:r>
        <w:rPr/>
        <w:pict>
          <v:shape style="position:absolute;margin-left:43.639999pt;margin-top:45.259026pt;width:5pt;height:.1pt;mso-position-horizontal-relative:page;mso-position-vertical-relative:paragraph;z-index:-15648768;mso-wrap-distance-left:0;mso-wrap-distance-right:0" coordorigin="873,905" coordsize="100,0" path="m973,905l873,905e" filled="false" stroked="true" strokeweight=".5pt" strokecolor="#000000">
            <v:path arrowok="t"/>
            <v:stroke dashstyle="solid"/>
            <w10:wrap type="topAndBottom"/>
          </v:shape>
        </w:pict>
      </w:r>
    </w:p>
    <w:p>
      <w:pPr>
        <w:pStyle w:val="BodyText"/>
        <w:spacing w:before="3"/>
        <w:rPr>
          <w:sz w:val="19"/>
        </w:rPr>
      </w:pPr>
    </w:p>
    <w:p>
      <w:pPr>
        <w:pStyle w:val="BodyText"/>
        <w:spacing w:before="3"/>
        <w:rPr>
          <w:sz w:val="19"/>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17"/>
        </w:rPr>
      </w:pPr>
      <w:r>
        <w:rPr/>
        <w:pict>
          <v:shape style="position:absolute;margin-left:43.639999pt;margin-top:12.303906pt;width:5pt;height:.1pt;mso-position-horizontal-relative:page;mso-position-vertical-relative:paragraph;z-index:-15648256;mso-wrap-distance-left:0;mso-wrap-distance-right:0" coordorigin="873,246" coordsize="100,0" path="m973,246l873,246e" filled="false" stroked="true" strokeweight=".5pt" strokecolor="#000000">
            <v:path arrowok="t"/>
            <v:stroke dashstyle="solid"/>
            <w10:wrap type="topAndBottom"/>
          </v:shape>
        </w:pict>
      </w:r>
      <w:r>
        <w:rPr/>
        <w:pict>
          <v:shape style="position:absolute;margin-left:43.639999pt;margin-top:27.303905pt;width:5pt;height:.1pt;mso-position-horizontal-relative:page;mso-position-vertical-relative:paragraph;z-index:-15647744;mso-wrap-distance-left:0;mso-wrap-distance-right:0" coordorigin="873,546" coordsize="100,0" path="m973,546l873,546e" filled="false" stroked="true" strokeweight=".5pt" strokecolor="#000000">
            <v:path arrowok="t"/>
            <v:stroke dashstyle="solid"/>
            <w10:wrap type="topAndBottom"/>
          </v:shape>
        </w:pict>
      </w:r>
    </w:p>
    <w:p>
      <w:pPr>
        <w:pStyle w:val="BodyText"/>
        <w:spacing w:before="3"/>
        <w:rPr>
          <w:sz w:val="19"/>
        </w:rPr>
      </w:pPr>
    </w:p>
    <w:p>
      <w:pPr>
        <w:pStyle w:val="BodyText"/>
        <w:rPr>
          <w:sz w:val="12"/>
        </w:rPr>
      </w:pPr>
    </w:p>
    <w:p>
      <w:pPr>
        <w:pStyle w:val="BodyText"/>
        <w:spacing w:before="11"/>
        <w:rPr>
          <w:sz w:val="10"/>
        </w:rPr>
      </w:pPr>
    </w:p>
    <w:p>
      <w:pPr>
        <w:spacing w:before="0"/>
        <w:ind w:left="402" w:right="0" w:firstLine="0"/>
        <w:jc w:val="left"/>
        <w:rPr>
          <w:sz w:val="12"/>
        </w:rPr>
      </w:pPr>
      <w:r>
        <w:rPr>
          <w:sz w:val="12"/>
        </w:rPr>
        <w:t>June</w:t>
      </w:r>
    </w:p>
    <w:p>
      <w:pPr>
        <w:spacing w:line="126" w:lineRule="exact" w:before="22"/>
        <w:ind w:left="562" w:right="0" w:firstLine="0"/>
        <w:jc w:val="left"/>
        <w:rPr>
          <w:sz w:val="12"/>
        </w:rPr>
      </w:pPr>
      <w:r>
        <w:rPr>
          <w:sz w:val="12"/>
        </w:rPr>
        <w:t>1998</w:t>
      </w:r>
    </w:p>
    <w:p>
      <w:pPr>
        <w:pStyle w:val="BodyText"/>
        <w:rPr>
          <w:sz w:val="12"/>
        </w:rPr>
      </w:pPr>
      <w:r>
        <w:rPr/>
        <w:br w:type="column"/>
      </w:r>
      <w:r>
        <w:rPr>
          <w:sz w:val="12"/>
        </w:rPr>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8"/>
        <w:rPr>
          <w:sz w:val="16"/>
        </w:rPr>
      </w:pPr>
    </w:p>
    <w:p>
      <w:pPr>
        <w:spacing w:before="1"/>
        <w:ind w:left="-20" w:right="54" w:firstLine="0"/>
        <w:jc w:val="right"/>
        <w:rPr>
          <w:sz w:val="12"/>
        </w:rPr>
      </w:pPr>
      <w:r>
        <w:rPr>
          <w:sz w:val="12"/>
        </w:rPr>
        <w:t>July     Aug.      Sept.     Oct.      Nov.   </w:t>
      </w:r>
      <w:r>
        <w:rPr>
          <w:spacing w:val="18"/>
          <w:sz w:val="12"/>
        </w:rPr>
        <w:t> </w:t>
      </w:r>
      <w:r>
        <w:rPr>
          <w:spacing w:val="-4"/>
          <w:sz w:val="12"/>
        </w:rPr>
        <w:t>Dec.</w:t>
      </w:r>
    </w:p>
    <w:p>
      <w:pPr>
        <w:spacing w:line="126" w:lineRule="exact" w:before="22"/>
        <w:ind w:left="-20" w:right="0" w:firstLine="0"/>
        <w:jc w:val="right"/>
        <w:rPr>
          <w:sz w:val="12"/>
        </w:rPr>
      </w:pPr>
      <w:r>
        <w:rPr>
          <w:sz w:val="12"/>
        </w:rPr>
        <w:t>99</w:t>
      </w:r>
    </w:p>
    <w:p>
      <w:pPr>
        <w:pStyle w:val="BodyText"/>
        <w:rPr>
          <w:sz w:val="12"/>
        </w:rPr>
      </w:pPr>
      <w:r>
        <w:rPr/>
        <w:br w:type="column"/>
      </w:r>
      <w:r>
        <w:rPr>
          <w:sz w:val="12"/>
        </w:rPr>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8"/>
        <w:rPr>
          <w:sz w:val="16"/>
        </w:rPr>
      </w:pPr>
    </w:p>
    <w:p>
      <w:pPr>
        <w:spacing w:before="1"/>
        <w:ind w:left="19" w:right="0" w:firstLine="0"/>
        <w:jc w:val="left"/>
        <w:rPr>
          <w:sz w:val="12"/>
        </w:rPr>
      </w:pPr>
      <w:r>
        <w:rPr>
          <w:sz w:val="12"/>
        </w:rPr>
        <w:t>Jan.</w:t>
      </w:r>
    </w:p>
    <w:p>
      <w:pPr>
        <w:spacing w:before="28"/>
        <w:ind w:left="0" w:right="38" w:firstLine="0"/>
        <w:jc w:val="right"/>
        <w:rPr>
          <w:sz w:val="12"/>
        </w:rPr>
      </w:pPr>
      <w:r>
        <w:rPr/>
        <w:br w:type="column"/>
      </w:r>
      <w:r>
        <w:rPr>
          <w:sz w:val="12"/>
        </w:rPr>
        <w:t>225</w:t>
      </w:r>
    </w:p>
    <w:p>
      <w:pPr>
        <w:pStyle w:val="BodyText"/>
        <w:spacing w:before="9"/>
        <w:rPr>
          <w:sz w:val="15"/>
        </w:rPr>
      </w:pPr>
    </w:p>
    <w:p>
      <w:pPr>
        <w:spacing w:before="0"/>
        <w:ind w:left="0" w:right="38" w:firstLine="0"/>
        <w:jc w:val="right"/>
        <w:rPr>
          <w:sz w:val="12"/>
        </w:rPr>
      </w:pPr>
      <w:r>
        <w:rPr>
          <w:sz w:val="12"/>
        </w:rPr>
        <w:t>200</w:t>
      </w:r>
    </w:p>
    <w:p>
      <w:pPr>
        <w:pStyle w:val="BodyText"/>
        <w:spacing w:before="1"/>
        <w:rPr>
          <w:sz w:val="14"/>
        </w:rPr>
      </w:pPr>
    </w:p>
    <w:p>
      <w:pPr>
        <w:spacing w:before="0"/>
        <w:ind w:left="0" w:right="38" w:firstLine="0"/>
        <w:jc w:val="right"/>
        <w:rPr>
          <w:sz w:val="12"/>
        </w:rPr>
      </w:pPr>
      <w:r>
        <w:rPr/>
        <w:pict>
          <v:line style="position:absolute;mso-position-horizontal-relative:page;mso-position-vertical-relative:paragraph;z-index:15814656" from="209.639999pt,3.43457pt" to="204.639999pt,3.43457pt" stroked="true" strokeweight=".5pt" strokecolor="#000000">
            <v:stroke dashstyle="solid"/>
            <w10:wrap type="none"/>
          </v:line>
        </w:pict>
      </w:r>
      <w:r>
        <w:rPr>
          <w:sz w:val="12"/>
        </w:rPr>
        <w:t>175</w:t>
      </w:r>
    </w:p>
    <w:p>
      <w:pPr>
        <w:pStyle w:val="BodyText"/>
        <w:spacing w:before="1"/>
        <w:rPr>
          <w:sz w:val="14"/>
        </w:rPr>
      </w:pPr>
    </w:p>
    <w:p>
      <w:pPr>
        <w:spacing w:before="0"/>
        <w:ind w:left="0" w:right="38" w:firstLine="0"/>
        <w:jc w:val="right"/>
        <w:rPr>
          <w:sz w:val="12"/>
        </w:rPr>
      </w:pPr>
      <w:r>
        <w:rPr/>
        <w:pict>
          <v:line style="position:absolute;mso-position-horizontal-relative:page;mso-position-vertical-relative:paragraph;z-index:15814144" from="209.639999pt,3.43457pt" to="204.639999pt,3.43457pt" stroked="true" strokeweight=".5pt" strokecolor="#000000">
            <v:stroke dashstyle="solid"/>
            <w10:wrap type="none"/>
          </v:line>
        </w:pict>
      </w:r>
      <w:r>
        <w:rPr>
          <w:sz w:val="12"/>
        </w:rPr>
        <w:t>150</w:t>
      </w:r>
    </w:p>
    <w:p>
      <w:pPr>
        <w:pStyle w:val="BodyText"/>
        <w:spacing w:before="1"/>
        <w:rPr>
          <w:sz w:val="14"/>
        </w:rPr>
      </w:pPr>
    </w:p>
    <w:p>
      <w:pPr>
        <w:spacing w:before="0"/>
        <w:ind w:left="0" w:right="38" w:firstLine="0"/>
        <w:jc w:val="right"/>
        <w:rPr>
          <w:sz w:val="12"/>
        </w:rPr>
      </w:pPr>
      <w:r>
        <w:rPr>
          <w:sz w:val="12"/>
        </w:rPr>
        <w:t>125</w:t>
      </w:r>
    </w:p>
    <w:p>
      <w:pPr>
        <w:pStyle w:val="BodyText"/>
        <w:spacing w:before="1"/>
        <w:rPr>
          <w:sz w:val="14"/>
        </w:rPr>
      </w:pPr>
    </w:p>
    <w:p>
      <w:pPr>
        <w:spacing w:before="0"/>
        <w:ind w:left="0" w:right="38" w:firstLine="0"/>
        <w:jc w:val="right"/>
        <w:rPr>
          <w:sz w:val="12"/>
        </w:rPr>
      </w:pPr>
      <w:r>
        <w:rPr>
          <w:sz w:val="12"/>
        </w:rPr>
        <w:t>100</w:t>
      </w:r>
    </w:p>
    <w:p>
      <w:pPr>
        <w:pStyle w:val="BodyText"/>
        <w:spacing w:before="1"/>
        <w:rPr>
          <w:sz w:val="14"/>
        </w:rPr>
      </w:pPr>
    </w:p>
    <w:p>
      <w:pPr>
        <w:spacing w:before="0"/>
        <w:ind w:left="0" w:right="38" w:firstLine="0"/>
        <w:jc w:val="right"/>
        <w:rPr>
          <w:sz w:val="12"/>
        </w:rPr>
      </w:pPr>
      <w:r>
        <w:rPr/>
        <w:pict>
          <v:line style="position:absolute;mso-position-horizontal-relative:page;mso-position-vertical-relative:paragraph;z-index:15813632" from="209.639999pt,3.43457pt" to="204.639999pt,3.43457pt" stroked="true" strokeweight=".5pt" strokecolor="#000000">
            <v:stroke dashstyle="solid"/>
            <w10:wrap type="none"/>
          </v:line>
        </w:pict>
      </w:r>
      <w:r>
        <w:rPr>
          <w:sz w:val="12"/>
        </w:rPr>
        <w:t>75</w:t>
      </w:r>
    </w:p>
    <w:p>
      <w:pPr>
        <w:pStyle w:val="BodyText"/>
        <w:spacing w:before="1"/>
        <w:rPr>
          <w:sz w:val="14"/>
        </w:rPr>
      </w:pPr>
    </w:p>
    <w:p>
      <w:pPr>
        <w:spacing w:before="0"/>
        <w:ind w:left="0" w:right="38" w:firstLine="0"/>
        <w:jc w:val="right"/>
        <w:rPr>
          <w:sz w:val="12"/>
        </w:rPr>
      </w:pPr>
      <w:r>
        <w:rPr>
          <w:sz w:val="12"/>
        </w:rPr>
        <w:t>50</w:t>
      </w:r>
    </w:p>
    <w:p>
      <w:pPr>
        <w:pStyle w:val="BodyText"/>
        <w:spacing w:before="1"/>
        <w:rPr>
          <w:sz w:val="14"/>
        </w:rPr>
      </w:pPr>
    </w:p>
    <w:p>
      <w:pPr>
        <w:spacing w:before="0"/>
        <w:ind w:left="0" w:right="38" w:firstLine="0"/>
        <w:jc w:val="right"/>
        <w:rPr>
          <w:sz w:val="12"/>
        </w:rPr>
      </w:pPr>
      <w:r>
        <w:rPr/>
        <w:pict>
          <v:line style="position:absolute;mso-position-horizontal-relative:page;mso-position-vertical-relative:paragraph;z-index:15813120" from="209.639999pt,3.43457pt" to="204.639999pt,3.43457pt" stroked="true" strokeweight=".5pt" strokecolor="#000000">
            <v:stroke dashstyle="solid"/>
            <w10:wrap type="none"/>
          </v:line>
        </w:pict>
      </w:r>
      <w:r>
        <w:rPr>
          <w:sz w:val="12"/>
        </w:rPr>
        <w:t>25</w:t>
      </w:r>
    </w:p>
    <w:p>
      <w:pPr>
        <w:pStyle w:val="BodyText"/>
        <w:spacing w:before="1"/>
        <w:rPr>
          <w:sz w:val="14"/>
        </w:rPr>
      </w:pPr>
    </w:p>
    <w:p>
      <w:pPr>
        <w:spacing w:before="0"/>
        <w:ind w:left="0" w:right="38" w:firstLine="0"/>
        <w:jc w:val="right"/>
        <w:rPr>
          <w:sz w:val="12"/>
        </w:rPr>
      </w:pPr>
      <w:r>
        <w:rPr>
          <w:sz w:val="12"/>
        </w:rPr>
        <w:t>0</w:t>
      </w:r>
    </w:p>
    <w:p>
      <w:pPr>
        <w:pStyle w:val="Heading4"/>
        <w:spacing w:line="266" w:lineRule="exact"/>
        <w:ind w:left="402"/>
        <w:rPr>
          <w:sz w:val="20"/>
        </w:rPr>
      </w:pPr>
      <w:r>
        <w:rPr/>
        <w:br w:type="column"/>
      </w:r>
      <w:r>
        <w:rPr/>
        <w:t>shows that the recent rapid increase in the F</w:t>
      </w:r>
      <w:r>
        <w:rPr>
          <w:sz w:val="20"/>
        </w:rPr>
        <w:t>T-SE</w:t>
      </w:r>
    </w:p>
    <w:p>
      <w:pPr>
        <w:spacing w:line="242" w:lineRule="auto" w:before="4"/>
        <w:ind w:left="402" w:right="135" w:firstLine="0"/>
        <w:jc w:val="left"/>
        <w:rPr>
          <w:sz w:val="24"/>
        </w:rPr>
      </w:pPr>
      <w:r>
        <w:rPr>
          <w:sz w:val="24"/>
        </w:rPr>
        <w:t>All-Share Index appears to be more closely correlated with falling real bond yields than with rising profits. Estimates of the equity risk premium vary widely, but most have fallen in recent years. In general, the recovery in share prices in industrialised economies has not been evenly spread between different industrial sectors and f</w:t>
      </w:r>
      <w:hyperlink w:history="true" w:anchor="_bookmark8">
        <w:r>
          <w:rPr>
            <w:sz w:val="24"/>
          </w:rPr>
          <w:t>irm size. The box on page 11</w:t>
        </w:r>
      </w:hyperlink>
      <w:r>
        <w:rPr>
          <w:sz w:val="24"/>
        </w:rPr>
        <w:t> considers the sectoral equity price split in the United Kingdom, the major European markets and the United States.</w:t>
      </w:r>
    </w:p>
    <w:p>
      <w:pPr>
        <w:spacing w:after="0" w:line="242" w:lineRule="auto"/>
        <w:jc w:val="left"/>
        <w:rPr>
          <w:sz w:val="24"/>
        </w:rPr>
        <w:sectPr>
          <w:type w:val="continuous"/>
          <w:pgSz w:w="11900" w:h="16840"/>
          <w:pgMar w:top="1220" w:bottom="280" w:left="640" w:right="600"/>
          <w:cols w:num="5" w:equalWidth="0">
            <w:col w:w="803" w:space="40"/>
            <w:col w:w="2180" w:space="39"/>
            <w:col w:w="210" w:space="40"/>
            <w:col w:w="491" w:space="755"/>
            <w:col w:w="6102"/>
          </w:cols>
        </w:sectPr>
      </w:pPr>
    </w:p>
    <w:p>
      <w:pPr>
        <w:spacing w:before="47"/>
        <w:ind w:left="182" w:right="0" w:firstLine="0"/>
        <w:jc w:val="left"/>
        <w:rPr>
          <w:sz w:val="12"/>
        </w:rPr>
      </w:pPr>
      <w:r>
        <w:rPr>
          <w:sz w:val="12"/>
        </w:rPr>
        <w:t>(a)    In US</w:t>
      </w:r>
      <w:r>
        <w:rPr>
          <w:spacing w:val="-14"/>
          <w:sz w:val="12"/>
        </w:rPr>
        <w:t> </w:t>
      </w:r>
      <w:r>
        <w:rPr>
          <w:sz w:val="12"/>
        </w:rPr>
        <w:t>dollars.</w:t>
      </w:r>
    </w:p>
    <w:p>
      <w:pPr>
        <w:pStyle w:val="BodyText"/>
        <w:rPr>
          <w:sz w:val="12"/>
        </w:rPr>
      </w:pPr>
    </w:p>
    <w:p>
      <w:pPr>
        <w:pStyle w:val="BodyText"/>
        <w:rPr>
          <w:sz w:val="12"/>
        </w:rPr>
      </w:pPr>
    </w:p>
    <w:p>
      <w:pPr>
        <w:pStyle w:val="BodyText"/>
        <w:spacing w:before="3"/>
        <w:rPr>
          <w:sz w:val="13"/>
        </w:rPr>
      </w:pPr>
    </w:p>
    <w:p>
      <w:pPr>
        <w:pStyle w:val="Heading7"/>
        <w:spacing w:before="0"/>
        <w:ind w:left="170"/>
      </w:pPr>
      <w:r>
        <w:rPr>
          <w:color w:val="0093C1"/>
        </w:rPr>
        <w:t>Chart 1.16</w:t>
      </w:r>
    </w:p>
    <w:p>
      <w:pPr>
        <w:spacing w:before="10"/>
        <w:ind w:left="170" w:right="0" w:firstLine="0"/>
        <w:jc w:val="left"/>
        <w:rPr>
          <w:b/>
          <w:sz w:val="20"/>
        </w:rPr>
      </w:pPr>
      <w:r>
        <w:rPr>
          <w:b/>
          <w:color w:val="0093C1"/>
          <w:sz w:val="20"/>
        </w:rPr>
        <w:t>Equity prices, profits and the real discount rate</w:t>
      </w:r>
    </w:p>
    <w:p>
      <w:pPr>
        <w:spacing w:line="242" w:lineRule="auto" w:before="0"/>
        <w:ind w:left="170" w:right="208" w:firstLine="0"/>
        <w:jc w:val="left"/>
        <w:rPr>
          <w:sz w:val="24"/>
        </w:rPr>
      </w:pPr>
      <w:r>
        <w:rPr/>
        <w:br w:type="column"/>
      </w:r>
      <w:r>
        <w:rPr>
          <w:sz w:val="24"/>
        </w:rPr>
        <w:t>The MPC assumes that there is a greater risk of a fall in UK equity prices than of a further rise, relative to the central case assumption of growth in line with nominal demand.</w:t>
      </w:r>
    </w:p>
    <w:p>
      <w:pPr>
        <w:spacing w:after="0" w:line="242" w:lineRule="auto"/>
        <w:jc w:val="left"/>
        <w:rPr>
          <w:sz w:val="24"/>
        </w:rPr>
        <w:sectPr>
          <w:type w:val="continuous"/>
          <w:pgSz w:w="11900" w:h="16840"/>
          <w:pgMar w:top="1220" w:bottom="280" w:left="640" w:right="600"/>
          <w:cols w:num="2" w:equalWidth="0">
            <w:col w:w="4255" w:space="535"/>
            <w:col w:w="5870"/>
          </w:cols>
        </w:sectPr>
      </w:pPr>
    </w:p>
    <w:p>
      <w:pPr>
        <w:spacing w:before="34"/>
        <w:ind w:left="180" w:right="0" w:firstLine="0"/>
        <w:jc w:val="left"/>
        <w:rPr>
          <w:sz w:val="12"/>
        </w:rPr>
      </w:pPr>
      <w:r>
        <w:rPr>
          <w:position w:val="-3"/>
          <w:sz w:val="12"/>
        </w:rPr>
        <w:t>0</w:t>
      </w:r>
      <w:r>
        <w:rPr>
          <w:sz w:val="12"/>
          <w:u w:val="single"/>
        </w:rPr>
        <w:t> P</w:t>
      </w:r>
      <w:r>
        <w:rPr>
          <w:sz w:val="12"/>
        </w:rPr>
        <w:t>er cent</w:t>
      </w:r>
    </w:p>
    <w:p>
      <w:pPr>
        <w:spacing w:before="34"/>
        <w:ind w:left="526" w:right="0" w:firstLine="0"/>
        <w:jc w:val="left"/>
        <w:rPr>
          <w:sz w:val="12"/>
        </w:rPr>
      </w:pPr>
      <w:r>
        <w:rPr/>
        <w:br w:type="column"/>
      </w:r>
      <w:r>
        <w:rPr>
          <w:sz w:val="12"/>
        </w:rPr>
        <w:t>1987 Q1 = 5</w:t>
      </w:r>
      <w:r>
        <w:rPr>
          <w:sz w:val="12"/>
          <w:u w:val="single"/>
        </w:rPr>
        <w:t>00</w:t>
      </w:r>
      <w:r>
        <w:rPr>
          <w:sz w:val="12"/>
        </w:rPr>
        <w:t> </w:t>
      </w:r>
      <w:r>
        <w:rPr>
          <w:position w:val="-8"/>
          <w:sz w:val="12"/>
        </w:rPr>
        <w:t>1750</w:t>
      </w:r>
    </w:p>
    <w:p>
      <w:pPr>
        <w:spacing w:line="125" w:lineRule="exact" w:before="112"/>
        <w:ind w:left="180" w:right="0" w:firstLine="0"/>
        <w:jc w:val="left"/>
        <w:rPr>
          <w:sz w:val="12"/>
        </w:rPr>
      </w:pPr>
      <w:r>
        <w:rPr>
          <w:sz w:val="12"/>
        </w:rPr>
        <w:t>FT-SE All-Share</w:t>
      </w:r>
    </w:p>
    <w:p>
      <w:pPr>
        <w:pStyle w:val="BodyText"/>
        <w:spacing w:before="7"/>
        <w:rPr>
          <w:sz w:val="25"/>
        </w:rPr>
      </w:pPr>
      <w:r>
        <w:rPr/>
        <w:br w:type="column"/>
      </w:r>
      <w:r>
        <w:rPr>
          <w:sz w:val="25"/>
        </w:rPr>
      </w:r>
    </w:p>
    <w:p>
      <w:pPr>
        <w:spacing w:line="204" w:lineRule="exact" w:before="0"/>
        <w:ind w:left="180" w:right="0" w:firstLine="0"/>
        <w:jc w:val="left"/>
        <w:rPr>
          <w:i/>
          <w:sz w:val="24"/>
        </w:rPr>
      </w:pPr>
      <w:r>
        <w:rPr>
          <w:i/>
          <w:color w:val="009483"/>
          <w:sz w:val="24"/>
        </w:rPr>
        <w:t>Property prices</w:t>
      </w:r>
    </w:p>
    <w:p>
      <w:pPr>
        <w:spacing w:after="0" w:line="204" w:lineRule="exact"/>
        <w:jc w:val="left"/>
        <w:rPr>
          <w:sz w:val="24"/>
        </w:rPr>
        <w:sectPr>
          <w:type w:val="continuous"/>
          <w:pgSz w:w="11900" w:h="16840"/>
          <w:pgMar w:top="1220" w:bottom="280" w:left="640" w:right="600"/>
          <w:cols w:num="3" w:equalWidth="0">
            <w:col w:w="730" w:space="1656"/>
            <w:col w:w="1574" w:space="820"/>
            <w:col w:w="5880"/>
          </w:cols>
        </w:sectPr>
      </w:pPr>
    </w:p>
    <w:p>
      <w:pPr>
        <w:spacing w:before="15"/>
        <w:ind w:left="180" w:right="0" w:firstLine="0"/>
        <w:jc w:val="left"/>
        <w:rPr>
          <w:sz w:val="12"/>
        </w:rPr>
      </w:pPr>
      <w:r>
        <w:rPr/>
        <w:pict>
          <v:line style="position:absolute;mso-position-horizontal-relative:page;mso-position-vertical-relative:paragraph;z-index:15818752" from="50.5pt,4.851563pt" to="45.5pt,4.851563pt" stroked="true" strokeweight=".5pt" strokecolor="#000000">
            <v:stroke dashstyle="solid"/>
            <w10:wrap type="none"/>
          </v:line>
        </w:pict>
      </w:r>
      <w:r>
        <w:rPr/>
        <w:pict>
          <v:group style="position:absolute;margin-left:55pt;margin-top:4.601563pt;width:158.5pt;height:90.45pt;mso-position-horizontal-relative:page;mso-position-vertical-relative:paragraph;z-index:-21195264" coordorigin="1100,92" coordsize="3170,1809">
            <v:shape style="position:absolute;left:1110;top:617;width:3000;height:960" coordorigin="1110,617" coordsize="3000,960" path="m1110,1117l1230,1477,1290,1537,1410,1457,1470,1437,1550,1317,1610,1217,1670,1277,1730,1217,1810,1237,1870,1337,1930,1417,1990,1477,2050,1477,2130,1457,2190,1437,2250,1497,2370,1577,2450,1557,2510,1577,2570,1417,2710,1277,2770,1177,2830,1117,2890,1097,2950,1237,3010,1337,3090,1317,3150,1337,3210,1237,3270,1197,3330,1237,3410,1277,3470,1337,3530,1317,3590,1257,3670,1217,3730,1257,3790,1157,3850,997,3910,957,3970,797,4050,677,4110,617e" filled="false" stroked="true" strokeweight="1pt" strokecolor="#952e40">
              <v:path arrowok="t"/>
              <v:stroke dashstyle="solid"/>
            </v:shape>
            <v:shape style="position:absolute;left:4170;top:537;width:100;height:860" coordorigin="4170,537" coordsize="100,860" path="m4170,1397l4270,1397m4170,957l4270,957m4170,537l4270,537e" filled="false" stroked="true" strokeweight=".5pt" strokecolor="#000000">
              <v:path arrowok="t"/>
              <v:stroke dashstyle="solid"/>
            </v:shape>
            <v:shape style="position:absolute;left:1110;top:957;width:2420;height:900" coordorigin="1110,957" coordsize="2420,900" path="m1110,1817l1230,1617,1290,1857,1350,1857,1470,1817,1550,1837,1610,1737,1670,1697,1730,1597,1810,1657,1870,1637,1930,1657,1990,1697,2050,1757,2130,1677,2190,1597,2250,1557,2310,1597m2310,1597l2370,1577,2450,1537,2510,1637,2570,1517,2630,1417,2710,1397,2770,1337,2830,1257,2890,1157,2950,1277,3010,1277,3090,1297,3150,1317,3270,1117,3330,1077,3410,1017,3470,957,3530,957e" filled="false" stroked="true" strokeweight="1pt" strokecolor="#0093c0">
              <v:path arrowok="t"/>
              <v:stroke dashstyle="solid"/>
            </v:shape>
            <v:line style="position:absolute" from="4170,97" to="4270,97" stroked="true" strokeweight=".5pt" strokecolor="#000000">
              <v:stroke dashstyle="solid"/>
            </v:line>
            <v:shape style="position:absolute;left:3530;top:137;width:580;height:820" coordorigin="3530,137" coordsize="580,820" path="m3530,957l3590,897,3670,777,3730,717,3790,577,3850,537,3910,317,3970,137,4050,317,4110,397e" filled="false" stroked="true" strokeweight="1pt" strokecolor="#0093c0">
              <v:path arrowok="t"/>
              <v:stroke dashstyle="solid"/>
            </v:shape>
            <v:shape style="position:absolute;left:1110;top:957;width:2940;height:860" coordorigin="1110,957" coordsize="2940,860" path="m1110,1817l1170,1817,1230,1777,1350,1737,1410,1737,1470,1677,1550,1617,1610,1597,1670,1597,1730,1577,1810,1597,1870,1597,1930,1537,1990,1577,2050,1597,2130,1617,2190,1637,2250,1637,2310,1577m2310,1577l2370,1597,2450,1537,2510,1557,2570,1497,2630,1477,2710,1437,2770,1377,2830,1397,2890,1297,2950,1257,3010,1237,3090,1157,3150,1197,3210,1217,3270,1117,3330,1137,3410,1117,3470,1037,3530,997m3530,997l3670,997,3730,1037,3790,997,3910,957,3970,977,4050,977e" filled="false" stroked="true" strokeweight="1pt" strokecolor="#df6f1d">
              <v:path arrowok="t"/>
              <v:stroke dashstyle="solid"/>
            </v:shape>
            <v:line style="position:absolute" from="2227,1900" to="2227,1720" stroked="true" strokeweight=".5pt" strokecolor="#000000">
              <v:stroke dashstyle="solid"/>
            </v:line>
            <v:shape style="position:absolute;left:2201;top:1652;width:51;height:85" coordorigin="2202,1653" coordsize="51,85" path="m2227,1653l2202,1737,2252,1737,2230,1672,2228,1661,2227,1653xe" filled="true" fillcolor="#000000" stroked="false">
              <v:path arrowok="t"/>
              <v:fill type="solid"/>
            </v:shape>
            <v:shape style="position:absolute;left:1100;top:92;width:3170;height:1809" type="#_x0000_t202" filled="false" stroked="false">
              <v:textbox inset="0,0,0,0">
                <w:txbxContent>
                  <w:p>
                    <w:pPr>
                      <w:spacing w:line="240" w:lineRule="auto" w:before="0"/>
                      <w:rPr>
                        <w:sz w:val="12"/>
                      </w:rPr>
                    </w:pPr>
                  </w:p>
                  <w:p>
                    <w:pPr>
                      <w:spacing w:line="240" w:lineRule="auto" w:before="0"/>
                      <w:rPr>
                        <w:sz w:val="12"/>
                      </w:rPr>
                    </w:pPr>
                  </w:p>
                  <w:p>
                    <w:pPr>
                      <w:spacing w:line="240" w:lineRule="auto" w:before="0"/>
                      <w:rPr>
                        <w:sz w:val="12"/>
                      </w:rPr>
                    </w:pPr>
                  </w:p>
                  <w:p>
                    <w:pPr>
                      <w:spacing w:line="240" w:lineRule="auto" w:before="0"/>
                      <w:rPr>
                        <w:sz w:val="12"/>
                      </w:rPr>
                    </w:pPr>
                  </w:p>
                  <w:p>
                    <w:pPr>
                      <w:spacing w:line="240" w:lineRule="auto" w:before="0"/>
                      <w:rPr>
                        <w:sz w:val="12"/>
                      </w:rPr>
                    </w:pPr>
                  </w:p>
                  <w:p>
                    <w:pPr>
                      <w:spacing w:line="240" w:lineRule="auto" w:before="2"/>
                      <w:rPr>
                        <w:sz w:val="12"/>
                      </w:rPr>
                    </w:pPr>
                  </w:p>
                  <w:p>
                    <w:pPr>
                      <w:spacing w:line="208" w:lineRule="auto" w:before="1"/>
                      <w:ind w:left="99" w:right="1844" w:hanging="67"/>
                      <w:jc w:val="left"/>
                      <w:rPr>
                        <w:sz w:val="12"/>
                      </w:rPr>
                    </w:pPr>
                    <w:r>
                      <w:rPr>
                        <w:sz w:val="12"/>
                      </w:rPr>
                      <w:t>Real discount rate (a) (inverted left-hand scale)</w:t>
                    </w:r>
                  </w:p>
                </w:txbxContent>
              </v:textbox>
              <w10:wrap type="none"/>
            </v:shape>
            <w10:wrap type="none"/>
          </v:group>
        </w:pict>
      </w:r>
      <w:r>
        <w:rPr>
          <w:sz w:val="12"/>
        </w:rPr>
        <w:t>1</w:t>
      </w:r>
    </w:p>
    <w:p>
      <w:pPr>
        <w:pStyle w:val="BodyText"/>
        <w:rPr>
          <w:sz w:val="12"/>
        </w:rPr>
      </w:pPr>
    </w:p>
    <w:p>
      <w:pPr>
        <w:pStyle w:val="BodyText"/>
        <w:spacing w:before="5"/>
        <w:rPr>
          <w:sz w:val="12"/>
        </w:rPr>
      </w:pPr>
    </w:p>
    <w:p>
      <w:pPr>
        <w:spacing w:before="1"/>
        <w:ind w:left="180" w:right="0" w:firstLine="0"/>
        <w:jc w:val="left"/>
        <w:rPr>
          <w:sz w:val="12"/>
        </w:rPr>
      </w:pPr>
      <w:r>
        <w:rPr/>
        <w:pict>
          <v:line style="position:absolute;mso-position-horizontal-relative:page;mso-position-vertical-relative:paragraph;z-index:15819264" from="50.5pt,5.151563pt" to="45.5pt,5.151563pt" stroked="true" strokeweight=".5pt" strokecolor="#000000">
            <v:stroke dashstyle="solid"/>
            <w10:wrap type="none"/>
          </v:line>
        </w:pict>
      </w:r>
      <w:r>
        <w:rPr>
          <w:sz w:val="12"/>
        </w:rPr>
        <w:t>2</w:t>
      </w:r>
    </w:p>
    <w:p>
      <w:pPr>
        <w:pStyle w:val="BodyText"/>
        <w:rPr>
          <w:sz w:val="12"/>
        </w:rPr>
      </w:pPr>
    </w:p>
    <w:p>
      <w:pPr>
        <w:pStyle w:val="BodyText"/>
        <w:spacing w:before="2"/>
        <w:rPr>
          <w:sz w:val="14"/>
        </w:rPr>
      </w:pPr>
    </w:p>
    <w:p>
      <w:pPr>
        <w:spacing w:before="1"/>
        <w:ind w:left="180" w:right="0" w:firstLine="0"/>
        <w:jc w:val="left"/>
        <w:rPr>
          <w:sz w:val="12"/>
        </w:rPr>
      </w:pPr>
      <w:r>
        <w:rPr/>
        <w:pict>
          <v:line style="position:absolute;mso-position-horizontal-relative:page;mso-position-vertical-relative:paragraph;z-index:15819776" from="50.5pt,4.151563pt" to="45.5pt,4.151563pt" stroked="true" strokeweight=".5pt" strokecolor="#000000">
            <v:stroke dashstyle="solid"/>
            <w10:wrap type="none"/>
          </v:line>
        </w:pict>
      </w:r>
      <w:r>
        <w:rPr>
          <w:sz w:val="12"/>
        </w:rPr>
        <w:t>3</w:t>
      </w:r>
    </w:p>
    <w:p>
      <w:pPr>
        <w:pStyle w:val="BodyText"/>
        <w:rPr>
          <w:sz w:val="12"/>
        </w:rPr>
      </w:pPr>
    </w:p>
    <w:p>
      <w:pPr>
        <w:pStyle w:val="BodyText"/>
        <w:spacing w:before="5"/>
        <w:rPr>
          <w:sz w:val="12"/>
        </w:rPr>
      </w:pPr>
    </w:p>
    <w:p>
      <w:pPr>
        <w:spacing w:before="1"/>
        <w:ind w:left="180" w:right="0" w:firstLine="0"/>
        <w:jc w:val="left"/>
        <w:rPr>
          <w:sz w:val="12"/>
        </w:rPr>
      </w:pPr>
      <w:r>
        <w:rPr/>
        <w:pict>
          <v:line style="position:absolute;mso-position-horizontal-relative:page;mso-position-vertical-relative:paragraph;z-index:15820288" from="50.5pt,5.151563pt" to="45.5pt,5.151563pt" stroked="true" strokeweight=".5pt" strokecolor="#000000">
            <v:stroke dashstyle="solid"/>
            <w10:wrap type="none"/>
          </v:line>
        </w:pict>
      </w:r>
      <w:r>
        <w:rPr>
          <w:sz w:val="12"/>
        </w:rPr>
        <w:t>4</w:t>
      </w:r>
    </w:p>
    <w:p>
      <w:pPr>
        <w:pStyle w:val="BodyText"/>
        <w:rPr>
          <w:sz w:val="12"/>
        </w:rPr>
      </w:pPr>
    </w:p>
    <w:p>
      <w:pPr>
        <w:pStyle w:val="BodyText"/>
        <w:spacing w:before="2"/>
        <w:rPr>
          <w:sz w:val="14"/>
        </w:rPr>
      </w:pPr>
    </w:p>
    <w:p>
      <w:pPr>
        <w:spacing w:before="1"/>
        <w:ind w:left="180" w:right="0" w:firstLine="0"/>
        <w:jc w:val="left"/>
        <w:rPr>
          <w:sz w:val="12"/>
        </w:rPr>
      </w:pPr>
      <w:r>
        <w:rPr/>
        <w:pict>
          <v:line style="position:absolute;mso-position-horizontal-relative:page;mso-position-vertical-relative:paragraph;z-index:15820800" from="50.5pt,4.151563pt" to="45.5pt,4.151563pt" stroked="true" strokeweight=".5pt" strokecolor="#000000">
            <v:stroke dashstyle="solid"/>
            <w10:wrap type="none"/>
          </v:line>
        </w:pict>
      </w:r>
      <w:r>
        <w:rPr>
          <w:sz w:val="12"/>
        </w:rPr>
        <w:t>5</w:t>
      </w:r>
    </w:p>
    <w:p>
      <w:pPr>
        <w:pStyle w:val="BodyText"/>
        <w:rPr>
          <w:sz w:val="12"/>
        </w:rPr>
      </w:pPr>
    </w:p>
    <w:p>
      <w:pPr>
        <w:pStyle w:val="BodyText"/>
        <w:spacing w:before="6"/>
        <w:rPr>
          <w:sz w:val="12"/>
        </w:rPr>
      </w:pPr>
    </w:p>
    <w:p>
      <w:pPr>
        <w:spacing w:before="0"/>
        <w:ind w:left="180" w:right="0" w:firstLine="0"/>
        <w:jc w:val="left"/>
        <w:rPr>
          <w:sz w:val="12"/>
        </w:rPr>
      </w:pPr>
      <w:r>
        <w:rPr/>
        <w:pict>
          <v:line style="position:absolute;mso-position-horizontal-relative:page;mso-position-vertical-relative:paragraph;z-index:15821312" from="50.5pt,5.101563pt" to="45.5pt,5.101563pt" stroked="true" strokeweight=".5pt" strokecolor="#000000">
            <v:stroke dashstyle="solid"/>
            <w10:wrap type="none"/>
          </v:line>
        </w:pict>
      </w:r>
      <w:r>
        <w:rPr>
          <w:sz w:val="12"/>
        </w:rPr>
        <w:t>6</w:t>
      </w:r>
    </w:p>
    <w:p>
      <w:pPr>
        <w:pStyle w:val="BodyText"/>
        <w:rPr>
          <w:sz w:val="12"/>
        </w:rPr>
      </w:pPr>
    </w:p>
    <w:p>
      <w:pPr>
        <w:pStyle w:val="BodyText"/>
        <w:spacing w:before="3"/>
        <w:rPr>
          <w:sz w:val="14"/>
        </w:rPr>
      </w:pPr>
    </w:p>
    <w:p>
      <w:pPr>
        <w:spacing w:line="132" w:lineRule="exact" w:before="0"/>
        <w:ind w:left="180" w:right="0" w:firstLine="0"/>
        <w:jc w:val="left"/>
        <w:rPr>
          <w:sz w:val="12"/>
        </w:rPr>
      </w:pPr>
      <w:r>
        <w:rPr/>
        <w:pict>
          <v:shape style="position:absolute;margin-left:54.5pt;margin-top:-1.731437pt;width:159pt;height:5.85pt;mso-position-horizontal-relative:page;mso-position-vertical-relative:paragraph;z-index:15818240" coordorigin="1090,-35" coordsize="3180,117" path="m3910,82l3910,9m3150,82l3150,2m1870,82l1870,2m4170,82l4270,82m1090,82l4110,82m1090,82l1090,19m1350,82l1350,19m1610,82l1610,42m1870,82l1870,42m2110,82l2110,9m2370,82l2370,9m2630,82l2630,9m2890,82l2890,9m3150,82l3150,42m3410,82l3410,9m3650,82l3650,9m1870,82l1870,-35m3150,82l3150,-35m1090,82l4110,82m1090,82l1090,19m1350,82l1350,19m1610,82l1610,19m2110,82l2110,9m2370,82l2370,9m2630,82l2630,9m2890,82l2890,9m3410,82l3410,9m3650,82l3650,9e" filled="false" stroked="true" strokeweight=".5pt" strokecolor="#000000">
            <v:path arrowok="t"/>
            <v:stroke dashstyle="solid"/>
            <w10:wrap type="none"/>
          </v:shape>
        </w:pict>
      </w:r>
      <w:r>
        <w:rPr/>
        <w:pict>
          <v:line style="position:absolute;mso-position-horizontal-relative:page;mso-position-vertical-relative:paragraph;z-index:15821824" from="50.5pt,4.101563pt" to="45.5pt,4.101563pt" stroked="true" strokeweight=".5pt" strokecolor="#000000">
            <v:stroke dashstyle="solid"/>
            <w10:wrap type="none"/>
          </v:line>
        </w:pict>
      </w:r>
      <w:r>
        <w:rPr>
          <w:sz w:val="12"/>
        </w:rPr>
        <w:t>7</w:t>
      </w:r>
    </w:p>
    <w:p>
      <w:pPr>
        <w:tabs>
          <w:tab w:pos="1166" w:val="left" w:leader="none"/>
        </w:tabs>
        <w:spacing w:line="132" w:lineRule="exact" w:before="0"/>
        <w:ind w:left="346" w:right="0" w:firstLine="0"/>
        <w:jc w:val="left"/>
        <w:rPr>
          <w:sz w:val="12"/>
        </w:rPr>
      </w:pPr>
      <w:r>
        <w:rPr>
          <w:sz w:val="12"/>
        </w:rPr>
        <w:t>1987</w:t>
        <w:tab/>
      </w:r>
      <w:r>
        <w:rPr>
          <w:spacing w:val="-10"/>
          <w:sz w:val="12"/>
        </w:rPr>
        <w:t>90</w:t>
      </w:r>
    </w:p>
    <w:p>
      <w:pPr>
        <w:pStyle w:val="BodyText"/>
        <w:rPr>
          <w:sz w:val="12"/>
        </w:rPr>
      </w:pPr>
      <w:r>
        <w:rPr/>
        <w:br w:type="column"/>
      </w:r>
      <w:r>
        <w:rPr>
          <w:sz w:val="12"/>
        </w:rPr>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0"/>
        </w:rPr>
      </w:pPr>
    </w:p>
    <w:p>
      <w:pPr>
        <w:spacing w:line="208" w:lineRule="auto" w:before="0"/>
        <w:ind w:left="100" w:right="0" w:hanging="87"/>
        <w:jc w:val="left"/>
        <w:rPr>
          <w:sz w:val="12"/>
        </w:rPr>
      </w:pPr>
      <w:r>
        <w:rPr>
          <w:sz w:val="12"/>
        </w:rPr>
        <w:t>Gross trading profits (right-hand scale)</w:t>
      </w:r>
    </w:p>
    <w:p>
      <w:pPr>
        <w:spacing w:line="133" w:lineRule="exact" w:before="0"/>
        <w:ind w:left="240" w:right="0" w:firstLine="0"/>
        <w:jc w:val="left"/>
        <w:rPr>
          <w:sz w:val="12"/>
        </w:rPr>
      </w:pPr>
      <w:r>
        <w:rPr/>
        <w:br w:type="column"/>
      </w:r>
      <w:r>
        <w:rPr>
          <w:sz w:val="12"/>
        </w:rPr>
        <w:t>(right-hand scale)</w:t>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spacing w:before="105"/>
        <w:ind w:left="66" w:right="0" w:firstLine="0"/>
        <w:jc w:val="left"/>
        <w:rPr>
          <w:sz w:val="12"/>
        </w:rPr>
      </w:pPr>
      <w:r>
        <w:rPr>
          <w:sz w:val="12"/>
        </w:rPr>
        <w:t>95</w:t>
      </w:r>
    </w:p>
    <w:p>
      <w:pPr>
        <w:spacing w:before="15"/>
        <w:ind w:left="0" w:right="38" w:firstLine="0"/>
        <w:jc w:val="right"/>
        <w:rPr>
          <w:sz w:val="12"/>
        </w:rPr>
      </w:pPr>
      <w:r>
        <w:rPr/>
        <w:br w:type="column"/>
      </w:r>
      <w:r>
        <w:rPr>
          <w:sz w:val="12"/>
        </w:rPr>
        <w:t>1500</w:t>
      </w:r>
    </w:p>
    <w:p>
      <w:pPr>
        <w:pStyle w:val="BodyText"/>
        <w:rPr>
          <w:sz w:val="12"/>
        </w:rPr>
      </w:pPr>
    </w:p>
    <w:p>
      <w:pPr>
        <w:pStyle w:val="BodyText"/>
        <w:spacing w:before="4"/>
        <w:rPr>
          <w:sz w:val="15"/>
        </w:rPr>
      </w:pPr>
    </w:p>
    <w:p>
      <w:pPr>
        <w:spacing w:before="0"/>
        <w:ind w:left="0" w:right="38" w:firstLine="0"/>
        <w:jc w:val="right"/>
        <w:rPr>
          <w:sz w:val="12"/>
        </w:rPr>
      </w:pPr>
      <w:r>
        <w:rPr>
          <w:sz w:val="12"/>
        </w:rPr>
        <w:t>1250</w:t>
      </w:r>
    </w:p>
    <w:p>
      <w:pPr>
        <w:pStyle w:val="BodyText"/>
        <w:rPr>
          <w:sz w:val="12"/>
        </w:rPr>
      </w:pPr>
    </w:p>
    <w:p>
      <w:pPr>
        <w:pStyle w:val="BodyText"/>
        <w:spacing w:before="4"/>
        <w:rPr>
          <w:sz w:val="11"/>
        </w:rPr>
      </w:pPr>
    </w:p>
    <w:p>
      <w:pPr>
        <w:spacing w:before="1"/>
        <w:ind w:left="0" w:right="38" w:firstLine="0"/>
        <w:jc w:val="right"/>
        <w:rPr>
          <w:sz w:val="12"/>
        </w:rPr>
      </w:pPr>
      <w:r>
        <w:rPr>
          <w:sz w:val="12"/>
        </w:rPr>
        <w:t>1000</w:t>
      </w:r>
    </w:p>
    <w:p>
      <w:pPr>
        <w:pStyle w:val="BodyText"/>
        <w:rPr>
          <w:sz w:val="12"/>
        </w:rPr>
      </w:pPr>
    </w:p>
    <w:p>
      <w:pPr>
        <w:pStyle w:val="BodyText"/>
        <w:spacing w:before="11"/>
        <w:rPr>
          <w:sz w:val="15"/>
        </w:rPr>
      </w:pPr>
    </w:p>
    <w:p>
      <w:pPr>
        <w:spacing w:before="0"/>
        <w:ind w:left="0" w:right="38" w:firstLine="0"/>
        <w:jc w:val="right"/>
        <w:rPr>
          <w:sz w:val="12"/>
        </w:rPr>
      </w:pPr>
      <w:r>
        <w:rPr>
          <w:sz w:val="12"/>
        </w:rPr>
        <w:t>750</w:t>
      </w:r>
    </w:p>
    <w:p>
      <w:pPr>
        <w:pStyle w:val="BodyText"/>
        <w:rPr>
          <w:sz w:val="12"/>
        </w:rPr>
      </w:pPr>
    </w:p>
    <w:p>
      <w:pPr>
        <w:pStyle w:val="BodyText"/>
        <w:spacing w:before="9"/>
        <w:rPr>
          <w:sz w:val="10"/>
        </w:rPr>
      </w:pPr>
    </w:p>
    <w:p>
      <w:pPr>
        <w:spacing w:before="0"/>
        <w:ind w:left="0" w:right="38" w:firstLine="0"/>
        <w:jc w:val="right"/>
        <w:rPr>
          <w:sz w:val="12"/>
        </w:rPr>
      </w:pPr>
      <w:r>
        <w:rPr/>
        <w:pict>
          <v:line style="position:absolute;mso-position-horizontal-relative:page;mso-position-vertical-relative:paragraph;z-index:15823872" from="208.5pt,4.101563pt" to="213.5pt,4.101563pt" stroked="true" strokeweight=".5pt" strokecolor="#000000">
            <v:stroke dashstyle="solid"/>
            <w10:wrap type="none"/>
          </v:line>
        </w:pict>
      </w:r>
      <w:r>
        <w:rPr>
          <w:sz w:val="12"/>
        </w:rPr>
        <w:t>500</w:t>
      </w:r>
    </w:p>
    <w:p>
      <w:pPr>
        <w:pStyle w:val="BodyText"/>
        <w:rPr>
          <w:sz w:val="12"/>
        </w:rPr>
      </w:pPr>
    </w:p>
    <w:p>
      <w:pPr>
        <w:pStyle w:val="BodyText"/>
        <w:spacing w:before="2"/>
        <w:rPr>
          <w:sz w:val="17"/>
        </w:rPr>
      </w:pPr>
    </w:p>
    <w:p>
      <w:pPr>
        <w:spacing w:before="0"/>
        <w:ind w:left="0" w:right="38" w:firstLine="0"/>
        <w:jc w:val="right"/>
        <w:rPr>
          <w:sz w:val="12"/>
        </w:rPr>
      </w:pPr>
      <w:r>
        <w:rPr/>
        <w:pict>
          <v:line style="position:absolute;mso-position-horizontal-relative:page;mso-position-vertical-relative:paragraph;z-index:15823360" from="208.5pt,2.434555pt" to="213.5pt,2.434555pt" stroked="true" strokeweight=".5pt" strokecolor="#000000">
            <v:stroke dashstyle="solid"/>
            <w10:wrap type="none"/>
          </v:line>
        </w:pict>
      </w:r>
      <w:r>
        <w:rPr>
          <w:sz w:val="12"/>
        </w:rPr>
        <w:t>250</w:t>
      </w:r>
    </w:p>
    <w:p>
      <w:pPr>
        <w:pStyle w:val="BodyText"/>
        <w:rPr>
          <w:sz w:val="12"/>
        </w:rPr>
      </w:pPr>
    </w:p>
    <w:p>
      <w:pPr>
        <w:pStyle w:val="BodyText"/>
        <w:spacing w:before="7"/>
        <w:rPr>
          <w:sz w:val="9"/>
        </w:rPr>
      </w:pPr>
    </w:p>
    <w:p>
      <w:pPr>
        <w:spacing w:before="0"/>
        <w:ind w:left="0" w:right="38" w:firstLine="0"/>
        <w:jc w:val="right"/>
        <w:rPr>
          <w:sz w:val="12"/>
        </w:rPr>
      </w:pPr>
      <w:r>
        <w:rPr>
          <w:sz w:val="12"/>
        </w:rPr>
        <w:t>0</w:t>
      </w:r>
    </w:p>
    <w:p>
      <w:pPr>
        <w:pStyle w:val="BodyText"/>
        <w:spacing w:before="5"/>
        <w:rPr>
          <w:sz w:val="20"/>
        </w:rPr>
      </w:pPr>
      <w:r>
        <w:rPr/>
        <w:br w:type="column"/>
      </w:r>
      <w:r>
        <w:rPr>
          <w:sz w:val="20"/>
        </w:rPr>
      </w:r>
    </w:p>
    <w:p>
      <w:pPr>
        <w:pStyle w:val="Heading4"/>
        <w:spacing w:line="242" w:lineRule="auto"/>
        <w:ind w:left="180" w:right="181"/>
      </w:pPr>
      <w:r>
        <w:rPr/>
        <w:t>According to data from the Richard Ellis Research Consultancy, annual growth in the capital value of commercial property slowed in December, in line with the decline in rental value for industrial property.</w:t>
      </w:r>
    </w:p>
    <w:p>
      <w:pPr>
        <w:spacing w:line="280" w:lineRule="atLeast" w:before="1"/>
        <w:ind w:left="180" w:right="222" w:firstLine="0"/>
        <w:jc w:val="left"/>
        <w:rPr>
          <w:sz w:val="24"/>
        </w:rPr>
      </w:pPr>
      <w:r>
        <w:rPr>
          <w:sz w:val="24"/>
        </w:rPr>
        <w:t>Expectations of future rental values are an important determinant of current property prices, in much the same way that current share prices depend on expected future dividends. Property company share prices have fallen relative to the F</w:t>
      </w:r>
      <w:r>
        <w:rPr>
          <w:sz w:val="20"/>
        </w:rPr>
        <w:t>T-SE </w:t>
      </w:r>
      <w:r>
        <w:rPr>
          <w:sz w:val="24"/>
        </w:rPr>
        <w:t>All-Share index since May 1998, and were around 20% lower at the end of 1998 than at</w:t>
      </w:r>
    </w:p>
    <w:p>
      <w:pPr>
        <w:spacing w:after="0" w:line="280" w:lineRule="atLeast"/>
        <w:jc w:val="left"/>
        <w:rPr>
          <w:sz w:val="24"/>
        </w:rPr>
        <w:sectPr>
          <w:type w:val="continuous"/>
          <w:pgSz w:w="11900" w:h="16840"/>
          <w:pgMar w:top="1220" w:bottom="280" w:left="640" w:right="600"/>
          <w:cols w:num="5" w:equalWidth="0">
            <w:col w:w="1287" w:space="40"/>
            <w:col w:w="1007" w:space="39"/>
            <w:col w:w="1090" w:space="40"/>
            <w:col w:w="458" w:space="819"/>
            <w:col w:w="5880"/>
          </w:cols>
        </w:sectPr>
      </w:pPr>
    </w:p>
    <w:p>
      <w:pPr>
        <w:spacing w:line="66" w:lineRule="exact" w:before="0"/>
        <w:ind w:left="170" w:right="0" w:firstLine="0"/>
        <w:jc w:val="left"/>
        <w:rPr>
          <w:sz w:val="12"/>
        </w:rPr>
      </w:pPr>
      <w:r>
        <w:rPr>
          <w:sz w:val="12"/>
        </w:rPr>
        <w:t>Source: Datastream.</w:t>
      </w:r>
    </w:p>
    <w:p>
      <w:pPr>
        <w:spacing w:before="102"/>
        <w:ind w:left="170" w:right="0" w:firstLine="0"/>
        <w:jc w:val="left"/>
        <w:rPr>
          <w:sz w:val="12"/>
        </w:rPr>
      </w:pPr>
      <w:r>
        <w:rPr>
          <w:sz w:val="12"/>
        </w:rPr>
        <w:t>(a) Defined as yield on ten-year index-linked gilts, forward rate.</w:t>
      </w:r>
    </w:p>
    <w:p>
      <w:pPr>
        <w:pStyle w:val="Heading4"/>
        <w:spacing w:before="4"/>
      </w:pPr>
      <w:r>
        <w:rPr/>
        <w:br w:type="column"/>
      </w:r>
      <w:r>
        <w:rPr/>
        <w:t>the beginning of the year. According to the Merrill</w:t>
      </w:r>
    </w:p>
    <w:p>
      <w:pPr>
        <w:pStyle w:val="BodyText"/>
        <w:spacing w:before="8"/>
        <w:rPr>
          <w:sz w:val="14"/>
        </w:rPr>
      </w:pPr>
      <w:r>
        <w:rPr/>
        <w:pict>
          <v:shape style="position:absolute;margin-left:279.5pt;margin-top:10.548104pt;width:276.5pt;height:.1pt;mso-position-horizontal-relative:page;mso-position-vertical-relative:paragraph;z-index:-15647232;mso-wrap-distance-left:0;mso-wrap-distance-right:0" coordorigin="5590,211" coordsize="5530,0" path="m5590,211l11120,211e" filled="false" stroked="true" strokeweight=".125pt" strokecolor="#000000">
            <v:path arrowok="t"/>
            <v:stroke dashstyle="solid"/>
            <w10:wrap type="topAndBottom"/>
          </v:shape>
        </w:pict>
      </w:r>
    </w:p>
    <w:p>
      <w:pPr>
        <w:spacing w:line="208" w:lineRule="auto" w:before="11"/>
        <w:ind w:left="420" w:right="955" w:hanging="240"/>
        <w:jc w:val="left"/>
        <w:rPr>
          <w:sz w:val="16"/>
        </w:rPr>
      </w:pPr>
      <w:r>
        <w:rPr>
          <w:sz w:val="16"/>
        </w:rPr>
        <w:t>(1) See the box on page 12 of the August 1998 </w:t>
      </w:r>
      <w:r>
        <w:rPr>
          <w:i/>
          <w:sz w:val="16"/>
        </w:rPr>
        <w:t>Report </w:t>
      </w:r>
      <w:r>
        <w:rPr>
          <w:sz w:val="16"/>
        </w:rPr>
        <w:t>for a more detailed discussion.</w:t>
      </w:r>
    </w:p>
    <w:p>
      <w:pPr>
        <w:spacing w:after="0" w:line="208" w:lineRule="auto"/>
        <w:jc w:val="left"/>
        <w:rPr>
          <w:sz w:val="16"/>
        </w:rPr>
        <w:sectPr>
          <w:type w:val="continuous"/>
          <w:pgSz w:w="11900" w:h="16840"/>
          <w:pgMar w:top="1220" w:bottom="280" w:left="640" w:right="600"/>
          <w:cols w:num="2" w:equalWidth="0">
            <w:col w:w="3363" w:space="1427"/>
            <w:col w:w="5870"/>
          </w:cols>
        </w:sectPr>
      </w:pPr>
    </w:p>
    <w:p>
      <w:pPr>
        <w:pStyle w:val="BodyText"/>
        <w:rPr>
          <w:sz w:val="20"/>
        </w:rPr>
      </w:pPr>
    </w:p>
    <w:p>
      <w:pPr>
        <w:pStyle w:val="Heading2"/>
        <w:spacing w:before="238"/>
        <w:ind w:left="1772" w:right="1898"/>
        <w:jc w:val="center"/>
        <w:rPr>
          <w:u w:val="none"/>
        </w:rPr>
      </w:pPr>
      <w:bookmarkStart w:name="Sectoral equity prices" w:id="26"/>
      <w:bookmarkEnd w:id="26"/>
      <w:r>
        <w:rPr>
          <w:b w:val="0"/>
          <w:u w:val="none"/>
        </w:rPr>
      </w:r>
      <w:bookmarkStart w:name="_bookmark8" w:id="27"/>
      <w:bookmarkEnd w:id="27"/>
      <w:r>
        <w:rPr>
          <w:b w:val="0"/>
          <w:u w:val="none"/>
        </w:rPr>
      </w:r>
      <w:r>
        <w:rPr>
          <w:color w:val="009483"/>
          <w:u w:val="none"/>
        </w:rPr>
        <w:t>Sectoral equity prices</w:t>
      </w:r>
    </w:p>
    <w:p>
      <w:pPr>
        <w:pStyle w:val="BodyText"/>
        <w:rPr>
          <w:b/>
          <w:sz w:val="20"/>
        </w:rPr>
      </w:pPr>
    </w:p>
    <w:p>
      <w:pPr>
        <w:spacing w:after="0"/>
        <w:rPr>
          <w:sz w:val="20"/>
        </w:rPr>
        <w:sectPr>
          <w:headerReference w:type="default" r:id="rId32"/>
          <w:headerReference w:type="even" r:id="rId33"/>
          <w:footerReference w:type="default" r:id="rId34"/>
          <w:footerReference w:type="even" r:id="rId35"/>
          <w:pgSz w:w="11900" w:h="16840"/>
          <w:pgMar w:header="586" w:footer="617" w:top="780" w:bottom="800" w:left="640" w:right="600"/>
          <w:pgNumType w:start="11"/>
        </w:sectPr>
      </w:pPr>
    </w:p>
    <w:p>
      <w:pPr>
        <w:pStyle w:val="BodyText"/>
        <w:spacing w:before="11"/>
        <w:rPr>
          <w:b/>
          <w:sz w:val="17"/>
        </w:rPr>
      </w:pPr>
    </w:p>
    <w:p>
      <w:pPr>
        <w:pStyle w:val="Heading8"/>
        <w:spacing w:line="249" w:lineRule="auto" w:before="0"/>
        <w:ind w:left="385" w:right="38"/>
      </w:pPr>
      <w:r>
        <w:rPr/>
        <w:t>Share prices in most of the major industrialised countries </w:t>
      </w:r>
      <w:hyperlink w:history="true" w:anchor="_bookmark7">
        <w:r>
          <w:rPr/>
          <w:t>have risen since October (see Chart 1.14</w:t>
        </w:r>
      </w:hyperlink>
      <w:r>
        <w:rPr/>
        <w:t> in the main text). But this masks significant differences in share price movements between industrial sectors and between firms of different sizes. Chart A shows the performance</w:t>
      </w:r>
    </w:p>
    <w:p>
      <w:pPr>
        <w:pStyle w:val="BodyText"/>
        <w:spacing w:before="11"/>
        <w:rPr>
          <w:sz w:val="17"/>
        </w:rPr>
      </w:pPr>
      <w:r>
        <w:rPr/>
        <w:br w:type="column"/>
      </w:r>
      <w:r>
        <w:rPr>
          <w:sz w:val="17"/>
        </w:rPr>
      </w:r>
    </w:p>
    <w:p>
      <w:pPr>
        <w:spacing w:line="249" w:lineRule="auto" w:before="0"/>
        <w:ind w:left="385" w:right="625" w:firstLine="0"/>
        <w:jc w:val="left"/>
        <w:rPr>
          <w:sz w:val="20"/>
        </w:rPr>
      </w:pPr>
      <w:r>
        <w:rPr>
          <w:sz w:val="20"/>
        </w:rPr>
        <w:t>In the United States, however, share prices of general industrials and services have moved more closely together (see Chart C). That may reflect the relatively smaller share of trade in US GDP, notwithstanding the recent weakness in US industrial production and profits.</w:t>
      </w:r>
    </w:p>
    <w:p>
      <w:pPr>
        <w:spacing w:after="0" w:line="249" w:lineRule="auto"/>
        <w:jc w:val="left"/>
        <w:rPr>
          <w:sz w:val="20"/>
        </w:rPr>
        <w:sectPr>
          <w:type w:val="continuous"/>
          <w:pgSz w:w="11900" w:h="16840"/>
          <w:pgMar w:top="1220" w:bottom="280" w:left="640" w:right="600"/>
          <w:cols w:num="2" w:equalWidth="0">
            <w:col w:w="4992" w:space="138"/>
            <w:col w:w="5530"/>
          </w:cols>
        </w:sectPr>
      </w:pPr>
    </w:p>
    <w:p>
      <w:pPr>
        <w:tabs>
          <w:tab w:pos="5494" w:val="left" w:leader="none"/>
          <w:tab w:pos="10204" w:val="left" w:leader="none"/>
        </w:tabs>
        <w:spacing w:line="249" w:lineRule="auto" w:before="4"/>
        <w:ind w:left="385" w:right="453" w:firstLine="0"/>
        <w:jc w:val="left"/>
        <w:rPr>
          <w:sz w:val="20"/>
        </w:rPr>
      </w:pPr>
      <w:r>
        <w:rPr>
          <w:sz w:val="20"/>
        </w:rPr>
        <w:t>of different sectoral share prices in the United Kingdom</w:t>
        <w:tab/>
      </w:r>
      <w:r>
        <w:rPr>
          <w:sz w:val="20"/>
          <w:u w:val="single"/>
        </w:rPr>
        <w:t> </w:t>
        <w:tab/>
      </w:r>
      <w:r>
        <w:rPr>
          <w:sz w:val="20"/>
        </w:rPr>
        <w:t> since the start of 1998. Share prices in the utilities,</w:t>
      </w:r>
    </w:p>
    <w:p>
      <w:pPr>
        <w:spacing w:line="249" w:lineRule="auto" w:before="2"/>
        <w:ind w:left="385" w:right="5628" w:firstLine="0"/>
        <w:jc w:val="left"/>
        <w:rPr>
          <w:sz w:val="20"/>
        </w:rPr>
      </w:pPr>
      <w:r>
        <w:rPr>
          <w:sz w:val="20"/>
        </w:rPr>
        <w:t>consumer goods and services sectors rose by around 20% between October and the beginning of February, to close to their peaks of mid 1998. But share prices in general industrials have recovered significantly less of the ground they lost in the summer.</w:t>
      </w:r>
    </w:p>
    <w:p>
      <w:pPr>
        <w:spacing w:before="122"/>
        <w:ind w:left="375" w:right="0" w:firstLine="0"/>
        <w:jc w:val="left"/>
        <w:rPr>
          <w:b/>
          <w:sz w:val="20"/>
        </w:rPr>
      </w:pPr>
      <w:r>
        <w:rPr>
          <w:b/>
          <w:color w:val="0093C1"/>
          <w:sz w:val="20"/>
        </w:rPr>
        <w:t>Chart A</w:t>
      </w:r>
    </w:p>
    <w:p>
      <w:pPr>
        <w:spacing w:before="10"/>
        <w:ind w:left="375" w:right="0" w:firstLine="0"/>
        <w:jc w:val="left"/>
        <w:rPr>
          <w:b/>
          <w:sz w:val="20"/>
        </w:rPr>
      </w:pPr>
      <w:r>
        <w:rPr>
          <w:b/>
          <w:color w:val="0093C1"/>
          <w:sz w:val="20"/>
        </w:rPr>
        <w:t>UK share prices by sector</w:t>
      </w:r>
    </w:p>
    <w:p>
      <w:pPr>
        <w:spacing w:line="165" w:lineRule="auto" w:before="136"/>
        <w:ind w:left="3345" w:right="0" w:firstLine="0"/>
        <w:jc w:val="left"/>
        <w:rPr>
          <w:sz w:val="11"/>
        </w:rPr>
      </w:pPr>
      <w:r>
        <w:rPr>
          <w:color w:val="231F20"/>
          <w:w w:val="105"/>
          <w:sz w:val="11"/>
        </w:rPr>
        <w:t>2 Jan. 1998 = </w:t>
      </w:r>
      <w:r>
        <w:rPr>
          <w:color w:val="231F20"/>
          <w:w w:val="105"/>
          <w:sz w:val="11"/>
          <w:u w:val="single" w:color="000000"/>
        </w:rPr>
        <w:t>100</w:t>
      </w:r>
      <w:r>
        <w:rPr>
          <w:color w:val="231F20"/>
          <w:w w:val="105"/>
          <w:sz w:val="11"/>
        </w:rPr>
        <w:t> </w:t>
      </w:r>
      <w:r>
        <w:rPr>
          <w:w w:val="105"/>
          <w:position w:val="-6"/>
          <w:sz w:val="11"/>
        </w:rPr>
        <w:t>140</w:t>
      </w:r>
    </w:p>
    <w:p>
      <w:pPr>
        <w:spacing w:line="98" w:lineRule="exact" w:before="0"/>
        <w:ind w:left="2630" w:right="0" w:firstLine="0"/>
        <w:jc w:val="left"/>
        <w:rPr>
          <w:sz w:val="11"/>
        </w:rPr>
      </w:pPr>
      <w:r>
        <w:rPr>
          <w:w w:val="105"/>
          <w:sz w:val="11"/>
        </w:rPr>
        <w:t>Consumer goods</w:t>
      </w:r>
    </w:p>
    <w:p>
      <w:pPr>
        <w:spacing w:before="37"/>
        <w:ind w:left="1964" w:right="0" w:firstLine="0"/>
        <w:jc w:val="left"/>
        <w:rPr>
          <w:sz w:val="11"/>
        </w:rPr>
      </w:pPr>
      <w:r>
        <w:rPr>
          <w:w w:val="105"/>
          <w:sz w:val="11"/>
        </w:rPr>
        <w:t>Services</w:t>
      </w:r>
    </w:p>
    <w:p>
      <w:pPr>
        <w:spacing w:after="0"/>
        <w:jc w:val="left"/>
        <w:rPr>
          <w:sz w:val="11"/>
        </w:rPr>
        <w:sectPr>
          <w:type w:val="continuous"/>
          <w:pgSz w:w="11900" w:h="16840"/>
          <w:pgMar w:top="1220" w:bottom="280" w:left="640" w:right="600"/>
        </w:sectPr>
      </w:pPr>
    </w:p>
    <w:p>
      <w:pPr>
        <w:pStyle w:val="BodyText"/>
        <w:rPr>
          <w:sz w:val="12"/>
        </w:rPr>
      </w:pPr>
    </w:p>
    <w:p>
      <w:pPr>
        <w:spacing w:before="88"/>
        <w:ind w:left="0" w:right="0" w:firstLine="0"/>
        <w:jc w:val="right"/>
        <w:rPr>
          <w:sz w:val="11"/>
        </w:rPr>
      </w:pPr>
      <w:r>
        <w:rPr>
          <w:sz w:val="11"/>
        </w:rPr>
        <w:t>Utilities</w:t>
      </w:r>
    </w:p>
    <w:p>
      <w:pPr>
        <w:spacing w:before="49"/>
        <w:ind w:left="1099" w:right="0" w:firstLine="0"/>
        <w:jc w:val="left"/>
        <w:rPr>
          <w:sz w:val="11"/>
        </w:rPr>
      </w:pPr>
      <w:r>
        <w:rPr/>
        <w:br w:type="column"/>
      </w:r>
      <w:r>
        <w:rPr>
          <w:w w:val="105"/>
          <w:sz w:val="11"/>
        </w:rPr>
        <w:t>130</w:t>
      </w:r>
    </w:p>
    <w:p>
      <w:pPr>
        <w:pStyle w:val="BodyText"/>
        <w:rPr>
          <w:sz w:val="12"/>
        </w:rPr>
      </w:pPr>
    </w:p>
    <w:p>
      <w:pPr>
        <w:pStyle w:val="BodyText"/>
        <w:spacing w:before="10"/>
        <w:rPr>
          <w:sz w:val="12"/>
        </w:rPr>
      </w:pPr>
    </w:p>
    <w:p>
      <w:pPr>
        <w:spacing w:before="1"/>
        <w:ind w:left="1099" w:right="0" w:firstLine="0"/>
        <w:jc w:val="left"/>
        <w:rPr>
          <w:sz w:val="11"/>
        </w:rPr>
      </w:pPr>
      <w:r>
        <w:rPr>
          <w:w w:val="105"/>
          <w:sz w:val="11"/>
        </w:rPr>
        <w:t>120</w:t>
      </w:r>
    </w:p>
    <w:p>
      <w:pPr>
        <w:pStyle w:val="BodyText"/>
        <w:rPr>
          <w:sz w:val="12"/>
        </w:rPr>
      </w:pPr>
    </w:p>
    <w:p>
      <w:pPr>
        <w:pStyle w:val="BodyText"/>
        <w:spacing w:before="3"/>
        <w:rPr>
          <w:sz w:val="11"/>
        </w:rPr>
      </w:pPr>
    </w:p>
    <w:p>
      <w:pPr>
        <w:spacing w:before="0"/>
        <w:ind w:left="1099" w:right="0" w:firstLine="0"/>
        <w:jc w:val="left"/>
        <w:rPr>
          <w:sz w:val="11"/>
        </w:rPr>
      </w:pPr>
      <w:r>
        <w:rPr>
          <w:w w:val="105"/>
          <w:sz w:val="11"/>
        </w:rPr>
        <w:t>110</w:t>
      </w:r>
    </w:p>
    <w:p>
      <w:pPr>
        <w:spacing w:after="0"/>
        <w:jc w:val="left"/>
        <w:rPr>
          <w:sz w:val="11"/>
        </w:rPr>
        <w:sectPr>
          <w:type w:val="continuous"/>
          <w:pgSz w:w="11900" w:h="16840"/>
          <w:pgMar w:top="1220" w:bottom="280" w:left="640" w:right="600"/>
          <w:cols w:num="2" w:equalWidth="0">
            <w:col w:w="3055" w:space="40"/>
            <w:col w:w="7565"/>
          </w:cols>
        </w:sectPr>
      </w:pPr>
    </w:p>
    <w:p>
      <w:pPr>
        <w:pStyle w:val="BodyText"/>
        <w:spacing w:before="2"/>
        <w:rPr>
          <w:sz w:val="15"/>
        </w:rPr>
      </w:pPr>
    </w:p>
    <w:p>
      <w:pPr>
        <w:spacing w:after="0"/>
        <w:rPr>
          <w:sz w:val="15"/>
        </w:rPr>
        <w:sectPr>
          <w:type w:val="continuous"/>
          <w:pgSz w:w="11900" w:h="16840"/>
          <w:pgMar w:top="1220" w:bottom="280" w:left="640" w:right="600"/>
        </w:sectPr>
      </w:pPr>
    </w:p>
    <w:p>
      <w:pPr>
        <w:pStyle w:val="BodyText"/>
        <w:rPr>
          <w:sz w:val="12"/>
        </w:rPr>
      </w:pPr>
    </w:p>
    <w:p>
      <w:pPr>
        <w:pStyle w:val="BodyText"/>
        <w:rPr>
          <w:sz w:val="12"/>
        </w:rPr>
      </w:pPr>
    </w:p>
    <w:p>
      <w:pPr>
        <w:pStyle w:val="BodyText"/>
        <w:rPr>
          <w:sz w:val="12"/>
        </w:rPr>
      </w:pPr>
    </w:p>
    <w:p>
      <w:pPr>
        <w:pStyle w:val="BodyText"/>
        <w:spacing w:before="3"/>
        <w:rPr>
          <w:sz w:val="16"/>
        </w:rPr>
      </w:pPr>
    </w:p>
    <w:p>
      <w:pPr>
        <w:spacing w:before="0"/>
        <w:ind w:left="0" w:right="0" w:firstLine="0"/>
        <w:jc w:val="right"/>
        <w:rPr>
          <w:sz w:val="11"/>
        </w:rPr>
      </w:pPr>
      <w:r>
        <w:rPr>
          <w:sz w:val="11"/>
        </w:rPr>
        <w:t>Financials</w:t>
      </w:r>
    </w:p>
    <w:p>
      <w:pPr>
        <w:pStyle w:val="BodyText"/>
        <w:rPr>
          <w:sz w:val="12"/>
        </w:rPr>
      </w:pPr>
      <w:r>
        <w:rPr/>
        <w:br w:type="column"/>
      </w:r>
      <w:r>
        <w:rPr>
          <w:sz w:val="12"/>
        </w:rPr>
      </w: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1"/>
        <w:rPr>
          <w:sz w:val="13"/>
        </w:rPr>
      </w:pPr>
    </w:p>
    <w:p>
      <w:pPr>
        <w:spacing w:before="0"/>
        <w:ind w:left="59" w:right="0" w:firstLine="0"/>
        <w:jc w:val="left"/>
        <w:rPr>
          <w:sz w:val="11"/>
        </w:rPr>
      </w:pPr>
      <w:r>
        <w:rPr>
          <w:w w:val="105"/>
          <w:sz w:val="11"/>
        </w:rPr>
        <w:t>Resources</w:t>
      </w:r>
    </w:p>
    <w:p>
      <w:pPr>
        <w:pStyle w:val="BodyText"/>
        <w:spacing w:before="3"/>
        <w:rPr>
          <w:sz w:val="15"/>
        </w:rPr>
      </w:pPr>
    </w:p>
    <w:p>
      <w:pPr>
        <w:spacing w:before="0"/>
        <w:ind w:left="434" w:right="0" w:firstLine="0"/>
        <w:jc w:val="left"/>
        <w:rPr>
          <w:sz w:val="11"/>
        </w:rPr>
      </w:pPr>
      <w:r>
        <w:rPr>
          <w:w w:val="105"/>
          <w:sz w:val="11"/>
        </w:rPr>
        <w:t>General</w:t>
      </w:r>
      <w:r>
        <w:rPr>
          <w:spacing w:val="-19"/>
          <w:w w:val="105"/>
          <w:sz w:val="11"/>
        </w:rPr>
        <w:t> </w:t>
      </w:r>
      <w:r>
        <w:rPr>
          <w:w w:val="105"/>
          <w:sz w:val="11"/>
        </w:rPr>
        <w:t>industrials</w:t>
      </w:r>
    </w:p>
    <w:p>
      <w:pPr>
        <w:spacing w:before="100"/>
        <w:ind w:left="0" w:right="5" w:firstLine="0"/>
        <w:jc w:val="right"/>
        <w:rPr>
          <w:sz w:val="11"/>
        </w:rPr>
      </w:pPr>
      <w:r>
        <w:rPr/>
        <w:br w:type="column"/>
      </w:r>
      <w:r>
        <w:rPr>
          <w:spacing w:val="-1"/>
          <w:w w:val="105"/>
          <w:sz w:val="11"/>
        </w:rPr>
        <w:t>100</w:t>
      </w:r>
    </w:p>
    <w:p>
      <w:pPr>
        <w:pStyle w:val="BodyText"/>
        <w:rPr>
          <w:sz w:val="12"/>
        </w:rPr>
      </w:pPr>
    </w:p>
    <w:p>
      <w:pPr>
        <w:pStyle w:val="BodyText"/>
        <w:rPr>
          <w:sz w:val="11"/>
        </w:rPr>
      </w:pPr>
    </w:p>
    <w:p>
      <w:pPr>
        <w:spacing w:before="0"/>
        <w:ind w:left="0" w:right="0" w:firstLine="0"/>
        <w:jc w:val="right"/>
        <w:rPr>
          <w:sz w:val="11"/>
        </w:rPr>
      </w:pPr>
      <w:r>
        <w:rPr>
          <w:sz w:val="11"/>
        </w:rPr>
        <w:t>90</w:t>
      </w:r>
    </w:p>
    <w:p>
      <w:pPr>
        <w:pStyle w:val="BodyText"/>
        <w:rPr>
          <w:sz w:val="12"/>
        </w:rPr>
      </w:pPr>
    </w:p>
    <w:p>
      <w:pPr>
        <w:pStyle w:val="BodyText"/>
        <w:rPr>
          <w:sz w:val="13"/>
        </w:rPr>
      </w:pPr>
    </w:p>
    <w:p>
      <w:pPr>
        <w:spacing w:before="0"/>
        <w:ind w:left="0" w:right="0" w:firstLine="0"/>
        <w:jc w:val="right"/>
        <w:rPr>
          <w:sz w:val="11"/>
        </w:rPr>
      </w:pPr>
      <w:r>
        <w:rPr>
          <w:sz w:val="11"/>
        </w:rPr>
        <w:t>80</w:t>
      </w:r>
    </w:p>
    <w:p>
      <w:pPr>
        <w:pStyle w:val="BodyText"/>
        <w:spacing w:before="5"/>
        <w:rPr>
          <w:sz w:val="29"/>
        </w:rPr>
      </w:pPr>
      <w:r>
        <w:rPr/>
        <w:br w:type="column"/>
      </w:r>
      <w:r>
        <w:rPr>
          <w:sz w:val="29"/>
        </w:rPr>
      </w:r>
    </w:p>
    <w:p>
      <w:pPr>
        <w:pStyle w:val="Heading8"/>
        <w:spacing w:line="249" w:lineRule="auto" w:before="0"/>
        <w:ind w:left="1103" w:right="311"/>
      </w:pPr>
      <w:r>
        <w:rPr/>
        <w:t>The share prices of different-sized UK firms have also varied widely. Chart D shows that since October, share prices of small-capitalisation companies have risen by considerably less than the average. Another way of</w:t>
      </w:r>
    </w:p>
    <w:p>
      <w:pPr>
        <w:spacing w:after="0" w:line="249" w:lineRule="auto"/>
        <w:sectPr>
          <w:type w:val="continuous"/>
          <w:pgSz w:w="11900" w:h="16840"/>
          <w:pgMar w:top="1220" w:bottom="280" w:left="640" w:right="600"/>
          <w:cols w:num="4" w:equalWidth="0">
            <w:col w:w="1983" w:space="40"/>
            <w:col w:w="1299" w:space="39"/>
            <w:col w:w="1011" w:space="40"/>
            <w:col w:w="6248"/>
          </w:cols>
        </w:sectPr>
      </w:pPr>
    </w:p>
    <w:p>
      <w:pPr>
        <w:tabs>
          <w:tab w:pos="1022" w:val="left" w:leader="none"/>
          <w:tab w:pos="1570" w:val="left" w:leader="none"/>
          <w:tab w:pos="2072" w:val="left" w:leader="none"/>
          <w:tab w:pos="2552" w:val="left" w:leader="none"/>
          <w:tab w:pos="3067" w:val="left" w:leader="none"/>
          <w:tab w:pos="3569" w:val="left" w:leader="none"/>
          <w:tab w:pos="4372" w:val="right" w:leader="none"/>
        </w:tabs>
        <w:spacing w:before="1"/>
        <w:ind w:left="566" w:right="0" w:firstLine="0"/>
        <w:jc w:val="left"/>
        <w:rPr>
          <w:sz w:val="11"/>
        </w:rPr>
      </w:pPr>
      <w:r>
        <w:rPr>
          <w:w w:val="105"/>
          <w:sz w:val="11"/>
        </w:rPr>
        <w:t>Jan.</w:t>
        <w:tab/>
        <w:t>Mar.</w:t>
        <w:tab/>
        <w:t>May</w:t>
        <w:tab/>
        <w:t>July</w:t>
        <w:tab/>
        <w:t>Sept.</w:t>
        <w:tab/>
        <w:t>Nov.</w:t>
        <w:tab/>
        <w:t>Jan.</w:t>
        <w:tab/>
      </w:r>
      <w:r>
        <w:rPr>
          <w:w w:val="105"/>
          <w:position w:val="8"/>
          <w:sz w:val="11"/>
        </w:rPr>
        <w:t>70</w:t>
      </w:r>
    </w:p>
    <w:p>
      <w:pPr>
        <w:tabs>
          <w:tab w:pos="3740" w:val="left" w:leader="none"/>
        </w:tabs>
        <w:spacing w:before="18"/>
        <w:ind w:left="1773" w:right="0" w:firstLine="0"/>
        <w:jc w:val="left"/>
        <w:rPr>
          <w:sz w:val="11"/>
        </w:rPr>
      </w:pPr>
      <w:r>
        <w:rPr>
          <w:w w:val="105"/>
          <w:sz w:val="11"/>
        </w:rPr>
        <w:t>1998</w:t>
        <w:tab/>
        <w:t>99</w:t>
      </w:r>
    </w:p>
    <w:p>
      <w:pPr>
        <w:spacing w:before="74"/>
        <w:ind w:left="380" w:right="0" w:firstLine="0"/>
        <w:jc w:val="left"/>
        <w:rPr>
          <w:sz w:val="12"/>
        </w:rPr>
      </w:pPr>
      <w:r>
        <w:rPr>
          <w:sz w:val="12"/>
        </w:rPr>
        <w:t>Source: Datastream.</w:t>
      </w:r>
    </w:p>
    <w:p>
      <w:pPr>
        <w:pStyle w:val="BodyText"/>
        <w:spacing w:before="9"/>
        <w:rPr>
          <w:sz w:val="13"/>
        </w:rPr>
      </w:pPr>
    </w:p>
    <w:p>
      <w:pPr>
        <w:pStyle w:val="Heading8"/>
        <w:spacing w:line="249" w:lineRule="auto" w:before="1"/>
        <w:ind w:left="385" w:right="38"/>
      </w:pPr>
      <w:r>
        <w:rPr/>
        <w:t>During 1998, UK share prices have risen most in sectors that are relatively less exposed to overseas developments. Chart B shows a similar pattern in other major EU markets. This could suggest that market confidence in either the future growth of export markets or the ability </w:t>
      </w:r>
      <w:r>
        <w:rPr>
          <w:spacing w:val="-9"/>
        </w:rPr>
        <w:t>of </w:t>
      </w:r>
      <w:r>
        <w:rPr/>
        <w:t>firms to compete with imports from outside the EU, is less robust than that for the domestic EU economy.</w:t>
      </w:r>
    </w:p>
    <w:p>
      <w:pPr>
        <w:spacing w:line="249" w:lineRule="auto" w:before="3"/>
        <w:ind w:left="380" w:right="509" w:firstLine="0"/>
        <w:jc w:val="left"/>
        <w:rPr>
          <w:sz w:val="20"/>
        </w:rPr>
      </w:pPr>
      <w:r>
        <w:rPr/>
        <w:br w:type="column"/>
      </w:r>
      <w:r>
        <w:rPr>
          <w:sz w:val="20"/>
        </w:rPr>
        <w:t>looking at relative share price performance is to relate the change in share prices to earnings. The price:earnings ratio on the F</w:t>
      </w:r>
      <w:r>
        <w:rPr>
          <w:sz w:val="16"/>
        </w:rPr>
        <w:t>T-SE </w:t>
      </w:r>
      <w:r>
        <w:rPr>
          <w:sz w:val="20"/>
        </w:rPr>
        <w:t>Non-Financials index reached an</w:t>
      </w:r>
    </w:p>
    <w:p>
      <w:pPr>
        <w:spacing w:line="249" w:lineRule="auto" w:before="2"/>
        <w:ind w:left="380" w:right="570" w:firstLine="0"/>
        <w:jc w:val="left"/>
        <w:rPr>
          <w:sz w:val="20"/>
        </w:rPr>
      </w:pPr>
      <w:r>
        <w:rPr>
          <w:sz w:val="20"/>
        </w:rPr>
        <w:t>all-time high of 24 in January. That compared with a value of 21 before the stock market crash in 1987. By contrast, the price:earnings ratio on small-capitalisation firms was less than 16, down from 29 in March 1998. It is difficult to find a single explanation for these differences, but one possibility is a rise in the return investors require for holding less-liquid stocks.</w:t>
      </w:r>
    </w:p>
    <w:p>
      <w:pPr>
        <w:spacing w:after="0" w:line="249" w:lineRule="auto"/>
        <w:jc w:val="left"/>
        <w:rPr>
          <w:sz w:val="20"/>
        </w:rPr>
        <w:sectPr>
          <w:type w:val="continuous"/>
          <w:pgSz w:w="11900" w:h="16840"/>
          <w:pgMar w:top="1220" w:bottom="280" w:left="640" w:right="600"/>
          <w:cols w:num="2" w:equalWidth="0">
            <w:col w:w="5069" w:space="67"/>
            <w:col w:w="5524"/>
          </w:cols>
        </w:sectPr>
      </w:pPr>
    </w:p>
    <w:p>
      <w:pPr>
        <w:pStyle w:val="BodyText"/>
        <w:spacing w:before="1"/>
        <w:rPr>
          <w:sz w:val="25"/>
        </w:rPr>
      </w:pPr>
      <w:r>
        <w:rPr/>
        <w:pict>
          <v:group style="position:absolute;margin-left:38.279999pt;margin-top:41pt;width:517pt;height:741pt;mso-position-horizontal-relative:page;mso-position-vertical-relative:page;z-index:-21184512" coordorigin="766,820" coordsize="10340,14820">
            <v:shape style="position:absolute;left:785;top:840;width:10300;height:14780" coordorigin="786,840" coordsize="10300,14780" path="m11086,840l5949,840,5922,840,786,840,786,8201,786,8259,786,15620,5921,15620,5949,15620,11086,15620,11086,8258,11086,8202,11086,840xe" filled="true" fillcolor="#c3e0dc" stroked="false">
              <v:path arrowok="t"/>
              <v:fill type="solid"/>
            </v:shape>
            <v:shape style="position:absolute;left:864;top:962;width:10141;height:14535" coordorigin="865,963" coordsize="10141,14535" path="m5935,963l865,8230,5935,15497,11006,8230,5935,963xe" filled="true" fillcolor="#c4e1dd" stroked="false">
              <v:path arrowok="t"/>
              <v:fill type="solid"/>
            </v:shape>
            <v:shape style="position:absolute;left:964;top:1105;width:9943;height:14250" coordorigin="964,1105" coordsize="9943,14250" path="m5935,1105l964,8230,5935,15355,10906,8230,5935,1105xe" filled="true" fillcolor="#c5e1dd" stroked="false">
              <v:path arrowok="t"/>
              <v:fill type="solid"/>
            </v:shape>
            <v:shape style="position:absolute;left:1063;top:1247;width:9744;height:13965" coordorigin="1064,1248" coordsize="9744,13965" path="m5935,1248l1064,8230,5935,15212,10807,8230,5935,1248xe" filled="true" fillcolor="#c6e2de" stroked="false">
              <v:path arrowok="t"/>
              <v:fill type="solid"/>
            </v:shape>
            <v:shape style="position:absolute;left:1163;top:1390;width:9545;height:13680" coordorigin="1163,1390" coordsize="9545,13680" path="m5935,1390l1163,8230,5935,15070,10708,8230,5935,1390xe" filled="true" fillcolor="#c7e2df" stroked="false">
              <v:path arrowok="t"/>
              <v:fill type="solid"/>
            </v:shape>
            <v:shape style="position:absolute;left:1262;top:1532;width:9346;height:13395" coordorigin="1263,1533" coordsize="9346,13395" path="m5935,1533l1263,8230,5935,14927,10608,8230,5935,1533xe" filled="true" fillcolor="#c8e3df" stroked="false">
              <v:path arrowok="t"/>
              <v:fill type="solid"/>
            </v:shape>
            <v:shape style="position:absolute;left:1362;top:1675;width:9147;height:13110" coordorigin="1362,1675" coordsize="9147,13110" path="m5935,1675l1362,8230,5935,14785,10509,8230,5935,1675xe" filled="true" fillcolor="#c9e3e0" stroked="false">
              <v:path arrowok="t"/>
              <v:fill type="solid"/>
            </v:shape>
            <v:shape style="position:absolute;left:1461;top:1817;width:8948;height:12825" coordorigin="1461,1818" coordsize="8948,12825" path="m5935,1818l1461,8230,5935,14642,10409,8230,5935,1818xe" filled="true" fillcolor="#cae4e0" stroked="false">
              <v:path arrowok="t"/>
              <v:fill type="solid"/>
            </v:shape>
            <v:shape style="position:absolute;left:1560;top:1960;width:8750;height:12540" coordorigin="1561,1960" coordsize="8750,12540" path="m5935,1960l1561,8230,5935,14500,10310,8230,5935,1960xe" filled="true" fillcolor="#cbe4e1" stroked="false">
              <v:path arrowok="t"/>
              <v:fill type="solid"/>
            </v:shape>
            <v:shape style="position:absolute;left:1660;top:2102;width:8551;height:12255" coordorigin="1660,2103" coordsize="8551,12255" path="m5935,2103l1660,8230,5935,14358,10211,8230,5935,2103xe" filled="true" fillcolor="#cce5e1" stroked="false">
              <v:path arrowok="t"/>
              <v:fill type="solid"/>
            </v:shape>
            <v:shape style="position:absolute;left:1759;top:2245;width:8352;height:11970" coordorigin="1760,2245" coordsize="8352,11970" path="m5935,2245l1760,8230,5935,14215,10111,8230,5935,2245xe" filled="true" fillcolor="#cde5e2" stroked="false">
              <v:path arrowok="t"/>
              <v:fill type="solid"/>
            </v:shape>
            <v:shape style="position:absolute;left:1859;top:2387;width:8153;height:11685" coordorigin="1859,2388" coordsize="8153,11685" path="m5935,2388l1859,8230,5935,14073,10012,8230,5935,2388xe" filled="true" fillcolor="#cee6e3" stroked="false">
              <v:path arrowok="t"/>
              <v:fill type="solid"/>
            </v:shape>
            <v:shape style="position:absolute;left:1958;top:2530;width:7954;height:11400" coordorigin="1959,2530" coordsize="7954,11400" path="m5935,2530l1959,8230,5935,13930,9912,8230,5935,2530xe" filled="true" fillcolor="#cfe6e3" stroked="false">
              <v:path arrowok="t"/>
              <v:fill type="solid"/>
            </v:shape>
            <v:shape style="position:absolute;left:2058;top:2672;width:7755;height:11115" coordorigin="2058,2673" coordsize="7755,11115" path="m5935,2673l2058,8230,5935,13788,9813,8230,5935,2673xe" filled="true" fillcolor="#d0e7e4" stroked="false">
              <v:path arrowok="t"/>
              <v:fill type="solid"/>
            </v:shape>
            <v:shape style="position:absolute;left:2157;top:2815;width:7557;height:10830" coordorigin="2157,2815" coordsize="7557,10830" path="m5935,2815l2157,8230,5935,13645,9713,8230,5935,2815xe" filled="true" fillcolor="#d1e7e4" stroked="false">
              <v:path arrowok="t"/>
              <v:fill type="solid"/>
            </v:shape>
            <v:shape style="position:absolute;left:2256;top:2957;width:7358;height:10545" coordorigin="2257,2958" coordsize="7358,10545" path="m5935,2958l2257,8230,5935,13503,9614,8230,5935,2958xe" filled="true" fillcolor="#d3e8e5" stroked="false">
              <v:path arrowok="t"/>
              <v:fill type="solid"/>
            </v:shape>
            <v:shape style="position:absolute;left:2356;top:3100;width:7159;height:10260" coordorigin="2356,3100" coordsize="7159,10260" path="m5935,3100l2356,8230,5935,13360,9515,8230,5935,3100xe" filled="true" fillcolor="#d4e8e5" stroked="false">
              <v:path arrowok="t"/>
              <v:fill type="solid"/>
            </v:shape>
            <v:shape style="position:absolute;left:2455;top:3242;width:6960;height:9975" coordorigin="2456,3243" coordsize="6960,9975" path="m5935,3243l2456,8230,5935,13218,9415,8230,5935,3243xe" filled="true" fillcolor="#d5e9e6" stroked="false">
              <v:path arrowok="t"/>
              <v:fill type="solid"/>
            </v:shape>
            <v:shape style="position:absolute;left:2555;top:3385;width:6761;height:9690" coordorigin="2555,3385" coordsize="6761,9690" path="m5935,3385l2555,8230,5935,13075,9316,8230,5935,3385xe" filled="true" fillcolor="#d6eae7" stroked="false">
              <v:path arrowok="t"/>
              <v:fill type="solid"/>
            </v:shape>
            <v:shape style="position:absolute;left:2654;top:3527;width:6562;height:9405" coordorigin="2655,3528" coordsize="6562,9405" path="m5935,3528l2655,8230,5935,12933,9216,8230,5935,3528xe" filled="true" fillcolor="#d7eae7" stroked="false">
              <v:path arrowok="t"/>
              <v:fill type="solid"/>
            </v:shape>
            <v:shape style="position:absolute;left:2753;top:3670;width:6363;height:9120" coordorigin="2754,3670" coordsize="6363,9120" path="m5935,3670l2754,8230,5935,12790,9117,8230,5935,3670xe" filled="true" fillcolor="#d8ebe8" stroked="false">
              <v:path arrowok="t"/>
              <v:fill type="solid"/>
            </v:shape>
            <v:shape style="position:absolute;left:2853;top:3812;width:6165;height:8835" coordorigin="2853,3813" coordsize="6165,8835" path="m5935,3813l2853,8230,5935,12648,9017,8230,5935,3813xe" filled="true" fillcolor="#d9ebe8" stroked="false">
              <v:path arrowok="t"/>
              <v:fill type="solid"/>
            </v:shape>
            <v:shape style="position:absolute;left:2952;top:3955;width:5966;height:8550" coordorigin="2953,3955" coordsize="5966,8550" path="m5935,3955l2953,8230,5935,12505,8918,8230,5935,3955xe" filled="true" fillcolor="#daece9" stroked="false">
              <v:path arrowok="t"/>
              <v:fill type="solid"/>
            </v:shape>
            <v:shape style="position:absolute;left:3052;top:4097;width:5767;height:8265" coordorigin="3052,4098" coordsize="5767,8265" path="m5935,4098l3052,8230,5935,12363,8819,8230,5935,4098xe" filled="true" fillcolor="#dbece9" stroked="false">
              <v:path arrowok="t"/>
              <v:fill type="solid"/>
            </v:shape>
            <v:shape style="position:absolute;left:3151;top:4240;width:5568;height:7980" coordorigin="3152,4240" coordsize="5568,7980" path="m5935,4240l3152,8230,5935,12220,8719,8230,5935,4240xe" filled="true" fillcolor="#dcedea" stroked="false">
              <v:path arrowok="t"/>
              <v:fill type="solid"/>
            </v:shape>
            <v:shape style="position:absolute;left:3251;top:4382;width:5369;height:7695" coordorigin="3251,4383" coordsize="5369,7695" path="m5935,4383l3251,8230,5935,12078,8620,8230,5935,4383xe" filled="true" fillcolor="#ddedeb" stroked="false">
              <v:path arrowok="t"/>
              <v:fill type="solid"/>
            </v:shape>
            <v:shape style="position:absolute;left:3350;top:4525;width:5170;height:7410" coordorigin="3350,4525" coordsize="5170,7410" path="m5935,4525l3350,8230,5935,11935,8520,8230,5935,4525xe" filled="true" fillcolor="#deeeeb" stroked="false">
              <v:path arrowok="t"/>
              <v:fill type="solid"/>
            </v:shape>
            <v:shape style="position:absolute;left:3449;top:4667;width:4972;height:7125" coordorigin="3450,4668" coordsize="4972,7125" path="m5935,4668l3450,8230,5935,11793,8421,8230,5935,4668xe" filled="true" fillcolor="#e0efec" stroked="false">
              <v:path arrowok="t"/>
              <v:fill type="solid"/>
            </v:shape>
            <v:shape style="position:absolute;left:3549;top:4810;width:4773;height:6840" coordorigin="3549,4810" coordsize="4773,6840" path="m5935,4810l3549,8230,5935,11650,8322,8230,5935,4810xe" filled="true" fillcolor="#e1efec" stroked="false">
              <v:path arrowok="t"/>
              <v:fill type="solid"/>
            </v:shape>
            <v:shape style="position:absolute;left:3648;top:4952;width:4574;height:6555" coordorigin="3649,4953" coordsize="4574,6555" path="m5935,4953l3649,8230,5935,11508,8222,8230,5935,4953xe" filled="true" fillcolor="#e2f0ed" stroked="false">
              <v:path arrowok="t"/>
              <v:fill type="solid"/>
            </v:shape>
            <v:shape style="position:absolute;left:3748;top:5095;width:4375;height:6270" coordorigin="3748,5095" coordsize="4375,6270" path="m5935,5095l3748,8230,5935,11365,8123,8230,5935,5095xe" filled="true" fillcolor="#e3f0ee" stroked="false">
              <v:path arrowok="t"/>
              <v:fill type="solid"/>
            </v:shape>
            <v:shape style="position:absolute;left:3847;top:5237;width:4176;height:5985" coordorigin="3848,5238" coordsize="4176,5985" path="m5935,5238l3848,8230,5935,11223,8023,8230,5935,5238xe" filled="true" fillcolor="#e4f1ee" stroked="false">
              <v:path arrowok="t"/>
              <v:fill type="solid"/>
            </v:shape>
            <v:shape style="position:absolute;left:3947;top:5380;width:3977;height:5700" coordorigin="3947,5380" coordsize="3977,5700" path="m5935,5380l3947,8230,5935,11080,7924,8230,5935,5380xe" filled="true" fillcolor="#e5f1ef" stroked="false">
              <v:path arrowok="t"/>
              <v:fill type="solid"/>
            </v:shape>
            <v:shape style="position:absolute;left:4046;top:5522;width:3779;height:5415" coordorigin="4046,5523" coordsize="3779,5415" path="m5935,5523l4046,8230,5935,10938,7824,8230,5935,5523xe" filled="true" fillcolor="#e6f2ef" stroked="false">
              <v:path arrowok="t"/>
              <v:fill type="solid"/>
            </v:shape>
            <v:shape style="position:absolute;left:4145;top:5665;width:3580;height:5130" coordorigin="4146,5665" coordsize="3580,5130" path="m5935,5665l4146,8230,5935,10795,7725,8230,5935,5665xe" filled="true" fillcolor="#e7f3f0" stroked="false">
              <v:path arrowok="t"/>
              <v:fill type="solid"/>
            </v:shape>
            <v:shape style="position:absolute;left:4245;top:5807;width:3381;height:4845" coordorigin="4245,5808" coordsize="3381,4845" path="m5935,5808l4245,8230,5935,10653,7626,8230,5935,5808xe" filled="true" fillcolor="#e9f3f1" stroked="false">
              <v:path arrowok="t"/>
              <v:fill type="solid"/>
            </v:shape>
            <v:shape style="position:absolute;left:4344;top:5950;width:3182;height:4560" coordorigin="4345,5950" coordsize="3182,4560" path="m5935,5950l4345,8230,5935,10510,7526,8230,5935,5950xe" filled="true" fillcolor="#eaf4f2" stroked="false">
              <v:path arrowok="t"/>
              <v:fill type="solid"/>
            </v:shape>
            <v:shape style="position:absolute;left:4444;top:6092;width:2983;height:4275" coordorigin="4444,6093" coordsize="2983,4275" path="m5935,6093l4444,8230,5935,10368,7427,8230,5935,6093xe" filled="true" fillcolor="#ebf4f2" stroked="false">
              <v:path arrowok="t"/>
              <v:fill type="solid"/>
            </v:shape>
            <v:shape style="position:absolute;left:4543;top:6235;width:2784;height:3990" coordorigin="4544,6235" coordsize="2784,3990" path="m5935,6235l4544,8230,5935,10225,7327,8230,5935,6235xe" filled="true" fillcolor="#ecf5f3" stroked="false">
              <v:path arrowok="t"/>
              <v:fill type="solid"/>
            </v:shape>
            <v:shape style="position:absolute;left:4642;top:6377;width:2585;height:3705" coordorigin="4643,6378" coordsize="2585,3705" path="m5935,6378l4643,8230,5935,10083,7228,8230,5935,6378xe" filled="true" fillcolor="#edf6f4" stroked="false">
              <v:path arrowok="t"/>
              <v:fill type="solid"/>
            </v:shape>
            <v:shape style="position:absolute;left:4742;top:6520;width:2387;height:3420" coordorigin="4742,6520" coordsize="2387,3420" path="m5935,6520l4742,8230,5935,9940,7128,8230,5935,6520xe" filled="true" fillcolor="#eff7f5" stroked="false">
              <v:path arrowok="t"/>
              <v:fill type="solid"/>
            </v:shape>
            <v:shape style="position:absolute;left:4841;top:6662;width:2188;height:3135" coordorigin="4842,6663" coordsize="2188,3135" path="m5935,6663l4842,8230,5935,9798,7029,8230,5935,6663xe" filled="true" fillcolor="#f0f7f5" stroked="false">
              <v:path arrowok="t"/>
              <v:fill type="solid"/>
            </v:shape>
            <v:shape style="position:absolute;left:4941;top:6805;width:1989;height:2850" coordorigin="4941,6805" coordsize="1989,2850" path="m5935,6805l4941,8230,5935,9655,6930,8230,5935,6805xe" filled="true" fillcolor="#f1f8f6" stroked="false">
              <v:path arrowok="t"/>
              <v:fill type="solid"/>
            </v:shape>
            <v:shape style="position:absolute;left:5040;top:6947;width:1790;height:2565" coordorigin="5041,6948" coordsize="1790,2565" path="m5935,6948l5041,8230,5935,9513,6830,8230,5935,6948xe" filled="true" fillcolor="#f2f8f7" stroked="false">
              <v:path arrowok="t"/>
              <v:fill type="solid"/>
            </v:shape>
            <v:shape style="position:absolute;left:5140;top:7090;width:1591;height:2280" coordorigin="5140,7090" coordsize="1591,2280" path="m5935,7090l5140,8230,5935,9370,6731,8230,5935,7090xe" filled="true" fillcolor="#f3f9f8" stroked="false">
              <v:path arrowok="t"/>
              <v:fill type="solid"/>
            </v:shape>
            <v:shape style="position:absolute;left:5239;top:7232;width:1392;height:1995" coordorigin="5239,7233" coordsize="1392,1995" path="m5935,7233l5239,8230,5935,9228,6631,8230,5935,7233xe" filled="true" fillcolor="#f5f9f8" stroked="false">
              <v:path arrowok="t"/>
              <v:fill type="solid"/>
            </v:shape>
            <v:shape style="position:absolute;left:5338;top:7375;width:1194;height:1710" coordorigin="5339,7375" coordsize="1194,1710" path="m5935,7375l5339,8230,5935,9085,6532,8230,5935,7375xe" filled="true" fillcolor="#f6faf9" stroked="false">
              <v:path arrowok="t"/>
              <v:fill type="solid"/>
            </v:shape>
            <v:shape style="position:absolute;left:5438;top:7517;width:995;height:1425" coordorigin="5438,7518" coordsize="995,1425" path="m5935,7518l5438,8230,5935,8943,6433,8230,5935,7518xe" filled="true" fillcolor="#f8fbfa" stroked="false">
              <v:path arrowok="t"/>
              <v:fill type="solid"/>
            </v:shape>
            <v:shape style="position:absolute;left:5537;top:7660;width:796;height:1140" coordorigin="5538,7660" coordsize="796,1140" path="m5935,7660l5538,8230,5935,8800,6333,8230,5935,7660xe" filled="true" fillcolor="#f9fcfc" stroked="false">
              <v:path arrowok="t"/>
              <v:fill type="solid"/>
            </v:shape>
            <v:shape style="position:absolute;left:5637;top:7802;width:597;height:855" coordorigin="5637,7803" coordsize="597,855" path="m5935,7803l5637,8230,5935,8658,6234,8230,5935,7803xe" filled="true" fillcolor="#fbfdfd" stroked="false">
              <v:path arrowok="t"/>
              <v:fill type="solid"/>
            </v:shape>
            <v:shape style="position:absolute;left:5736;top:7945;width:398;height:570" coordorigin="5737,7945" coordsize="398,570" path="m5935,7945l5737,8230,5935,8515,6134,8230,5935,7945xe" filled="true" fillcolor="#fdfefe" stroked="false">
              <v:path arrowok="t"/>
              <v:fill type="solid"/>
            </v:shape>
            <v:shape style="position:absolute;left:5836;top:8087;width:199;height:285" coordorigin="5836,8088" coordsize="199,285" path="m5935,8088l5836,8230,5935,8373,6035,8230,5935,8088xe" filled="true" fillcolor="#ffffff" stroked="false">
              <v:path arrowok="t"/>
              <v:fill type="solid"/>
            </v:shape>
            <v:rect style="position:absolute;left:775;top:830;width:10320;height:14800" filled="false" stroked="true" strokeweight="1pt" strokecolor="#009483">
              <v:stroke dashstyle="solid"/>
            </v:rect>
            <v:shape style="position:absolute;left:995;top:5037;width:4690;height:3883" coordorigin="996,5038" coordsize="4690,3883" path="m5686,5038l996,5038,996,5578,996,8920,5686,8920,5686,5578,5686,5038xe" filled="true" fillcolor="#ffffff" stroked="false">
              <v:path arrowok="t"/>
              <v:fill type="solid"/>
            </v:shape>
            <v:shape style="position:absolute;left:1295;top:6899;width:3277;height:1262" coordorigin="1295,6899" coordsize="3277,1262" path="m1295,7353l1354,7467,1411,7445,1467,7564,1526,7462,1582,7426,1641,7502,1698,7443,1757,7343,1813,7239,1872,7336,1929,7258,1988,7179,2044,7149,2103,7165,2162,7194,2218,7101,2275,7018,2334,6975,2390,6899,2447,7013,2506,7089,2565,7182,2621,7293,2677,7388,2736,7360,2795,7277,2852,7374,2908,7398,2967,7464,3026,7552,3083,7859,3139,7892,3198,7759,3254,8049,3313,8160,3370,8013,3429,7856,3485,7692,3544,7771,3601,7859,3660,7754,3716,7823,3775,7678,3831,7605,3888,7657,3947,7609,4006,7517,4062,7861,4119,7754,4178,7752,4237,7669,4293,7695,4349,7685,4408,7833,4467,7806,4524,8030,4572,7944e" filled="false" stroked="true" strokeweight=".95pt" strokecolor="#00a995">
              <v:path arrowok="t"/>
              <v:stroke dashstyle="solid"/>
            </v:shape>
            <v:shape style="position:absolute;left:1295;top:6110;width:3277;height:1404" coordorigin="1295,6111" coordsize="3277,1404" path="m1295,7353l1354,7168,1411,7217,1467,7027,1526,6966,1582,6655,1641,6702,1698,6614,1757,6731,1813,6764,1872,6674,1929,6702,1988,6830,2044,6562,2103,6498,2162,6707,2218,6823,2275,6700,2334,6688,2390,6628,2447,6685,2506,6733,2565,6726,2621,6586,2677,6562,2736,6560,2795,6522,2852,6486,2908,6405,2967,6548,3026,6541,3083,6766,3139,6887,3198,6617,3254,6847,3313,7025,3370,7008,3429,7056,3485,7084,3544,7305,3601,7514,3660,7196,3716,7020,3775,6785,3831,6795,3888,6750,3947,6631,4006,6543,4062,6695,4119,6522,4178,6538,4237,6391,4293,6343,4349,6111,4408,6381,4467,6272,4524,6384,4572,6517e" filled="false" stroked="true" strokeweight=".95pt" strokecolor="#0093c0">
              <v:path arrowok="t"/>
              <v:stroke dashstyle="solid"/>
            </v:shape>
            <v:shape style="position:absolute;left:1295;top:6222;width:3277;height:1131" coordorigin="1295,6222" coordsize="3277,1131" path="m1295,7353l1354,7149,1411,7054,1467,6913,1526,6994,1582,7027,1641,7080,1698,7065,1757,7082,1813,7189,1872,7132,1929,6987,1988,6947,2044,6868,2103,6947,2162,7016,2218,6970,2275,6944,2334,6959,2390,6975,2447,6987,2506,6988,2565,6918,2621,6975,2677,6949,2736,6909,2795,6802,2852,6707,2908,6607,2967,6602,3026,6631,3083,6721,3139,6773,3198,6735,3254,6859,3313,6861,3370,6728,3429,6581,3485,6469,3544,6405,3601,6548,3660,6638,3716,6671,3775,6633,3831,6581,3888,6374,3947,6317,4006,6222,4062,6346,4119,6403,4178,6379,4237,6429,4293,6460,4349,6486,4408,6484,4467,6417,4524,6581,4572,6664e" filled="false" stroked="true" strokeweight=".95pt" strokecolor="#9bd3ae">
              <v:path arrowok="t"/>
              <v:stroke dashstyle="solid"/>
            </v:shape>
            <v:shape style="position:absolute;left:1295;top:6438;width:3277;height:1903" coordorigin="1295,6438" coordsize="3277,1903" path="m1295,7353l1354,7310,1411,7479,1467,7631,1526,7583,1582,7448,1641,7379,1698,7350,1757,7225,1813,7030,1872,6994,1929,6854,1988,6847,2044,6833,2103,6899,2162,6871,2218,6728,2275,6709,2334,6519,2390,6486,2447,6440,2506,6438,2565,6531,2621,6647,2677,6899,2736,7125,2795,6997,2852,7018,2908,7042,2967,7236,3026,7412,3083,7491,3139,7640,3198,7645,3254,7899,3313,8051,3370,8020,3429,8170,3485,8222,3544,8341,3601,8324,3660,8096,3716,7980,3775,7911,3831,7785,3888,7887,3947,7890,4006,7783,4062,7906,4119,7811,4178,7887,4237,7804,4293,7780,4349,7792,4408,7928,4467,7973,4524,7847,4572,7574e" filled="false" stroked="true" strokeweight=".95pt" strokecolor="#75442b">
              <v:path arrowok="t"/>
              <v:stroke dashstyle="solid"/>
            </v:shape>
            <v:shape style="position:absolute;left:1295;top:6008;width:3277;height:1437" coordorigin="1295,6009" coordsize="3277,1437" path="m1295,7334l1354,7263,1411,7305,1467,7215,1526,7196,1582,7122,1641,7101,1698,7013,1757,6916,1813,6935,1872,6790,1929,6567,1988,6593,2044,6486,2103,6498,2162,6517,2218,6569,2275,6541,2334,6514,2390,6438,2447,6379,2506,6377,2565,6279,2621,6282,2677,6324,2736,6239,2795,6172,2852,6113,2908,6037,2967,6099,3026,6201,3083,6438,3139,6555,3198,6389,3254,6655,3313,6913,3370,6875,3429,6904,3485,6942,3544,7108,3601,7445,3660,7201,3716,7054,3775,6944,3831,6802,3888,6821,3947,6738,4006,6586,4062,6773,4119,6707,4178,6671,4237,6484,4293,6453,4349,6227,4408,6346,4467,6130,4524,6096,4572,6009e" filled="false" stroked="true" strokeweight=".95pt" strokecolor="#faab54">
              <v:path arrowok="t"/>
              <v:stroke dashstyle="solid"/>
            </v:shape>
            <v:shape style="position:absolute;left:1295;top:6341;width:3277;height:1789" coordorigin="1295,6341" coordsize="3277,1789" path="m1295,7334l1354,7253,1411,7324,1467,7258,1526,6942,1582,6790,1641,6878,1698,6650,1757,6586,1813,6752,1872,6643,1929,6408,1988,6517,2044,6476,2103,6341,2162,6405,2218,6588,2275,6676,2334,6723,2390,6795,2447,6780,2506,6873,2565,6904,2621,6921,2677,7004,2736,7001,2795,6966,2852,6975,2908,6726,2967,6868,3026,6871,3083,7153,3139,7443,3198,7225,3254,7415,3313,7676,3370,7714,3429,7728,3485,7726,3544,8042,3601,8129,3660,7759,3716,7521,3775,7531,3831,7362,3888,7462,3947,7315,4006,7042,4062,7258,4119,7279,4178,7265,4237,7115,4293,7113,4349,6911,4408,7198,4467,7013,4524,7215,4572,7037e" filled="false" stroked="true" strokeweight=".95pt" strokecolor="#0066a5">
              <v:path arrowok="t"/>
              <v:stroke dashstyle="solid"/>
            </v:shape>
            <v:shape style="position:absolute;left:1051;top:5749;width:3742;height:2798" coordorigin="1051,5750" coordsize="3742,2798" path="m1051,5750l1191,5750m1051,6158l1191,6158m1051,6557l1191,6557m1051,6970l1191,6970m1051,7360l1191,7360m1051,7759l1191,7759m1051,8163l1191,8163m1051,8547l1191,8547m4653,6158l4793,6158m4653,6557l4793,6557m4653,6970l4793,6970m4653,7360l4793,7360m4653,7759l4793,7759m4653,8163l4793,8163m4653,8547l4793,8547m3734,5869l4256,6129e" filled="false" stroked="true" strokeweight=".475pt" strokecolor="#000000">
              <v:path arrowok="t"/>
              <v:stroke dashstyle="solid"/>
            </v:shape>
            <v:shape style="position:absolute;left:4227;top:6100;width:93;height:61" coordorigin="4227,6100" coordsize="93,61" path="m4254,6100l4227,6142,4245,6144,4259,6146,4273,6148,4300,6154,4311,6157,4320,6160,4312,6155,4304,6148,4294,6140,4284,6131,4275,6123,4254,6100xe" filled="true" fillcolor="#000000" stroked="false">
              <v:path arrowok="t"/>
              <v:fill type="solid"/>
            </v:shape>
            <v:line style="position:absolute" from="2489,7763" to="3018,7199" stroked="true" strokeweight=".475pt" strokecolor="#000000">
              <v:stroke dashstyle="solid"/>
            </v:line>
            <v:shape style="position:absolute;left:2985;top:7149;width:79;height:78" coordorigin="2986,7150" coordsize="79,78" path="m3065,7150l2986,7196,3028,7227,3055,7166,3060,7157,3065,7150xe" filled="true" fillcolor="#000000" stroked="false">
              <v:path arrowok="t"/>
              <v:fill type="solid"/>
            </v:shape>
            <v:shape style="position:absolute;left:1268;top:8425;width:3290;height:131" coordorigin="1269,8425" coordsize="3290,131" path="m1269,8549l4558,8549m1280,8546l1280,8425m1548,8544l1548,8479m1775,8556l1775,8490m2038,8550l2038,8484m3543,8551l3543,8485m3302,8551l3302,8485m3036,8538l3036,8472m2783,8538l2783,8472m2536,8544l2536,8479m2281,8555l2281,8489m4557,8551l4557,8472m4296,8551l4296,8430m4049,8538l4049,8472m3797,8538l3797,8472e" filled="false" stroked="true" strokeweight=".475pt" strokecolor="#000000">
              <v:path arrowok="t"/>
              <v:stroke dashstyle="solid"/>
            </v:shape>
            <v:shape style="position:absolute;left:6136;top:11160;width:4690;height:4050" coordorigin="6137,11160" coordsize="4690,4050" path="m10827,11160l6137,11160,6137,11670,6137,11690,6137,15210,10827,15210,10827,11690,10827,11670,10827,11160xe" filled="true" fillcolor="#ffffff" stroked="false">
              <v:path arrowok="t"/>
              <v:fill type="solid"/>
            </v:shape>
            <v:line style="position:absolute" from="6387,14848" to="6390,14722" stroked="true" strokeweight=".475pt" strokecolor="#000000">
              <v:stroke dashstyle="solid"/>
            </v:line>
            <v:shape style="position:absolute;left:6634;top:14773;width:958;height:73" coordorigin="6634,14773" coordsize="958,73" path="m6634,14773l6634,14846m7105,14773l7105,14846m7346,14773l7346,14846m7592,14773l7592,14846e" filled="false" stroked="true" strokeweight=".607pt" strokecolor="#000000">
              <v:path arrowok="t"/>
              <v:stroke dashstyle="solid"/>
            </v:shape>
            <v:line style="position:absolute" from="7830,14773" to="7830,14846" stroked="true" strokeweight=".607pt" strokecolor="#000000">
              <v:stroke dashstyle="solid"/>
            </v:line>
            <v:shape style="position:absolute;left:8078;top:14773;width:733;height:73" coordorigin="8079,14773" coordsize="733,73" path="m8079,14773l8079,14846m8327,14773l8327,14846m8565,14773l8565,14846m8811,14773l8811,14846e" filled="false" stroked="true" strokeweight=".607pt" strokecolor="#000000">
              <v:path arrowok="t"/>
              <v:stroke dashstyle="solid"/>
            </v:shape>
            <v:line style="position:absolute" from="9052,14773" to="9052,14846" stroked="true" strokeweight=".608pt" strokecolor="#000000">
              <v:stroke dashstyle="solid"/>
            </v:line>
            <v:line style="position:absolute" from="9300,14841" to="9302,14716" stroked="true" strokeweight=".475pt" strokecolor="#000000">
              <v:stroke dashstyle="solid"/>
            </v:line>
            <v:shape style="position:absolute;left:6389;top:12504;width:3183;height:1362" coordorigin="6390,12504" coordsize="3183,1362" path="m6390,13400l6453,13308,6511,13369,6567,13308,6622,13180,6678,13023,6734,13056,6789,12931,6845,12872,6903,12901,6956,12807,7014,12630,7069,12681,7125,12572,7181,12538,7236,12608,7292,12671,7347,12647,7403,12621,7458,12589,7514,12579,7572,12628,7625,12625,7683,12630,7739,12713,7794,12714,7850,12640,7905,12621,7964,12504,8017,12630,8075,12703,8130,12967,8186,13144,8241,12952,8297,13228,8352,13466,8408,13432,8466,13449,8519,13446,8575,13667,8633,13865,8686,13565,8744,13398,8800,13289,8855,13158,8911,13195,8966,13090,9022,12901,9077,13129,9135,13056,9188,13052,9247,12897,9294,12877,9358,12698,9413,12914,9469,12766,9527,12863,9572,12763e" filled="false" stroked="true" strokeweight=".95pt" strokecolor="#0093c0">
              <v:path arrowok="t"/>
              <v:stroke dashstyle="solid"/>
            </v:shape>
            <v:shape style="position:absolute;left:6389;top:12492;width:1183;height:909" coordorigin="6390,12492" coordsize="1183,909" path="m6390,13400l6453,13306m6453,13306l6511,13371m6511,13371l6567,13291m6567,13291l6622,13132m6622,13132l6678,12960m6678,12960l6734,13010m6734,13010l6789,12855m6789,12855l6845,12812m6845,12812l6903,12877m6903,12877l6956,12785m6956,12785l7014,12594m7014,12594l7069,12681m7069,12681l7125,12543m7125,12543l7181,12492m7181,12492l7236,12591m7236,12591l7292,12686m7292,12686l7347,12659m7347,12659l7403,12650m7403,12650l7458,12640m7458,12640l7514,12652m7514,12652l7572,12720e" filled="false" stroked="true" strokeweight=".95pt" strokecolor="#0066a5">
              <v:path arrowok="t"/>
              <v:stroke dashstyle="solid"/>
            </v:shape>
            <v:line style="position:absolute" from="7563,12721" to="7634,12721" stroked="true" strokeweight="1.071pt" strokecolor="#0066a5">
              <v:stroke dashstyle="solid"/>
            </v:line>
            <v:shape style="position:absolute;left:7624;top:12627;width:225;height:141" coordorigin="7625,12628" coordsize="225,141" path="m7625,12720l7683,12730m7683,12730l7739,12768m7739,12768l7794,12725m7794,12725l7850,12628e" filled="false" stroked="true" strokeweight=".95pt" strokecolor="#0066a5">
              <v:path arrowok="t"/>
              <v:stroke dashstyle="solid"/>
            </v:shape>
            <v:line style="position:absolute" from="7840,12624" to="7915,12624" stroked="true" strokeweight="1.313pt" strokecolor="#0066a5">
              <v:stroke dashstyle="solid"/>
            </v:line>
            <v:shape style="position:absolute;left:7905;top:12482;width:503;height:935" coordorigin="7905,12483" coordsize="503,935" path="m7905,12621l7964,12483m7964,12483l8016,12616m8016,12616l8075,12676m8075,12676l8130,12972m8130,12972l8186,13153m8186,13153l8241,12904m8241,12904l8297,13182m8297,13182l8352,13417m8352,13417l8408,13400e" filled="false" stroked="true" strokeweight=".95pt" strokecolor="#0066a5">
              <v:path arrowok="t"/>
              <v:stroke dashstyle="solid"/>
            </v:shape>
            <v:line style="position:absolute" from="8398,13402" to="8476,13402" stroked="true" strokeweight="1.071pt" strokecolor="#0066a5">
              <v:stroke dashstyle="solid"/>
            </v:line>
            <v:shape style="position:absolute;left:8466;top:12497;width:1106;height:1313" coordorigin="8466,12497" coordsize="1106,1313" path="m8466,13403l8519,13371m8519,13371l8575,13613m8575,13613l8633,13810m8633,13810l8686,13475m8686,13475l8744,13313m8744,13313l8800,13190m8800,13190l8855,13078m8855,13078l8911,13107m8911,13107l8966,12960m8966,12960l9022,12754m9022,12754l9077,12996m9077,12996l9135,12909m9135,12909l9188,12885m9188,12885l9247,12715m9247,12715l9294,12703m9294,12703l9358,12497m9358,12497l9413,12761m9413,12761l9469,12570m9469,12570l9527,12710m9527,12710l9572,12647e" filled="false" stroked="true" strokeweight=".95pt" strokecolor="#0066a5">
              <v:path arrowok="t"/>
              <v:stroke dashstyle="solid"/>
            </v:shape>
            <v:shape style="position:absolute;left:6389;top:12262;width:3183;height:1676" coordorigin="6390,12262" coordsize="3183,1676" path="m6390,13400l6453,13308,6511,13371,6567,13374,6622,13350,6678,13231,6734,13204,6789,13170,6845,13056,6903,12960,6956,12848,7014,12717,7069,12671,7125,12642,7181,12657,7236,12650,7292,12579,7347,12575,7458,12390,7514,12330,7572,12286,7625,12262,7683,12267,7739,12524,7794,12657,7850,12628,7905,12550,7964,12487,8017,12613,8075,12700,8130,12875,8186,13032,8241,13027,8297,13289,8352,13538,8408,13437,8466,13502,8519,13609,8575,13749,8633,13938,8686,13720,8744,13534,8800,13456,8855,13260,8911,13342,8966,13388,9022,13245,9077,13432,9135,13408,9188,13492,9247,13374,9294,13335,9358,13241,9413,13316,9469,13313,9527,13228,9572,12974e" filled="false" stroked="true" strokeweight=".95pt" strokecolor="#9bd3ae">
              <v:path arrowok="t"/>
              <v:stroke dashstyle="solid"/>
            </v:shape>
            <v:shape style="position:absolute;left:6389;top:12426;width:3183;height:1960" coordorigin="6390,12427" coordsize="3183,1960" path="m6390,13400l6453,13335,6511,13323,6567,13308,6622,13287,6678,13214,6734,13170,6789,13151,6845,13100,6903,13049,6956,12935,7014,12824,7069,12742,7125,12727,7236,12742,7292,12725,7347,12710,7403,12625,7458,12495,7514,12427,7572,12453,7625,12458,7683,12460,7739,12577,7794,12768,7850,12800,7905,12834,7964,12839,8017,12909,8075,13083,8130,13195,8186,13362,8241,13381,8297,13664,8352,13909,8408,13841,8466,13902,8519,13982,8575,14149,8633,14386,8686,14323,8744,14171,8800,14091,8855,13924,8911,13916,8966,13950,9022,13909,9077,14006,9135,14008,9188,14028,9247,13943,9294,13904,9358,13805,9413,13827,9469,13834,9527,13812,9572,13672e" filled="false" stroked="true" strokeweight=".95pt" strokecolor="#40ad49">
              <v:path arrowok="t"/>
              <v:stroke dashstyle="solid"/>
            </v:shape>
            <v:shape style="position:absolute;left:6190;top:11982;width:3597;height:2853" coordorigin="6190,11982" coordsize="3597,2853" path="m6190,11982l6328,11982m6190,12457l6328,12457m6190,12929l6328,12929m6190,13416l6328,13416m6190,13879l6328,13879m6190,14378l6328,14378m6190,14835l6328,14835m9634,12457l9771,12457m9642,12929l9779,12929m9650,13416l9787,13416m9650,13879l9787,13879m9634,14378l9771,14378m9634,14835l9771,14835e" filled="false" stroked="true" strokeweight=".475pt" strokecolor="#000000">
              <v:path arrowok="t"/>
              <v:stroke dashstyle="solid"/>
            </v:shape>
            <v:line style="position:absolute" from="6388,14838" to="9542,14838" stroked="true" strokeweight=".475pt" strokecolor="#000000">
              <v:stroke dashstyle="solid"/>
            </v:line>
            <v:line style="position:absolute" from="6871,14762" to="6871,14834" stroked="true" strokeweight=".608pt" strokecolor="#000000">
              <v:stroke dashstyle="solid"/>
            </v:line>
            <v:line style="position:absolute" from="9543,14770" to="9543,14843" stroked="true" strokeweight=".607pt" strokecolor="#000000">
              <v:stroke dashstyle="solid"/>
            </v:line>
            <v:shape style="position:absolute;left:8530;top:12699;width:435;height:356" type="#_x0000_t75" stroked="false">
              <v:imagedata r:id="rId36" o:title=""/>
            </v:shape>
            <v:shape style="position:absolute;left:8948;top:12331;width:369;height:250" type="#_x0000_t75" stroked="false">
              <v:imagedata r:id="rId37" o:title=""/>
            </v:shape>
            <v:shape style="position:absolute;left:1005;top:11180;width:4680;height:3850" coordorigin="1006,11180" coordsize="4680,3850" path="m5686,11180l1016,11180,1016,11680,1006,11680,1006,15030,5686,15030,5686,11700,5686,11680,5686,11180xe" filled="true" fillcolor="#ffffff" stroked="false">
              <v:path arrowok="t"/>
              <v:fill type="solid"/>
            </v:shape>
            <v:shape style="position:absolute;left:1255;top:12658;width:3291;height:1490" coordorigin="1256,12658" coordsize="3291,1490" path="m1256,13796l1315,13739,1374,13810,1433,13767,1492,13670,1551,13599,1610,13627,1669,13613,1728,13513,1784,13487,1833,13318,1892,13219,1951,13093,2010,12981,2069,13007,2125,13036,2184,13107,2243,13108,2302,13093,2361,12938,2420,12881,2479,12853,2525,12812,2584,12798,2643,12896,2702,12827,2761,12784,2820,12713,2879,12658,2938,12755,2995,12924,3054,13107,3113,13219,3161,13135,3220,13401,3279,13542,3336,13543,3395,13710,3454,13810,3513,14007,3572,14147,3631,13893,3690,13824,3749,13682,3794,13556,3853,13670,3913,13599,3972,13458,4031,13599,4090,13641,4149,13627,4208,13527,4264,13501,4323,13344,4382,13556,4441,13513,4490,13444,4546,13430e" filled="false" stroked="true" strokeweight=".95pt" strokecolor="#75442b">
              <v:path arrowok="t"/>
              <v:stroke dashstyle="solid"/>
            </v:shape>
            <v:shape style="position:absolute;left:1255;top:12066;width:3291;height:1729" coordorigin="1256,12067" coordsize="3291,1729" path="m1256,13796l1315,13753,1374,13767,1433,13753,1492,13641,1551,13541,1669,13513,1728,13373,1784,13374,1833,13261,1892,13107,1951,13064,2010,12952,2069,12954,2125,12853,2184,12895,2243,12924,2302,12925,2361,12867,2420,12741,2479,12727,2525,12629,2584,12558,2643,12515,2702,12489,2761,12432,2820,12347,2879,12306,2938,12333,2995,12321,3054,12587,3113,12544,3161,12333,3220,12587,3279,12644,3336,12684,3395,12798,3454,12867,3513,13218,3572,13373,3631,12981,3690,13021,3749,13050,3794,12895,3853,12881,3913,12770,3972,12601,4031,12755,4090,12757,4149,12644,4208,12475,4264,12404,4323,12138,4382,12347,4441,12067,4490,12095,4546,12067e" filled="false" stroked="true" strokeweight=".95pt" strokecolor="#faab54">
              <v:path arrowok="t"/>
              <v:stroke dashstyle="solid"/>
            </v:shape>
            <v:shape style="position:absolute;left:1081;top:11837;width:3630;height:2841" coordorigin="1082,11837" coordsize="3630,2841" path="m1082,14669l1196,14669m1082,11837l1196,11837m1082,12122l1196,12122m1082,12369l1196,12369m1082,12679l1196,12679m1082,12959l1196,12959m1082,13237l1196,13237m1082,13529l1196,13529m1082,13807l1196,13807m1082,14105l1196,14105m1082,14384l1196,14384m4597,14677l4711,14677m4597,11845l4711,11845m4597,12130l4711,12130m4597,12377l4711,12377m4597,12688l4711,12688m4597,12967l4711,12967m4597,13245l4711,13245m4597,13537l4711,13537m4597,13815l4711,13815m4597,14113l4711,14113m4597,14392l4711,14392e" filled="false" stroked="true" strokeweight=".475pt" strokecolor="#231f20">
              <v:path arrowok="t"/>
              <v:stroke dashstyle="solid"/>
            </v:shape>
            <v:shape style="position:absolute;left:1252;top:14526;width:3271;height:149" coordorigin="1253,14526" coordsize="3271,149" path="m1253,14669l4523,14669m1253,14669l1253,14529m3755,14662l3755,14595m3508,14668l3508,14602m3261,14675l3261,14608m3003,14663l3003,14596m2741,14662l2741,14595m2499,14668l2499,14602m2241,14675l2241,14608m1995,14668l1995,14602m1742,14668l1742,14602m1514,14668l1514,14602m4523,14663l4523,14596m4270,14668l4270,14526m4003,14662l4003,14595e" filled="false" stroked="true" strokeweight=".475pt" strokecolor="#000000">
              <v:path arrowok="t"/>
              <v:stroke dashstyle="solid"/>
            </v:shape>
            <v:shape style="position:absolute;left:995;top:3440;width:9837;height:12040" coordorigin="996,3440" coordsize="9837,12040" path="m5686,15020l996,15020,996,15480,5686,15480,5686,15020xm10832,3440l6152,3440,6152,3930,6152,3940,6152,7220,10832,7220,10832,3940,10832,3930,10832,3440xe" filled="true" fillcolor="#ffffff" stroked="false">
              <v:path arrowok="t"/>
              <v:fill type="solid"/>
            </v:shape>
            <v:shape style="position:absolute;left:6417;top:4632;width:3358;height:1542" coordorigin="6418,4633" coordsize="3358,1542" path="m6418,5972l6536,6029,6595,5986,6654,5872,6713,5770,6772,5713,6831,5685,6890,5611,6949,5756,7008,5671,7067,5628,7126,5568,7185,5497,7244,5540,7301,5526,7360,5440,7419,5426,7478,5454,7537,5381,7596,5469,7655,5554,7714,5611,7773,5642,7832,5643,7891,5554,7950,5511,8009,5440,8068,5338,8125,5483,8184,5454,8243,5554,8302,5628,8361,5554,8420,5756,8479,5986,8538,5972,8597,5872,8656,5785,8715,6001,8774,6174,8833,5844,8892,5656,8949,5597,9008,5381,9067,5395,9126,5267,9185,5179,9244,5281,9303,5210,9362,5165,9421,4949,9480,4934,9539,4732,9598,4877,9657,4792,9716,4690,9775,4633e" filled="false" stroked="true" strokeweight=".95pt" strokecolor="#75442b">
              <v:path arrowok="t"/>
              <v:stroke dashstyle="solid"/>
            </v:shape>
            <v:shape style="position:absolute;left:6417;top:4243;width:3358;height:1773" coordorigin="6418,4243" coordsize="3358,1773" path="m6418,5972l6477,6015,6536,6016,6595,5944,6654,5887,6713,5813,6772,5742,6831,5743,6890,5656,6949,5685,7008,5554,7067,5469,7126,5426,7185,5352,7244,5426,7301,5395,7360,5396,7419,5426,7478,5497,7537,5440,7596,5441,7655,5483,7714,5484,7773,5454,7832,5440,7891,5310,7950,5281,8009,5224,8068,5108,8125,5253,8184,5281,8243,5440,8302,5469,8361,5395,8420,5568,8479,5799,8538,5785,8597,5656,8656,5540,8715,5742,8774,5915,8833,5597,8892,5454,8949,5440,9008,5295,9067,5324,9126,5179,9185,5036,9244,5108,9303,4979,9362,4934,9421,4690,9480,4604,9539,4445,9598,4604,9657,4459,9716,4272,9775,4243e" filled="false" stroked="true" strokeweight=".95pt" strokecolor="#faab54">
              <v:path arrowok="t"/>
              <v:stroke dashstyle="solid"/>
            </v:shape>
            <v:shape style="position:absolute;left:6227;top:4116;width:3757;height:2805" coordorigin="6227,4116" coordsize="3757,2805" path="m6227,6909l6349,6909m6227,4736l6349,4736m6227,5046l6349,5046m6227,5357l6349,5357m6227,5654l6349,5654m6227,5978l6349,5978m6227,6294l6349,6294m6227,6599l6349,6599m6227,4116l6349,4116m6227,4413l6349,4413m9862,6920l9984,6920m9862,4747l9984,4747m9862,5057l9984,5057m9862,5368l9984,5368m9862,5665l9984,5665m9862,5989l9984,5989m9862,6305l9984,6305m9862,6610l9984,6610m9862,4424l9984,4424m6419,6908l9775,6908m6416,6906l6416,6788m8463,6900l8463,6827m8191,6906l8191,6834m7934,6908l7934,6836m7691,6902l7691,6830m7433,6896l7433,6823m7167,6900l7167,6827m6912,6906l6912,6833m6675,6906l6675,6833m9773,6902l9773,6830m9488,6906l9488,6788m9229,6900l9229,6827m8971,6902l8971,6830m8713,6908l8713,6836e" filled="false" stroked="true" strokeweight=".475pt" strokecolor="#231f20">
              <v:path arrowok="t"/>
              <v:stroke dashstyle="solid"/>
            </v:shape>
            <v:shape style="position:absolute;left:1000;top:7210;width:9831;height:8250" coordorigin="1000,7210" coordsize="9831,8250" path="m5686,8925l1000,8925,1000,9100,5686,9100,5686,8925xm10831,15200l6141,15200,6141,15460,10831,15460,10831,15200xm10831,7210l6151,7210,6151,7399,10831,7399,10831,7210xe" filled="true" fillcolor="#ffffff" stroked="false">
              <v:path arrowok="t"/>
              <v:fill type="solid"/>
            </v:shape>
            <v:shape style="position:absolute;left:980;top:5030;width:9855;height:6145" coordorigin="980,5030" coordsize="9855,6145" path="m990,5030l5700,5030m980,9100l5690,9100m6140,7402l10830,7402m6145,11155l10835,11155m1005,11175l5685,11175e" filled="false" stroked="true" strokeweight=".125pt" strokecolor="#000000">
              <v:path arrowok="t"/>
              <v:stroke dashstyle="solid"/>
            </v:shape>
            <v:shape style="position:absolute;left:6172;top:3421;width:2815;height:462" type="#_x0000_t202" filled="false" stroked="false">
              <v:textbox inset="0,0,0,0">
                <w:txbxContent>
                  <w:p>
                    <w:pPr>
                      <w:spacing w:line="221" w:lineRule="exact" w:before="0"/>
                      <w:ind w:left="0" w:right="0" w:firstLine="0"/>
                      <w:jc w:val="left"/>
                      <w:rPr>
                        <w:b/>
                        <w:sz w:val="20"/>
                      </w:rPr>
                    </w:pPr>
                    <w:r>
                      <w:rPr>
                        <w:b/>
                        <w:color w:val="0093C1"/>
                        <w:sz w:val="20"/>
                      </w:rPr>
                      <w:t>Chart C</w:t>
                    </w:r>
                  </w:p>
                  <w:p>
                    <w:pPr>
                      <w:spacing w:before="10"/>
                      <w:ind w:left="0" w:right="0" w:firstLine="0"/>
                      <w:jc w:val="left"/>
                      <w:rPr>
                        <w:b/>
                        <w:sz w:val="20"/>
                      </w:rPr>
                    </w:pPr>
                    <w:r>
                      <w:rPr>
                        <w:b/>
                        <w:color w:val="0093C1"/>
                        <w:sz w:val="20"/>
                      </w:rPr>
                      <w:t>US share prices by broad sectors</w:t>
                    </w:r>
                  </w:p>
                </w:txbxContent>
              </v:textbox>
              <w10:wrap type="none"/>
            </v:shape>
            <v:shape style="position:absolute;left:9168;top:3989;width:1064;height:193" type="#_x0000_t202" filled="false" stroked="false">
              <v:textbox inset="0,0,0,0">
                <w:txbxContent>
                  <w:p>
                    <w:pPr>
                      <w:spacing w:line="230" w:lineRule="auto" w:before="0"/>
                      <w:ind w:left="0" w:right="0" w:firstLine="0"/>
                      <w:jc w:val="left"/>
                      <w:rPr>
                        <w:sz w:val="11"/>
                      </w:rPr>
                    </w:pPr>
                    <w:r>
                      <w:rPr>
                        <w:w w:val="105"/>
                        <w:sz w:val="11"/>
                      </w:rPr>
                      <w:t>2 Jan. 1998 = 1</w:t>
                    </w:r>
                    <w:r>
                      <w:rPr>
                        <w:w w:val="105"/>
                        <w:sz w:val="11"/>
                        <w:u w:val="single" w:color="231F20"/>
                      </w:rPr>
                      <w:t>00</w:t>
                    </w:r>
                    <w:r>
                      <w:rPr>
                        <w:w w:val="105"/>
                        <w:sz w:val="11"/>
                      </w:rPr>
                      <w:t> </w:t>
                    </w:r>
                    <w:r>
                      <w:rPr>
                        <w:w w:val="105"/>
                        <w:position w:val="-6"/>
                        <w:sz w:val="11"/>
                      </w:rPr>
                      <w:t>160</w:t>
                    </w:r>
                  </w:p>
                </w:txbxContent>
              </v:textbox>
              <w10:wrap type="none"/>
            </v:shape>
            <v:shape style="position:absolute;left:9163;top:4303;width:407;height:127" type="#_x0000_t202" filled="false" stroked="false">
              <v:textbox inset="0,0,0,0">
                <w:txbxContent>
                  <w:p>
                    <w:pPr>
                      <w:spacing w:line="125" w:lineRule="exact" w:before="0"/>
                      <w:ind w:left="0" w:right="0" w:firstLine="0"/>
                      <w:jc w:val="left"/>
                      <w:rPr>
                        <w:sz w:val="11"/>
                      </w:rPr>
                    </w:pPr>
                    <w:r>
                      <w:rPr>
                        <w:w w:val="105"/>
                        <w:sz w:val="11"/>
                      </w:rPr>
                      <w:t>Services</w:t>
                    </w:r>
                  </w:p>
                </w:txbxContent>
              </v:textbox>
              <w10:wrap type="none"/>
            </v:shape>
            <v:shape style="position:absolute;left:10040;top:4373;width:191;height:1682" type="#_x0000_t202" filled="false" stroked="false">
              <v:textbox inset="0,0,0,0">
                <w:txbxContent>
                  <w:p>
                    <w:pPr>
                      <w:spacing w:line="125" w:lineRule="exact" w:before="0"/>
                      <w:ind w:left="0" w:right="0" w:firstLine="0"/>
                      <w:jc w:val="left"/>
                      <w:rPr>
                        <w:sz w:val="11"/>
                      </w:rPr>
                    </w:pPr>
                    <w:r>
                      <w:rPr>
                        <w:w w:val="105"/>
                        <w:sz w:val="11"/>
                      </w:rPr>
                      <w:t>150</w:t>
                    </w:r>
                  </w:p>
                  <w:p>
                    <w:pPr>
                      <w:spacing w:line="240" w:lineRule="auto" w:before="2"/>
                      <w:rPr>
                        <w:sz w:val="15"/>
                      </w:rPr>
                    </w:pPr>
                  </w:p>
                  <w:p>
                    <w:pPr>
                      <w:spacing w:before="0"/>
                      <w:ind w:left="0" w:right="0" w:firstLine="0"/>
                      <w:jc w:val="left"/>
                      <w:rPr>
                        <w:sz w:val="11"/>
                      </w:rPr>
                    </w:pPr>
                    <w:r>
                      <w:rPr>
                        <w:w w:val="105"/>
                        <w:sz w:val="11"/>
                      </w:rPr>
                      <w:t>140</w:t>
                    </w:r>
                  </w:p>
                  <w:p>
                    <w:pPr>
                      <w:spacing w:line="240" w:lineRule="auto" w:before="8"/>
                      <w:rPr>
                        <w:sz w:val="16"/>
                      </w:rPr>
                    </w:pPr>
                  </w:p>
                  <w:p>
                    <w:pPr>
                      <w:spacing w:before="0"/>
                      <w:ind w:left="0" w:right="0" w:firstLine="0"/>
                      <w:jc w:val="left"/>
                      <w:rPr>
                        <w:sz w:val="11"/>
                      </w:rPr>
                    </w:pPr>
                    <w:r>
                      <w:rPr>
                        <w:w w:val="105"/>
                        <w:sz w:val="11"/>
                      </w:rPr>
                      <w:t>130</w:t>
                    </w:r>
                  </w:p>
                  <w:p>
                    <w:pPr>
                      <w:spacing w:line="240" w:lineRule="auto" w:before="5"/>
                      <w:rPr>
                        <w:sz w:val="16"/>
                      </w:rPr>
                    </w:pPr>
                  </w:p>
                  <w:p>
                    <w:pPr>
                      <w:spacing w:before="1"/>
                      <w:ind w:left="0" w:right="0" w:firstLine="0"/>
                      <w:jc w:val="left"/>
                      <w:rPr>
                        <w:sz w:val="11"/>
                      </w:rPr>
                    </w:pPr>
                    <w:r>
                      <w:rPr>
                        <w:w w:val="105"/>
                        <w:sz w:val="11"/>
                      </w:rPr>
                      <w:t>120</w:t>
                    </w:r>
                  </w:p>
                  <w:p>
                    <w:pPr>
                      <w:spacing w:line="240" w:lineRule="auto" w:before="2"/>
                      <w:rPr>
                        <w:sz w:val="15"/>
                      </w:rPr>
                    </w:pPr>
                  </w:p>
                  <w:p>
                    <w:pPr>
                      <w:spacing w:before="0"/>
                      <w:ind w:left="0" w:right="0" w:firstLine="0"/>
                      <w:jc w:val="left"/>
                      <w:rPr>
                        <w:sz w:val="11"/>
                      </w:rPr>
                    </w:pPr>
                    <w:r>
                      <w:rPr>
                        <w:w w:val="105"/>
                        <w:sz w:val="11"/>
                      </w:rPr>
                      <w:t>110</w:t>
                    </w:r>
                  </w:p>
                  <w:p>
                    <w:pPr>
                      <w:spacing w:line="240" w:lineRule="auto" w:before="8"/>
                      <w:rPr>
                        <w:sz w:val="16"/>
                      </w:rPr>
                    </w:pPr>
                  </w:p>
                  <w:p>
                    <w:pPr>
                      <w:spacing w:before="0"/>
                      <w:ind w:left="0" w:right="0" w:firstLine="0"/>
                      <w:jc w:val="left"/>
                      <w:rPr>
                        <w:sz w:val="11"/>
                      </w:rPr>
                    </w:pPr>
                    <w:r>
                      <w:rPr>
                        <w:w w:val="105"/>
                        <w:sz w:val="11"/>
                      </w:rPr>
                      <w:t>100</w:t>
                    </w:r>
                  </w:p>
                </w:txbxContent>
              </v:textbox>
              <w10:wrap type="none"/>
            </v:shape>
            <v:shape style="position:absolute;left:8392;top:6206;width:885;height:127" type="#_x0000_t202" filled="false" stroked="false">
              <v:textbox inset="0,0,0,0">
                <w:txbxContent>
                  <w:p>
                    <w:pPr>
                      <w:spacing w:line="126" w:lineRule="exact" w:before="0"/>
                      <w:ind w:left="0" w:right="0" w:firstLine="0"/>
                      <w:jc w:val="left"/>
                      <w:rPr>
                        <w:sz w:val="11"/>
                      </w:rPr>
                    </w:pPr>
                    <w:r>
                      <w:rPr>
                        <w:w w:val="105"/>
                        <w:sz w:val="11"/>
                      </w:rPr>
                      <w:t>General industrials</w:t>
                    </w:r>
                  </w:p>
                </w:txbxContent>
              </v:textbox>
              <w10:wrap type="none"/>
            </v:shape>
            <v:shape style="position:absolute;left:10097;top:6245;width:134;height:431" type="#_x0000_t202" filled="false" stroked="false">
              <v:textbox inset="0,0,0,0">
                <w:txbxContent>
                  <w:p>
                    <w:pPr>
                      <w:spacing w:line="125" w:lineRule="exact" w:before="0"/>
                      <w:ind w:left="0" w:right="0" w:firstLine="0"/>
                      <w:jc w:val="left"/>
                      <w:rPr>
                        <w:sz w:val="11"/>
                      </w:rPr>
                    </w:pPr>
                    <w:r>
                      <w:rPr>
                        <w:w w:val="105"/>
                        <w:sz w:val="11"/>
                      </w:rPr>
                      <w:t>90</w:t>
                    </w:r>
                  </w:p>
                  <w:p>
                    <w:pPr>
                      <w:spacing w:line="240" w:lineRule="auto" w:before="5"/>
                      <w:rPr>
                        <w:sz w:val="15"/>
                      </w:rPr>
                    </w:pPr>
                  </w:p>
                  <w:p>
                    <w:pPr>
                      <w:spacing w:before="0"/>
                      <w:ind w:left="0" w:right="0" w:firstLine="0"/>
                      <w:jc w:val="left"/>
                      <w:rPr>
                        <w:sz w:val="11"/>
                      </w:rPr>
                    </w:pPr>
                    <w:r>
                      <w:rPr>
                        <w:w w:val="105"/>
                        <w:sz w:val="11"/>
                      </w:rPr>
                      <w:t>80</w:t>
                    </w:r>
                  </w:p>
                </w:txbxContent>
              </v:textbox>
              <w10:wrap type="none"/>
            </v:shape>
            <v:shape style="position:absolute;left:6358;top:6928;width:201;height:127" type="#_x0000_t202" filled="false" stroked="false">
              <v:textbox inset="0,0,0,0">
                <w:txbxContent>
                  <w:p>
                    <w:pPr>
                      <w:spacing w:line="125" w:lineRule="exact" w:before="0"/>
                      <w:ind w:left="0" w:right="0" w:firstLine="0"/>
                      <w:jc w:val="left"/>
                      <w:rPr>
                        <w:sz w:val="11"/>
                      </w:rPr>
                    </w:pPr>
                    <w:r>
                      <w:rPr>
                        <w:w w:val="105"/>
                        <w:sz w:val="11"/>
                      </w:rPr>
                      <w:t>Jan.</w:t>
                    </w:r>
                  </w:p>
                </w:txbxContent>
              </v:textbox>
              <w10:wrap type="none"/>
            </v:shape>
            <v:shape style="position:absolute;left:6801;top:6928;width:1285;height:248" type="#_x0000_t202" filled="false" stroked="false">
              <v:textbox inset="0,0,0,0">
                <w:txbxContent>
                  <w:p>
                    <w:pPr>
                      <w:tabs>
                        <w:tab w:pos="531" w:val="left" w:leader="none"/>
                        <w:tab w:pos="1074" w:val="left" w:leader="none"/>
                      </w:tabs>
                      <w:spacing w:line="230" w:lineRule="auto" w:before="3"/>
                      <w:ind w:left="958" w:right="18" w:hanging="959"/>
                      <w:jc w:val="left"/>
                      <w:rPr>
                        <w:sz w:val="11"/>
                      </w:rPr>
                    </w:pPr>
                    <w:r>
                      <w:rPr>
                        <w:w w:val="105"/>
                        <w:sz w:val="11"/>
                      </w:rPr>
                      <w:t>Mar.</w:t>
                      <w:tab/>
                      <w:t>May</w:t>
                      <w:tab/>
                      <w:tab/>
                    </w:r>
                    <w:r>
                      <w:rPr>
                        <w:spacing w:val="-5"/>
                        <w:w w:val="105"/>
                        <w:sz w:val="11"/>
                      </w:rPr>
                      <w:t>July </w:t>
                    </w:r>
                    <w:r>
                      <w:rPr>
                        <w:w w:val="105"/>
                        <w:sz w:val="11"/>
                      </w:rPr>
                      <w:t>1998</w:t>
                    </w:r>
                  </w:p>
                </w:txbxContent>
              </v:textbox>
              <w10:wrap type="none"/>
            </v:shape>
            <v:shape style="position:absolute;left:8358;top:6928;width:749;height:127" type="#_x0000_t202" filled="false" stroked="false">
              <v:textbox inset="0,0,0,0">
                <w:txbxContent>
                  <w:p>
                    <w:pPr>
                      <w:tabs>
                        <w:tab w:pos="503" w:val="left" w:leader="none"/>
                      </w:tabs>
                      <w:spacing w:line="125" w:lineRule="exact" w:before="0"/>
                      <w:ind w:left="0" w:right="0" w:firstLine="0"/>
                      <w:jc w:val="left"/>
                      <w:rPr>
                        <w:sz w:val="11"/>
                      </w:rPr>
                    </w:pPr>
                    <w:r>
                      <w:rPr>
                        <w:w w:val="105"/>
                        <w:sz w:val="11"/>
                      </w:rPr>
                      <w:t>Sept.</w:t>
                      <w:tab/>
                      <w:t>Nov.</w:t>
                    </w:r>
                  </w:p>
                </w:txbxContent>
              </v:textbox>
              <w10:wrap type="none"/>
            </v:shape>
            <v:shape style="position:absolute;left:9377;top:6928;width:201;height:127" type="#_x0000_t202" filled="false" stroked="false">
              <v:textbox inset="0,0,0,0">
                <w:txbxContent>
                  <w:p>
                    <w:pPr>
                      <w:spacing w:line="125" w:lineRule="exact" w:before="0"/>
                      <w:ind w:left="0" w:right="0" w:firstLine="0"/>
                      <w:jc w:val="left"/>
                      <w:rPr>
                        <w:sz w:val="11"/>
                      </w:rPr>
                    </w:pPr>
                    <w:r>
                      <w:rPr>
                        <w:w w:val="105"/>
                        <w:sz w:val="11"/>
                      </w:rPr>
                      <w:t>Jan.</w:t>
                    </w:r>
                  </w:p>
                </w:txbxContent>
              </v:textbox>
              <w10:wrap type="none"/>
            </v:shape>
            <v:shape style="position:absolute;left:10097;top:6864;width:134;height:127" type="#_x0000_t202" filled="false" stroked="false">
              <v:textbox inset="0,0,0,0">
                <w:txbxContent>
                  <w:p>
                    <w:pPr>
                      <w:spacing w:line="125" w:lineRule="exact" w:before="0"/>
                      <w:ind w:left="0" w:right="0" w:firstLine="0"/>
                      <w:jc w:val="left"/>
                      <w:rPr>
                        <w:sz w:val="11"/>
                      </w:rPr>
                    </w:pPr>
                    <w:r>
                      <w:rPr>
                        <w:w w:val="105"/>
                        <w:sz w:val="11"/>
                      </w:rPr>
                      <w:t>70</w:t>
                    </w:r>
                  </w:p>
                </w:txbxContent>
              </v:textbox>
              <w10:wrap type="none"/>
            </v:shape>
            <v:shape style="position:absolute;left:9574;top:7050;width:134;height:127" type="#_x0000_t202" filled="false" stroked="false">
              <v:textbox inset="0,0,0,0">
                <w:txbxContent>
                  <w:p>
                    <w:pPr>
                      <w:spacing w:line="125" w:lineRule="exact" w:before="0"/>
                      <w:ind w:left="0" w:right="0" w:firstLine="0"/>
                      <w:jc w:val="left"/>
                      <w:rPr>
                        <w:sz w:val="11"/>
                      </w:rPr>
                    </w:pPr>
                    <w:r>
                      <w:rPr>
                        <w:w w:val="105"/>
                        <w:sz w:val="11"/>
                      </w:rPr>
                      <w:t>99</w:t>
                    </w:r>
                  </w:p>
                </w:txbxContent>
              </v:textbox>
              <w10:wrap type="none"/>
            </v:shape>
            <v:shape style="position:absolute;left:6171;top:7206;width:1023;height:133" type="#_x0000_t202" filled="false" stroked="false">
              <v:textbox inset="0,0,0,0">
                <w:txbxContent>
                  <w:p>
                    <w:pPr>
                      <w:spacing w:line="133" w:lineRule="exact" w:before="0"/>
                      <w:ind w:left="0" w:right="0" w:firstLine="0"/>
                      <w:jc w:val="left"/>
                      <w:rPr>
                        <w:sz w:val="12"/>
                      </w:rPr>
                    </w:pPr>
                    <w:r>
                      <w:rPr>
                        <w:sz w:val="12"/>
                      </w:rPr>
                      <w:t>Source: Datastream.</w:t>
                    </w:r>
                  </w:p>
                </w:txbxContent>
              </v:textbox>
              <w10:wrap type="none"/>
            </v:shape>
            <v:shape style="position:absolute;left:6156;top:11141;width:3976;height:3881" type="#_x0000_t202" filled="false" stroked="false">
              <v:textbox inset="0,0,0,0">
                <w:txbxContent>
                  <w:p>
                    <w:pPr>
                      <w:spacing w:line="221" w:lineRule="exact" w:before="0"/>
                      <w:ind w:left="0" w:right="0" w:firstLine="0"/>
                      <w:jc w:val="left"/>
                      <w:rPr>
                        <w:b/>
                        <w:sz w:val="20"/>
                      </w:rPr>
                    </w:pPr>
                    <w:r>
                      <w:rPr>
                        <w:b/>
                        <w:color w:val="0093C1"/>
                        <w:sz w:val="20"/>
                      </w:rPr>
                      <w:t>Chart D</w:t>
                    </w:r>
                  </w:p>
                  <w:p>
                    <w:pPr>
                      <w:spacing w:before="10"/>
                      <w:ind w:left="0" w:right="0" w:firstLine="0"/>
                      <w:jc w:val="left"/>
                      <w:rPr>
                        <w:b/>
                        <w:sz w:val="20"/>
                      </w:rPr>
                    </w:pPr>
                    <w:r>
                      <w:rPr>
                        <w:b/>
                        <w:color w:val="0093C1"/>
                        <w:sz w:val="20"/>
                      </w:rPr>
                      <w:t>United Kingdom share prices by company size</w:t>
                    </w:r>
                  </w:p>
                  <w:p>
                    <w:pPr>
                      <w:spacing w:line="240" w:lineRule="auto" w:before="4"/>
                      <w:rPr>
                        <w:b/>
                        <w:sz w:val="21"/>
                      </w:rPr>
                    </w:pPr>
                  </w:p>
                  <w:p>
                    <w:pPr>
                      <w:spacing w:before="0"/>
                      <w:ind w:left="0" w:right="166" w:firstLine="0"/>
                      <w:jc w:val="right"/>
                      <w:rPr>
                        <w:sz w:val="11"/>
                      </w:rPr>
                    </w:pPr>
                    <w:r>
                      <w:rPr>
                        <w:w w:val="105"/>
                        <w:sz w:val="11"/>
                      </w:rPr>
                      <w:t>2 Jan. 1998 = </w:t>
                    </w:r>
                    <w:r>
                      <w:rPr>
                        <w:w w:val="105"/>
                        <w:sz w:val="11"/>
                        <w:u w:val="single"/>
                      </w:rPr>
                      <w:t>100</w:t>
                    </w:r>
                    <w:r>
                      <w:rPr>
                        <w:color w:val="231F20"/>
                        <w:w w:val="105"/>
                        <w:position w:val="-4"/>
                        <w:sz w:val="11"/>
                      </w:rPr>
                      <w:t>130</w:t>
                    </w:r>
                  </w:p>
                  <w:p>
                    <w:pPr>
                      <w:spacing w:line="110" w:lineRule="exact" w:before="87"/>
                      <w:ind w:left="795" w:right="0" w:firstLine="0"/>
                      <w:jc w:val="left"/>
                      <w:rPr>
                        <w:sz w:val="11"/>
                      </w:rPr>
                    </w:pPr>
                    <w:r>
                      <w:rPr>
                        <w:w w:val="105"/>
                        <w:sz w:val="11"/>
                      </w:rPr>
                      <w:t>Mid-capitalisation</w:t>
                    </w:r>
                  </w:p>
                  <w:p>
                    <w:pPr>
                      <w:spacing w:line="110" w:lineRule="exact" w:before="0"/>
                      <w:ind w:left="2510" w:right="0" w:firstLine="0"/>
                      <w:jc w:val="left"/>
                      <w:rPr>
                        <w:sz w:val="11"/>
                      </w:rPr>
                    </w:pPr>
                    <w:r>
                      <w:rPr>
                        <w:color w:val="231F20"/>
                        <w:w w:val="105"/>
                        <w:sz w:val="11"/>
                      </w:rPr>
                      <w:t>FT-SE 100</w:t>
                    </w:r>
                  </w:p>
                  <w:p>
                    <w:pPr>
                      <w:spacing w:before="47"/>
                      <w:ind w:left="0" w:right="166" w:firstLine="0"/>
                      <w:jc w:val="right"/>
                      <w:rPr>
                        <w:sz w:val="11"/>
                      </w:rPr>
                    </w:pPr>
                    <w:r>
                      <w:rPr>
                        <w:w w:val="105"/>
                        <w:sz w:val="11"/>
                      </w:rPr>
                      <w:t>120</w:t>
                    </w:r>
                  </w:p>
                  <w:p>
                    <w:pPr>
                      <w:spacing w:before="67"/>
                      <w:ind w:left="1881" w:right="1114" w:firstLine="0"/>
                      <w:jc w:val="center"/>
                      <w:rPr>
                        <w:sz w:val="11"/>
                      </w:rPr>
                    </w:pPr>
                    <w:r>
                      <w:rPr>
                        <w:w w:val="105"/>
                        <w:sz w:val="11"/>
                      </w:rPr>
                      <w:t>All-Share</w:t>
                    </w:r>
                  </w:p>
                  <w:p>
                    <w:pPr>
                      <w:spacing w:line="240" w:lineRule="auto" w:before="1"/>
                      <w:rPr>
                        <w:sz w:val="14"/>
                      </w:rPr>
                    </w:pPr>
                  </w:p>
                  <w:p>
                    <w:pPr>
                      <w:spacing w:before="0"/>
                      <w:ind w:left="0" w:right="166" w:firstLine="0"/>
                      <w:jc w:val="right"/>
                      <w:rPr>
                        <w:sz w:val="11"/>
                      </w:rPr>
                    </w:pPr>
                    <w:r>
                      <w:rPr>
                        <w:w w:val="105"/>
                        <w:sz w:val="11"/>
                      </w:rPr>
                      <w:t>110</w:t>
                    </w:r>
                  </w:p>
                  <w:p>
                    <w:pPr>
                      <w:spacing w:line="240" w:lineRule="auto" w:before="0"/>
                      <w:rPr>
                        <w:sz w:val="12"/>
                      </w:rPr>
                    </w:pPr>
                  </w:p>
                  <w:p>
                    <w:pPr>
                      <w:spacing w:line="240" w:lineRule="auto" w:before="0"/>
                      <w:rPr>
                        <w:sz w:val="12"/>
                      </w:rPr>
                    </w:pPr>
                  </w:p>
                  <w:p>
                    <w:pPr>
                      <w:spacing w:before="77"/>
                      <w:ind w:left="0" w:right="166" w:firstLine="0"/>
                      <w:jc w:val="right"/>
                      <w:rPr>
                        <w:sz w:val="11"/>
                      </w:rPr>
                    </w:pPr>
                    <w:r>
                      <w:rPr>
                        <w:w w:val="105"/>
                        <w:sz w:val="11"/>
                      </w:rPr>
                      <w:t>100</w:t>
                    </w:r>
                  </w:p>
                  <w:p>
                    <w:pPr>
                      <w:spacing w:line="240" w:lineRule="auto" w:before="0"/>
                      <w:rPr>
                        <w:sz w:val="12"/>
                      </w:rPr>
                    </w:pPr>
                  </w:p>
                  <w:p>
                    <w:pPr>
                      <w:spacing w:line="240" w:lineRule="auto" w:before="0"/>
                      <w:rPr>
                        <w:sz w:val="12"/>
                      </w:rPr>
                    </w:pPr>
                  </w:p>
                  <w:p>
                    <w:pPr>
                      <w:spacing w:before="80"/>
                      <w:ind w:left="0" w:right="161" w:firstLine="0"/>
                      <w:jc w:val="right"/>
                      <w:rPr>
                        <w:sz w:val="11"/>
                      </w:rPr>
                    </w:pPr>
                    <w:r>
                      <w:rPr>
                        <w:spacing w:val="-1"/>
                        <w:w w:val="105"/>
                        <w:sz w:val="11"/>
                      </w:rPr>
                      <w:t>90</w:t>
                    </w:r>
                  </w:p>
                  <w:p>
                    <w:pPr>
                      <w:spacing w:line="240" w:lineRule="auto" w:before="0"/>
                      <w:rPr>
                        <w:sz w:val="12"/>
                      </w:rPr>
                    </w:pPr>
                  </w:p>
                  <w:p>
                    <w:pPr>
                      <w:spacing w:line="240" w:lineRule="auto" w:before="0"/>
                      <w:rPr>
                        <w:sz w:val="12"/>
                      </w:rPr>
                    </w:pPr>
                  </w:p>
                  <w:p>
                    <w:pPr>
                      <w:spacing w:line="113" w:lineRule="exact" w:before="80"/>
                      <w:ind w:left="3695" w:right="0" w:firstLine="0"/>
                      <w:jc w:val="left"/>
                      <w:rPr>
                        <w:sz w:val="11"/>
                      </w:rPr>
                    </w:pPr>
                    <w:r>
                      <w:rPr>
                        <w:color w:val="231F20"/>
                        <w:w w:val="105"/>
                        <w:sz w:val="11"/>
                      </w:rPr>
                      <w:t>80</w:t>
                    </w:r>
                  </w:p>
                  <w:p>
                    <w:pPr>
                      <w:spacing w:line="113" w:lineRule="exact" w:before="0"/>
                      <w:ind w:left="1897" w:right="1114" w:firstLine="0"/>
                      <w:jc w:val="center"/>
                      <w:rPr>
                        <w:sz w:val="11"/>
                      </w:rPr>
                    </w:pPr>
                    <w:r>
                      <w:rPr>
                        <w:w w:val="105"/>
                        <w:sz w:val="11"/>
                      </w:rPr>
                      <w:t>Small-capitalisation</w:t>
                    </w:r>
                  </w:p>
                  <w:p>
                    <w:pPr>
                      <w:spacing w:line="240" w:lineRule="auto" w:before="0"/>
                      <w:rPr>
                        <w:sz w:val="12"/>
                      </w:rPr>
                    </w:pPr>
                  </w:p>
                  <w:p>
                    <w:pPr>
                      <w:spacing w:line="240" w:lineRule="auto" w:before="9"/>
                      <w:rPr>
                        <w:sz w:val="9"/>
                      </w:rPr>
                    </w:pPr>
                  </w:p>
                  <w:p>
                    <w:pPr>
                      <w:spacing w:line="114" w:lineRule="exact" w:before="0"/>
                      <w:ind w:left="3695" w:right="0" w:firstLine="0"/>
                      <w:jc w:val="left"/>
                      <w:rPr>
                        <w:sz w:val="11"/>
                      </w:rPr>
                    </w:pPr>
                    <w:r>
                      <w:rPr>
                        <w:w w:val="105"/>
                        <w:sz w:val="11"/>
                      </w:rPr>
                      <w:t>70</w:t>
                    </w:r>
                  </w:p>
                  <w:p>
                    <w:pPr>
                      <w:tabs>
                        <w:tab w:pos="602" w:val="left" w:leader="none"/>
                        <w:tab w:pos="1056" w:val="left" w:leader="none"/>
                        <w:tab w:pos="1585" w:val="left" w:leader="none"/>
                        <w:tab w:pos="2046" w:val="left" w:leader="none"/>
                        <w:tab w:pos="2546" w:val="left" w:leader="none"/>
                      </w:tabs>
                      <w:spacing w:line="124" w:lineRule="exact" w:before="0"/>
                      <w:ind w:left="165" w:right="0" w:firstLine="0"/>
                      <w:jc w:val="left"/>
                      <w:rPr>
                        <w:sz w:val="11"/>
                      </w:rPr>
                    </w:pPr>
                    <w:r>
                      <w:rPr>
                        <w:w w:val="105"/>
                        <w:position w:val="1"/>
                        <w:sz w:val="11"/>
                      </w:rPr>
                      <w:t>Jan.</w:t>
                      <w:tab/>
                    </w:r>
                    <w:r>
                      <w:rPr>
                        <w:w w:val="105"/>
                        <w:sz w:val="11"/>
                      </w:rPr>
                      <w:t>Mar.</w:t>
                      <w:tab/>
                    </w:r>
                    <w:r>
                      <w:rPr>
                        <w:w w:val="105"/>
                        <w:position w:val="1"/>
                        <w:sz w:val="11"/>
                      </w:rPr>
                      <w:t>May</w:t>
                      <w:tab/>
                      <w:t>July</w:t>
                      <w:tab/>
                      <w:t>Sept.</w:t>
                      <w:tab/>
                      <w:t>Nov.</w:t>
                    </w:r>
                  </w:p>
                </w:txbxContent>
              </v:textbox>
              <w10:wrap type="none"/>
            </v:shape>
            <v:shape style="position:absolute;left:7496;top:15044;width:253;height:129" type="#_x0000_t202" filled="false" stroked="false">
              <v:textbox inset="0,0,0,0">
                <w:txbxContent>
                  <w:p>
                    <w:pPr>
                      <w:spacing w:before="1"/>
                      <w:ind w:left="0" w:right="0" w:firstLine="0"/>
                      <w:jc w:val="left"/>
                      <w:rPr>
                        <w:sz w:val="11"/>
                      </w:rPr>
                    </w:pPr>
                    <w:r>
                      <w:rPr>
                        <w:w w:val="105"/>
                        <w:sz w:val="11"/>
                      </w:rPr>
                      <w:t>1998</w:t>
                    </w:r>
                  </w:p>
                </w:txbxContent>
              </v:textbox>
              <w10:wrap type="none"/>
            </v:shape>
            <v:shape style="position:absolute;left:9197;top:14880;width:298;height:274" type="#_x0000_t202" filled="false" stroked="false">
              <v:textbox inset="0,0,0,0">
                <w:txbxContent>
                  <w:p>
                    <w:pPr>
                      <w:spacing w:before="1"/>
                      <w:ind w:left="0" w:right="111" w:firstLine="0"/>
                      <w:jc w:val="right"/>
                      <w:rPr>
                        <w:sz w:val="11"/>
                      </w:rPr>
                    </w:pPr>
                    <w:r>
                      <w:rPr>
                        <w:w w:val="105"/>
                        <w:sz w:val="11"/>
                      </w:rPr>
                      <w:t>Jan.</w:t>
                    </w:r>
                  </w:p>
                  <w:p>
                    <w:pPr>
                      <w:spacing w:before="18"/>
                      <w:ind w:left="0" w:right="18" w:firstLine="0"/>
                      <w:jc w:val="right"/>
                      <w:rPr>
                        <w:sz w:val="11"/>
                      </w:rPr>
                    </w:pPr>
                    <w:r>
                      <w:rPr>
                        <w:w w:val="105"/>
                        <w:sz w:val="11"/>
                      </w:rPr>
                      <w:t>99</w:t>
                    </w:r>
                  </w:p>
                </w:txbxContent>
              </v:textbox>
              <w10:wrap type="none"/>
            </v:shape>
            <v:shape style="position:absolute;left:6161;top:15196;width:1017;height:133" type="#_x0000_t202" filled="false" stroked="false">
              <v:textbox inset="0,0,0,0">
                <w:txbxContent>
                  <w:p>
                    <w:pPr>
                      <w:spacing w:line="133" w:lineRule="exact" w:before="0"/>
                      <w:ind w:left="0" w:right="0" w:firstLine="0"/>
                      <w:jc w:val="left"/>
                      <w:rPr>
                        <w:sz w:val="12"/>
                      </w:rPr>
                    </w:pPr>
                    <w:r>
                      <w:rPr>
                        <w:sz w:val="12"/>
                      </w:rPr>
                      <w:t>Source: Bloomberg.</w:t>
                    </w:r>
                  </w:p>
                </w:txbxContent>
              </v:textbox>
              <w10:wrap type="none"/>
            </v:shape>
            <w10:wrap type="none"/>
          </v:group>
        </w:pict>
      </w:r>
    </w:p>
    <w:p>
      <w:pPr>
        <w:pStyle w:val="BodyText"/>
        <w:ind w:left="355"/>
        <w:rPr>
          <w:sz w:val="20"/>
        </w:rPr>
      </w:pPr>
      <w:r>
        <w:rPr>
          <w:sz w:val="20"/>
        </w:rPr>
        <w:pict>
          <v:shape style="width:234.5pt;height:215.2pt;mso-position-horizontal-relative:char;mso-position-vertical-relative:line" type="#_x0000_t202" filled="false" stroked="false">
            <w10:anchorlock/>
            <v:textbox inset="0,0,0,0">
              <w:txbxContent>
                <w:p>
                  <w:pPr>
                    <w:spacing w:line="207" w:lineRule="exact" w:before="0"/>
                    <w:ind w:left="40" w:right="0" w:firstLine="0"/>
                    <w:jc w:val="left"/>
                    <w:rPr>
                      <w:b/>
                      <w:sz w:val="20"/>
                    </w:rPr>
                  </w:pPr>
                  <w:r>
                    <w:rPr>
                      <w:b/>
                      <w:color w:val="0093C1"/>
                      <w:sz w:val="20"/>
                    </w:rPr>
                    <w:t>Chart B</w:t>
                  </w:r>
                </w:p>
                <w:p>
                  <w:pPr>
                    <w:spacing w:before="10"/>
                    <w:ind w:left="40" w:right="0" w:firstLine="0"/>
                    <w:jc w:val="left"/>
                    <w:rPr>
                      <w:b/>
                      <w:sz w:val="20"/>
                    </w:rPr>
                  </w:pPr>
                  <w:r>
                    <w:rPr>
                      <w:b/>
                      <w:color w:val="0093C1"/>
                      <w:sz w:val="20"/>
                    </w:rPr>
                    <w:t>Major European</w:t>
                  </w:r>
                  <w:r>
                    <w:rPr>
                      <w:position w:val="4"/>
                      <w:sz w:val="12"/>
                    </w:rPr>
                    <w:t>(a) </w:t>
                  </w:r>
                  <w:r>
                    <w:rPr>
                      <w:b/>
                      <w:color w:val="0093C1"/>
                      <w:sz w:val="20"/>
                    </w:rPr>
                    <w:t>share prices by broad sector</w:t>
                  </w:r>
                </w:p>
                <w:p>
                  <w:pPr>
                    <w:spacing w:before="73"/>
                    <w:ind w:left="2906" w:right="0" w:firstLine="0"/>
                    <w:jc w:val="left"/>
                    <w:rPr>
                      <w:sz w:val="11"/>
                    </w:rPr>
                  </w:pPr>
                  <w:r>
                    <w:rPr>
                      <w:w w:val="105"/>
                      <w:sz w:val="11"/>
                    </w:rPr>
                    <w:t>2 Jan. 1998 = 100</w:t>
                  </w:r>
                  <w:r>
                    <w:rPr>
                      <w:spacing w:val="4"/>
                      <w:w w:val="105"/>
                      <w:sz w:val="11"/>
                    </w:rPr>
                    <w:t> </w:t>
                  </w:r>
                  <w:r>
                    <w:rPr>
                      <w:w w:val="105"/>
                      <w:position w:val="-6"/>
                      <w:sz w:val="11"/>
                    </w:rPr>
                    <w:t>170</w:t>
                  </w:r>
                </w:p>
                <w:p>
                  <w:pPr>
                    <w:spacing w:before="153"/>
                    <w:ind w:left="3746" w:right="730" w:firstLine="0"/>
                    <w:jc w:val="center"/>
                    <w:rPr>
                      <w:sz w:val="11"/>
                    </w:rPr>
                  </w:pPr>
                  <w:r>
                    <w:rPr>
                      <w:w w:val="105"/>
                      <w:sz w:val="11"/>
                    </w:rPr>
                    <w:t>160</w:t>
                  </w:r>
                </w:p>
                <w:p>
                  <w:pPr>
                    <w:pStyle w:val="BodyText"/>
                    <w:spacing w:before="6"/>
                    <w:rPr>
                      <w:sz w:val="13"/>
                    </w:rPr>
                  </w:pPr>
                </w:p>
                <w:p>
                  <w:pPr>
                    <w:spacing w:before="0"/>
                    <w:ind w:left="3746" w:right="730" w:firstLine="0"/>
                    <w:jc w:val="center"/>
                    <w:rPr>
                      <w:sz w:val="11"/>
                    </w:rPr>
                  </w:pPr>
                  <w:r>
                    <w:rPr>
                      <w:w w:val="105"/>
                      <w:sz w:val="11"/>
                    </w:rPr>
                    <w:t>150</w:t>
                  </w:r>
                </w:p>
                <w:p>
                  <w:pPr>
                    <w:spacing w:before="10"/>
                    <w:ind w:left="1823" w:right="730" w:firstLine="0"/>
                    <w:jc w:val="center"/>
                    <w:rPr>
                      <w:sz w:val="11"/>
                    </w:rPr>
                  </w:pPr>
                  <w:r>
                    <w:rPr>
                      <w:w w:val="105"/>
                      <w:sz w:val="11"/>
                    </w:rPr>
                    <w:t>Services</w:t>
                  </w:r>
                </w:p>
                <w:p>
                  <w:pPr>
                    <w:spacing w:before="32"/>
                    <w:ind w:left="3746" w:right="730" w:firstLine="0"/>
                    <w:jc w:val="center"/>
                    <w:rPr>
                      <w:sz w:val="11"/>
                    </w:rPr>
                  </w:pPr>
                  <w:r>
                    <w:rPr>
                      <w:w w:val="105"/>
                      <w:sz w:val="11"/>
                    </w:rPr>
                    <w:t>140</w:t>
                  </w:r>
                </w:p>
                <w:p>
                  <w:pPr>
                    <w:pStyle w:val="BodyText"/>
                    <w:spacing w:before="4"/>
                    <w:rPr>
                      <w:sz w:val="13"/>
                    </w:rPr>
                  </w:pPr>
                </w:p>
                <w:p>
                  <w:pPr>
                    <w:spacing w:before="0"/>
                    <w:ind w:left="3746" w:right="730" w:firstLine="0"/>
                    <w:jc w:val="center"/>
                    <w:rPr>
                      <w:sz w:val="11"/>
                    </w:rPr>
                  </w:pPr>
                  <w:r>
                    <w:rPr>
                      <w:w w:val="105"/>
                      <w:sz w:val="11"/>
                    </w:rPr>
                    <w:t>130</w:t>
                  </w:r>
                </w:p>
                <w:p>
                  <w:pPr>
                    <w:pStyle w:val="BodyText"/>
                    <w:spacing w:before="7"/>
                    <w:rPr>
                      <w:sz w:val="13"/>
                    </w:rPr>
                  </w:pPr>
                </w:p>
                <w:p>
                  <w:pPr>
                    <w:spacing w:before="0"/>
                    <w:ind w:left="3746" w:right="730" w:firstLine="0"/>
                    <w:jc w:val="center"/>
                    <w:rPr>
                      <w:sz w:val="11"/>
                    </w:rPr>
                  </w:pPr>
                  <w:r>
                    <w:rPr>
                      <w:w w:val="105"/>
                      <w:sz w:val="11"/>
                    </w:rPr>
                    <w:t>120</w:t>
                  </w:r>
                </w:p>
                <w:p>
                  <w:pPr>
                    <w:pStyle w:val="BodyText"/>
                    <w:spacing w:before="4"/>
                    <w:rPr>
                      <w:sz w:val="13"/>
                    </w:rPr>
                  </w:pPr>
                </w:p>
                <w:p>
                  <w:pPr>
                    <w:spacing w:before="0"/>
                    <w:ind w:left="3746" w:right="730" w:firstLine="0"/>
                    <w:jc w:val="center"/>
                    <w:rPr>
                      <w:sz w:val="11"/>
                    </w:rPr>
                  </w:pPr>
                  <w:r>
                    <w:rPr>
                      <w:w w:val="105"/>
                      <w:sz w:val="11"/>
                    </w:rPr>
                    <w:t>110</w:t>
                  </w:r>
                </w:p>
                <w:p>
                  <w:pPr>
                    <w:pStyle w:val="BodyText"/>
                    <w:spacing w:before="4"/>
                    <w:rPr>
                      <w:sz w:val="13"/>
                    </w:rPr>
                  </w:pPr>
                </w:p>
                <w:p>
                  <w:pPr>
                    <w:spacing w:before="0"/>
                    <w:ind w:left="3746" w:right="730" w:firstLine="0"/>
                    <w:jc w:val="center"/>
                    <w:rPr>
                      <w:sz w:val="11"/>
                    </w:rPr>
                  </w:pPr>
                  <w:r>
                    <w:rPr>
                      <w:w w:val="105"/>
                      <w:sz w:val="11"/>
                    </w:rPr>
                    <w:t>100</w:t>
                  </w:r>
                </w:p>
                <w:p>
                  <w:pPr>
                    <w:pStyle w:val="BodyText"/>
                    <w:spacing w:before="10"/>
                    <w:rPr>
                      <w:sz w:val="14"/>
                    </w:rPr>
                  </w:pPr>
                </w:p>
                <w:p>
                  <w:pPr>
                    <w:spacing w:before="0"/>
                    <w:ind w:left="3824" w:right="0" w:firstLine="0"/>
                    <w:jc w:val="left"/>
                    <w:rPr>
                      <w:sz w:val="11"/>
                    </w:rPr>
                  </w:pPr>
                  <w:r>
                    <w:rPr>
                      <w:w w:val="105"/>
                      <w:sz w:val="11"/>
                    </w:rPr>
                    <w:t>90</w:t>
                  </w:r>
                </w:p>
                <w:p>
                  <w:pPr>
                    <w:spacing w:before="14"/>
                    <w:ind w:left="2176" w:right="0" w:firstLine="0"/>
                    <w:jc w:val="left"/>
                    <w:rPr>
                      <w:sz w:val="11"/>
                    </w:rPr>
                  </w:pPr>
                  <w:r>
                    <w:rPr>
                      <w:w w:val="105"/>
                      <w:sz w:val="11"/>
                    </w:rPr>
                    <w:t>General industrials</w:t>
                  </w:r>
                </w:p>
                <w:p>
                  <w:pPr>
                    <w:spacing w:before="13"/>
                    <w:ind w:left="3824" w:right="0" w:firstLine="0"/>
                    <w:jc w:val="left"/>
                    <w:rPr>
                      <w:sz w:val="11"/>
                    </w:rPr>
                  </w:pPr>
                  <w:r>
                    <w:rPr>
                      <w:w w:val="105"/>
                      <w:sz w:val="11"/>
                    </w:rPr>
                    <w:t>80</w:t>
                  </w:r>
                </w:p>
                <w:p>
                  <w:pPr>
                    <w:pStyle w:val="BodyText"/>
                    <w:spacing w:before="1"/>
                    <w:rPr>
                      <w:sz w:val="12"/>
                    </w:rPr>
                  </w:pPr>
                </w:p>
                <w:p>
                  <w:pPr>
                    <w:spacing w:before="0"/>
                    <w:ind w:left="3824" w:right="0" w:firstLine="0"/>
                    <w:jc w:val="left"/>
                    <w:rPr>
                      <w:sz w:val="11"/>
                    </w:rPr>
                  </w:pPr>
                  <w:r>
                    <w:rPr>
                      <w:w w:val="105"/>
                      <w:sz w:val="11"/>
                    </w:rPr>
                    <w:t>70</w:t>
                  </w:r>
                </w:p>
                <w:p>
                  <w:pPr>
                    <w:tabs>
                      <w:tab w:pos="486" w:val="left" w:leader="none"/>
                      <w:tab w:pos="994" w:val="left" w:leader="none"/>
                      <w:tab w:pos="1511" w:val="left" w:leader="none"/>
                      <w:tab w:pos="1985" w:val="left" w:leader="none"/>
                      <w:tab w:pos="2503" w:val="left" w:leader="none"/>
                      <w:tab w:pos="3027" w:val="left" w:leader="none"/>
                    </w:tabs>
                    <w:spacing w:before="16"/>
                    <w:ind w:left="0" w:right="1315" w:firstLine="0"/>
                    <w:jc w:val="right"/>
                    <w:rPr>
                      <w:sz w:val="11"/>
                    </w:rPr>
                  </w:pPr>
                  <w:r>
                    <w:rPr>
                      <w:w w:val="105"/>
                      <w:sz w:val="11"/>
                    </w:rPr>
                    <w:t>Jan.</w:t>
                    <w:tab/>
                    <w:t>Mar.</w:t>
                    <w:tab/>
                    <w:t>May</w:t>
                    <w:tab/>
                    <w:t>July</w:t>
                    <w:tab/>
                    <w:t>Sept.</w:t>
                    <w:tab/>
                    <w:t>Nov.</w:t>
                    <w:tab/>
                  </w:r>
                  <w:r>
                    <w:rPr>
                      <w:sz w:val="11"/>
                    </w:rPr>
                    <w:t>Jan.</w:t>
                  </w:r>
                </w:p>
                <w:p>
                  <w:pPr>
                    <w:tabs>
                      <w:tab w:pos="2008" w:val="left" w:leader="none"/>
                    </w:tabs>
                    <w:spacing w:before="2"/>
                    <w:ind w:left="0" w:right="1223" w:firstLine="0"/>
                    <w:jc w:val="right"/>
                    <w:rPr>
                      <w:sz w:val="11"/>
                    </w:rPr>
                  </w:pPr>
                  <w:r>
                    <w:rPr>
                      <w:w w:val="105"/>
                      <w:sz w:val="11"/>
                    </w:rPr>
                    <w:t>1998</w:t>
                    <w:tab/>
                  </w:r>
                  <w:r>
                    <w:rPr>
                      <w:sz w:val="11"/>
                    </w:rPr>
                    <w:t>99</w:t>
                  </w:r>
                </w:p>
                <w:p>
                  <w:pPr>
                    <w:spacing w:before="26"/>
                    <w:ind w:left="20" w:right="0" w:firstLine="0"/>
                    <w:jc w:val="left"/>
                    <w:rPr>
                      <w:sz w:val="12"/>
                    </w:rPr>
                  </w:pPr>
                  <w:r>
                    <w:rPr>
                      <w:sz w:val="12"/>
                    </w:rPr>
                    <w:t>Source: Datastream.</w:t>
                  </w:r>
                </w:p>
                <w:p>
                  <w:pPr>
                    <w:spacing w:before="82"/>
                    <w:ind w:left="20" w:right="0" w:firstLine="0"/>
                    <w:jc w:val="left"/>
                    <w:rPr>
                      <w:sz w:val="12"/>
                    </w:rPr>
                  </w:pPr>
                  <w:r>
                    <w:rPr>
                      <w:sz w:val="12"/>
                    </w:rPr>
                    <w:t>(a) German, French and Italian prices weighted by market capitalisation.</w:t>
                  </w:r>
                </w:p>
              </w:txbxContent>
            </v:textbox>
          </v:shape>
        </w:pict>
      </w:r>
      <w:r>
        <w:rPr>
          <w:sz w:val="20"/>
        </w:rPr>
      </w:r>
    </w:p>
    <w:p>
      <w:pPr>
        <w:spacing w:after="0"/>
        <w:rPr>
          <w:sz w:val="20"/>
        </w:rPr>
        <w:sectPr>
          <w:type w:val="continuous"/>
          <w:pgSz w:w="11900" w:h="16840"/>
          <w:pgMar w:top="1220" w:bottom="280" w:left="640" w:right="600"/>
        </w:sectPr>
      </w:pPr>
    </w:p>
    <w:p>
      <w:pPr>
        <w:pStyle w:val="BodyText"/>
        <w:rPr>
          <w:sz w:val="20"/>
        </w:rPr>
      </w:pPr>
    </w:p>
    <w:p>
      <w:pPr>
        <w:spacing w:after="0"/>
        <w:rPr>
          <w:sz w:val="20"/>
        </w:rPr>
        <w:sectPr>
          <w:pgSz w:w="11900" w:h="16840"/>
          <w:pgMar w:header="586" w:footer="597" w:top="780" w:bottom="780" w:left="640" w:right="600"/>
        </w:sectPr>
      </w:pPr>
    </w:p>
    <w:p>
      <w:pPr>
        <w:pStyle w:val="BodyText"/>
        <w:spacing w:before="6"/>
        <w:rPr>
          <w:sz w:val="20"/>
        </w:rPr>
      </w:pPr>
    </w:p>
    <w:p>
      <w:pPr>
        <w:spacing w:before="0"/>
        <w:ind w:left="210" w:right="0" w:firstLine="0"/>
        <w:jc w:val="left"/>
        <w:rPr>
          <w:b/>
          <w:sz w:val="20"/>
        </w:rPr>
      </w:pPr>
      <w:bookmarkStart w:name="Exchange rates" w:id="28"/>
      <w:bookmarkEnd w:id="28"/>
      <w:r>
        <w:rPr/>
      </w:r>
      <w:bookmarkStart w:name="_bookmark9" w:id="29"/>
      <w:bookmarkEnd w:id="29"/>
      <w:r>
        <w:rPr/>
      </w:r>
      <w:r>
        <w:rPr>
          <w:b/>
          <w:color w:val="0093C1"/>
          <w:sz w:val="20"/>
        </w:rPr>
        <w:t>Chart 1.17</w:t>
      </w:r>
    </w:p>
    <w:p>
      <w:pPr>
        <w:spacing w:before="10"/>
        <w:ind w:left="210" w:right="0" w:firstLine="0"/>
        <w:jc w:val="left"/>
        <w:rPr>
          <w:b/>
          <w:sz w:val="20"/>
        </w:rPr>
      </w:pPr>
      <w:r>
        <w:rPr>
          <w:b/>
          <w:color w:val="0093C1"/>
          <w:sz w:val="20"/>
        </w:rPr>
        <w:t>Halifax regional annual house price inflation</w:t>
      </w:r>
    </w:p>
    <w:p>
      <w:pPr>
        <w:spacing w:before="168"/>
        <w:ind w:left="559" w:right="0" w:firstLine="0"/>
        <w:jc w:val="left"/>
        <w:rPr>
          <w:sz w:val="11"/>
        </w:rPr>
      </w:pPr>
      <w:r>
        <w:rPr/>
        <w:drawing>
          <wp:anchor distT="0" distB="0" distL="0" distR="0" allowOverlap="1" layoutInCell="1" locked="0" behindDoc="0" simplePos="0" relativeHeight="15851008">
            <wp:simplePos x="0" y="0"/>
            <wp:positionH relativeFrom="page">
              <wp:posOffset>599916</wp:posOffset>
            </wp:positionH>
            <wp:positionV relativeFrom="paragraph">
              <wp:posOffset>91963</wp:posOffset>
            </wp:positionV>
            <wp:extent cx="110591" cy="215658"/>
            <wp:effectExtent l="0" t="0" r="0" b="0"/>
            <wp:wrapNone/>
            <wp:docPr id="1" name="image9.png"/>
            <wp:cNvGraphicFramePr>
              <a:graphicFrameLocks noChangeAspect="1"/>
            </wp:cNvGraphicFramePr>
            <a:graphic>
              <a:graphicData uri="http://schemas.openxmlformats.org/drawingml/2006/picture">
                <pic:pic>
                  <pic:nvPicPr>
                    <pic:cNvPr id="2" name="image9.png"/>
                    <pic:cNvPicPr/>
                  </pic:nvPicPr>
                  <pic:blipFill>
                    <a:blip r:embed="rId38" cstate="print"/>
                    <a:stretch>
                      <a:fillRect/>
                    </a:stretch>
                  </pic:blipFill>
                  <pic:spPr>
                    <a:xfrm>
                      <a:off x="0" y="0"/>
                      <a:ext cx="110591" cy="215658"/>
                    </a:xfrm>
                    <a:prstGeom prst="rect">
                      <a:avLst/>
                    </a:prstGeom>
                  </pic:spPr>
                </pic:pic>
              </a:graphicData>
            </a:graphic>
          </wp:anchor>
        </w:drawing>
      </w:r>
      <w:r>
        <w:rPr>
          <w:color w:val="231F20"/>
          <w:w w:val="105"/>
          <w:sz w:val="11"/>
        </w:rPr>
        <w:t>1997</w:t>
      </w:r>
      <w:r>
        <w:rPr>
          <w:color w:val="231F20"/>
          <w:spacing w:val="-6"/>
          <w:w w:val="105"/>
          <w:sz w:val="11"/>
        </w:rPr>
        <w:t> </w:t>
      </w:r>
      <w:r>
        <w:rPr>
          <w:color w:val="231F20"/>
          <w:w w:val="105"/>
          <w:sz w:val="11"/>
        </w:rPr>
        <w:t>Q4</w:t>
      </w:r>
    </w:p>
    <w:p>
      <w:pPr>
        <w:spacing w:before="57"/>
        <w:ind w:left="559" w:right="0" w:firstLine="0"/>
        <w:jc w:val="left"/>
        <w:rPr>
          <w:sz w:val="11"/>
        </w:rPr>
      </w:pPr>
      <w:r>
        <w:rPr>
          <w:color w:val="231F20"/>
          <w:w w:val="105"/>
          <w:sz w:val="11"/>
        </w:rPr>
        <w:t>1998</w:t>
      </w:r>
      <w:r>
        <w:rPr>
          <w:color w:val="231F20"/>
          <w:spacing w:val="-6"/>
          <w:w w:val="105"/>
          <w:sz w:val="11"/>
        </w:rPr>
        <w:t> </w:t>
      </w:r>
      <w:r>
        <w:rPr>
          <w:color w:val="231F20"/>
          <w:w w:val="105"/>
          <w:sz w:val="11"/>
        </w:rPr>
        <w:t>Q4</w:t>
      </w:r>
    </w:p>
    <w:p>
      <w:pPr>
        <w:spacing w:line="242" w:lineRule="auto" w:before="207"/>
        <w:ind w:left="210" w:right="302" w:firstLine="0"/>
        <w:jc w:val="left"/>
        <w:rPr>
          <w:sz w:val="24"/>
        </w:rPr>
      </w:pPr>
      <w:r>
        <w:rPr/>
        <w:br w:type="column"/>
      </w:r>
      <w:r>
        <w:rPr>
          <w:sz w:val="24"/>
        </w:rPr>
        <w:t>Lynch-Gallup survey of fund managers, the net balance expressing a desire to buy property shares has been negative since July 1998.</w:t>
      </w:r>
    </w:p>
    <w:p>
      <w:pPr>
        <w:spacing w:after="0" w:line="242" w:lineRule="auto"/>
        <w:jc w:val="left"/>
        <w:rPr>
          <w:sz w:val="24"/>
        </w:rPr>
        <w:sectPr>
          <w:type w:val="continuous"/>
          <w:pgSz w:w="11900" w:h="16840"/>
          <w:pgMar w:top="1220" w:bottom="280" w:left="640" w:right="600"/>
          <w:cols w:num="2" w:equalWidth="0">
            <w:col w:w="4067" w:space="697"/>
            <w:col w:w="5896"/>
          </w:cols>
        </w:sectPr>
      </w:pPr>
    </w:p>
    <w:p>
      <w:pPr>
        <w:pStyle w:val="BodyText"/>
        <w:spacing w:before="1"/>
        <w:rPr>
          <w:sz w:val="12"/>
        </w:rPr>
      </w:pPr>
    </w:p>
    <w:p>
      <w:pPr>
        <w:pStyle w:val="BodyText"/>
        <w:spacing w:line="20" w:lineRule="exact"/>
        <w:ind w:left="304"/>
        <w:rPr>
          <w:sz w:val="2"/>
        </w:rPr>
      </w:pPr>
      <w:r>
        <w:rPr>
          <w:sz w:val="2"/>
        </w:rPr>
        <w:pict>
          <v:group style="width:4.75pt;height:.5pt;mso-position-horizontal-relative:char;mso-position-vertical-relative:line" coordorigin="0,0" coordsize="95,10">
            <v:line style="position:absolute" from="95,5" to="0,5" stroked="true" strokeweight=".475pt" strokecolor="#000000">
              <v:stroke dashstyle="solid"/>
            </v:line>
          </v:group>
        </w:pict>
      </w:r>
      <w:r>
        <w:rPr>
          <w:sz w:val="2"/>
        </w:rPr>
      </w:r>
    </w:p>
    <w:p>
      <w:pPr>
        <w:pStyle w:val="BodyText"/>
        <w:spacing w:before="11"/>
        <w:rPr>
          <w:sz w:val="22"/>
        </w:rPr>
      </w:pPr>
      <w:r>
        <w:rPr/>
        <w:pict>
          <v:shape style="position:absolute;margin-left:47.474998pt;margin-top:15.4pt;width:4.75pt;height:.1pt;mso-position-horizontal-relative:page;mso-position-vertical-relative:paragraph;z-index:-15622656;mso-wrap-distance-left:0;mso-wrap-distance-right:0" coordorigin="949,308" coordsize="95,0" path="m1044,308l949,308e" filled="false" stroked="true" strokeweight=".475pt" strokecolor="#000000">
            <v:path arrowok="t"/>
            <v:stroke dashstyle="solid"/>
            <w10:wrap type="topAndBottom"/>
          </v:shape>
        </w:pict>
      </w:r>
      <w:r>
        <w:rPr/>
        <w:pict>
          <v:shape style="position:absolute;margin-left:47.474998pt;margin-top:31.549999pt;width:4.75pt;height:.1pt;mso-position-horizontal-relative:page;mso-position-vertical-relative:paragraph;z-index:-15622144;mso-wrap-distance-left:0;mso-wrap-distance-right:0" coordorigin="949,631" coordsize="95,0" path="m1044,631l949,631e" filled="false" stroked="true" strokeweight=".475pt" strokecolor="#000000">
            <v:path arrowok="t"/>
            <v:stroke dashstyle="solid"/>
            <w10:wrap type="topAndBottom"/>
          </v:shape>
        </w:pict>
      </w:r>
      <w:r>
        <w:rPr/>
        <w:pict>
          <v:shape style="position:absolute;margin-left:47.474998pt;margin-top:46.75pt;width:4.75pt;height:.1pt;mso-position-horizontal-relative:page;mso-position-vertical-relative:paragraph;z-index:-15621632;mso-wrap-distance-left:0;mso-wrap-distance-right:0" coordorigin="949,935" coordsize="95,0" path="m1044,935l949,935e" filled="false" stroked="true" strokeweight=".475pt" strokecolor="#000000">
            <v:path arrowok="t"/>
            <v:stroke dashstyle="solid"/>
            <w10:wrap type="topAndBottom"/>
          </v:shape>
        </w:pict>
      </w:r>
      <w:r>
        <w:rPr/>
        <w:pict>
          <v:shape style="position:absolute;margin-left:47.474998pt;margin-top:62.900002pt;width:4.75pt;height:.1pt;mso-position-horizontal-relative:page;mso-position-vertical-relative:paragraph;z-index:-15621120;mso-wrap-distance-left:0;mso-wrap-distance-right:0" coordorigin="949,1258" coordsize="95,0" path="m1044,1258l949,1258e" filled="false" stroked="true" strokeweight=".475pt" strokecolor="#000000">
            <v:path arrowok="t"/>
            <v:stroke dashstyle="solid"/>
            <w10:wrap type="topAndBottom"/>
          </v:shape>
        </w:pict>
      </w:r>
      <w:r>
        <w:rPr/>
        <w:pict>
          <v:shape style="position:absolute;margin-left:47.474998pt;margin-top:79.050003pt;width:4.75pt;height:.1pt;mso-position-horizontal-relative:page;mso-position-vertical-relative:paragraph;z-index:-15620608;mso-wrap-distance-left:0;mso-wrap-distance-right:0" coordorigin="949,1581" coordsize="95,0" path="m1044,1581l949,1581e" filled="false" stroked="true" strokeweight=".475pt" strokecolor="#000000">
            <v:path arrowok="t"/>
            <v:stroke dashstyle="solid"/>
            <w10:wrap type="topAndBottom"/>
          </v:shape>
        </w:pict>
      </w:r>
      <w:r>
        <w:rPr/>
        <w:pict>
          <v:shape style="position:absolute;margin-left:47.474998pt;margin-top:95.199997pt;width:4.75pt;height:.1pt;mso-position-horizontal-relative:page;mso-position-vertical-relative:paragraph;z-index:-15620096;mso-wrap-distance-left:0;mso-wrap-distance-right:0" coordorigin="949,1904" coordsize="95,0" path="m1044,1904l949,1904e" filled="false" stroked="true" strokeweight=".475pt" strokecolor="#000000">
            <v:path arrowok="t"/>
            <v:stroke dashstyle="solid"/>
            <w10:wrap type="topAndBottom"/>
          </v:shape>
        </w:pict>
      </w:r>
    </w:p>
    <w:p>
      <w:pPr>
        <w:pStyle w:val="BodyText"/>
        <w:spacing w:before="3"/>
        <w:rPr>
          <w:sz w:val="21"/>
        </w:rPr>
      </w:pPr>
    </w:p>
    <w:p>
      <w:pPr>
        <w:pStyle w:val="BodyText"/>
        <w:spacing w:before="7"/>
        <w:rPr>
          <w:sz w:val="19"/>
        </w:rPr>
      </w:pPr>
    </w:p>
    <w:p>
      <w:pPr>
        <w:pStyle w:val="BodyText"/>
        <w:spacing w:before="3"/>
        <w:rPr>
          <w:sz w:val="21"/>
        </w:rPr>
      </w:pPr>
    </w:p>
    <w:p>
      <w:pPr>
        <w:pStyle w:val="BodyText"/>
        <w:spacing w:before="3"/>
        <w:rPr>
          <w:sz w:val="21"/>
        </w:rPr>
      </w:pPr>
    </w:p>
    <w:p>
      <w:pPr>
        <w:pStyle w:val="BodyText"/>
        <w:spacing w:before="3"/>
        <w:rPr>
          <w:sz w:val="21"/>
        </w:rPr>
      </w:pPr>
    </w:p>
    <w:p>
      <w:pPr>
        <w:pStyle w:val="BodyText"/>
        <w:rPr>
          <w:sz w:val="20"/>
        </w:rPr>
      </w:pPr>
    </w:p>
    <w:p>
      <w:pPr>
        <w:pStyle w:val="BodyText"/>
        <w:spacing w:before="8"/>
        <w:rPr>
          <w:sz w:val="27"/>
        </w:rPr>
      </w:pPr>
      <w:r>
        <w:rPr/>
        <w:pict>
          <v:shape style="position:absolute;margin-left:47.474998pt;margin-top:18.150976pt;width:4.75pt;height:.1pt;mso-position-horizontal-relative:page;mso-position-vertical-relative:paragraph;z-index:-15619584;mso-wrap-distance-left:0;mso-wrap-distance-right:0" coordorigin="949,363" coordsize="95,0" path="m1044,363l949,363e" filled="false" stroked="true" strokeweight=".475pt" strokecolor="#000000">
            <v:path arrowok="t"/>
            <v:stroke dashstyle="solid"/>
            <w10:wrap type="topAndBottom"/>
          </v:shape>
        </w:pict>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8"/>
        <w:rPr>
          <w:sz w:val="15"/>
        </w:rPr>
      </w:pPr>
    </w:p>
    <w:p>
      <w:pPr>
        <w:spacing w:before="1"/>
        <w:ind w:left="180" w:right="0" w:firstLine="0"/>
        <w:jc w:val="left"/>
        <w:rPr>
          <w:sz w:val="12"/>
        </w:rPr>
      </w:pPr>
      <w:r>
        <w:rPr/>
        <w:pict>
          <v:shape style="position:absolute;margin-left:57.497654pt;margin-top:-41.917725pt;width:19.25pt;height:38.25pt;mso-position-horizontal-relative:page;mso-position-vertical-relative:paragraph;z-index:15851520" type="#_x0000_t202" filled="false" stroked="false">
            <v:textbox inset="0,0,0,0" style="layout-flow:vertical;mso-layout-flow-alt:bottom-to-top">
              <w:txbxContent>
                <w:p>
                  <w:pPr>
                    <w:spacing w:before="19"/>
                    <w:ind w:left="0" w:right="18" w:firstLine="0"/>
                    <w:jc w:val="right"/>
                    <w:rPr>
                      <w:sz w:val="11"/>
                    </w:rPr>
                  </w:pPr>
                  <w:r>
                    <w:rPr>
                      <w:w w:val="105"/>
                      <w:sz w:val="11"/>
                    </w:rPr>
                    <w:t>Greater</w:t>
                  </w:r>
                  <w:r>
                    <w:rPr>
                      <w:spacing w:val="-10"/>
                      <w:w w:val="105"/>
                      <w:sz w:val="11"/>
                    </w:rPr>
                    <w:t> </w:t>
                  </w:r>
                  <w:r>
                    <w:rPr>
                      <w:w w:val="105"/>
                      <w:sz w:val="11"/>
                    </w:rPr>
                    <w:t>London</w:t>
                  </w:r>
                </w:p>
                <w:p>
                  <w:pPr>
                    <w:spacing w:before="92"/>
                    <w:ind w:left="0" w:right="18" w:firstLine="0"/>
                    <w:jc w:val="right"/>
                    <w:rPr>
                      <w:sz w:val="11"/>
                    </w:rPr>
                  </w:pPr>
                  <w:r>
                    <w:rPr>
                      <w:w w:val="105"/>
                      <w:sz w:val="11"/>
                    </w:rPr>
                    <w:t>South</w:t>
                  </w:r>
                  <w:r>
                    <w:rPr>
                      <w:spacing w:val="-7"/>
                      <w:w w:val="105"/>
                      <w:sz w:val="11"/>
                    </w:rPr>
                    <w:t> </w:t>
                  </w:r>
                  <w:r>
                    <w:rPr>
                      <w:w w:val="105"/>
                      <w:sz w:val="11"/>
                    </w:rPr>
                    <w:t>East</w:t>
                  </w:r>
                </w:p>
              </w:txbxContent>
            </v:textbox>
            <w10:wrap type="none"/>
          </v:shape>
        </w:pict>
      </w:r>
      <w:r>
        <w:rPr/>
        <w:pict>
          <v:shape style="position:absolute;margin-left:80.619537pt;margin-top:-41.917770pt;width:20.2pt;height:28.8pt;mso-position-horizontal-relative:page;mso-position-vertical-relative:paragraph;z-index:15852032" type="#_x0000_t202" filled="false" stroked="false">
            <v:textbox inset="0,0,0,0" style="layout-flow:vertical;mso-layout-flow-alt:bottom-to-top">
              <w:txbxContent>
                <w:p>
                  <w:pPr>
                    <w:spacing w:before="19"/>
                    <w:ind w:left="20" w:right="0" w:firstLine="0"/>
                    <w:jc w:val="left"/>
                    <w:rPr>
                      <w:sz w:val="11"/>
                    </w:rPr>
                  </w:pPr>
                  <w:r>
                    <w:rPr>
                      <w:w w:val="105"/>
                      <w:sz w:val="11"/>
                    </w:rPr>
                    <w:t>East</w:t>
                  </w:r>
                  <w:r>
                    <w:rPr>
                      <w:spacing w:val="-8"/>
                      <w:w w:val="105"/>
                      <w:sz w:val="11"/>
                    </w:rPr>
                    <w:t> </w:t>
                  </w:r>
                  <w:r>
                    <w:rPr>
                      <w:w w:val="105"/>
                      <w:sz w:val="11"/>
                    </w:rPr>
                    <w:t>Anglia</w:t>
                  </w:r>
                </w:p>
                <w:p>
                  <w:pPr>
                    <w:pStyle w:val="BodyText"/>
                    <w:spacing w:before="7"/>
                    <w:rPr>
                      <w:sz w:val="9"/>
                    </w:rPr>
                  </w:pPr>
                </w:p>
                <w:p>
                  <w:pPr>
                    <w:spacing w:before="0"/>
                    <w:ind w:left="26" w:right="0" w:firstLine="0"/>
                    <w:jc w:val="left"/>
                    <w:rPr>
                      <w:sz w:val="11"/>
                    </w:rPr>
                  </w:pPr>
                  <w:r>
                    <w:rPr>
                      <w:w w:val="105"/>
                      <w:sz w:val="11"/>
                    </w:rPr>
                    <w:t>South</w:t>
                  </w:r>
                  <w:r>
                    <w:rPr>
                      <w:spacing w:val="-7"/>
                      <w:w w:val="105"/>
                      <w:sz w:val="11"/>
                    </w:rPr>
                    <w:t> </w:t>
                  </w:r>
                  <w:r>
                    <w:rPr>
                      <w:w w:val="105"/>
                      <w:sz w:val="11"/>
                    </w:rPr>
                    <w:t>West</w:t>
                  </w:r>
                </w:p>
              </w:txbxContent>
            </v:textbox>
            <w10:wrap type="none"/>
          </v:shape>
        </w:pict>
      </w:r>
      <w:r>
        <w:rPr>
          <w:sz w:val="12"/>
        </w:rPr>
        <w:t>Source: Halifax plc.</w:t>
      </w:r>
    </w:p>
    <w:p>
      <w:pPr>
        <w:spacing w:before="6"/>
        <w:ind w:left="180" w:right="0" w:firstLine="0"/>
        <w:jc w:val="left"/>
        <w:rPr>
          <w:sz w:val="11"/>
        </w:rPr>
      </w:pPr>
      <w:r>
        <w:rPr/>
        <w:br w:type="column"/>
      </w:r>
      <w:r>
        <w:rPr>
          <w:w w:val="105"/>
          <w:sz w:val="11"/>
        </w:rPr>
        <w:t>Percentage</w:t>
      </w:r>
      <w:r>
        <w:rPr>
          <w:spacing w:val="-5"/>
          <w:w w:val="105"/>
          <w:sz w:val="11"/>
        </w:rPr>
        <w:t> </w:t>
      </w:r>
      <w:r>
        <w:rPr>
          <w:w w:val="105"/>
          <w:sz w:val="11"/>
        </w:rPr>
        <w:t>changes</w:t>
      </w:r>
      <w:r>
        <w:rPr>
          <w:spacing w:val="-4"/>
          <w:w w:val="105"/>
          <w:sz w:val="11"/>
        </w:rPr>
        <w:t> </w:t>
      </w:r>
      <w:r>
        <w:rPr>
          <w:w w:val="105"/>
          <w:sz w:val="11"/>
        </w:rPr>
        <w:t>on</w:t>
      </w:r>
      <w:r>
        <w:rPr>
          <w:spacing w:val="-4"/>
          <w:w w:val="105"/>
          <w:sz w:val="11"/>
        </w:rPr>
        <w:t> </w:t>
      </w:r>
      <w:r>
        <w:rPr>
          <w:w w:val="105"/>
          <w:sz w:val="11"/>
        </w:rPr>
        <w:t>a</w:t>
      </w:r>
      <w:r>
        <w:rPr>
          <w:spacing w:val="-5"/>
          <w:w w:val="105"/>
          <w:sz w:val="11"/>
        </w:rPr>
        <w:t> </w:t>
      </w:r>
      <w:r>
        <w:rPr>
          <w:w w:val="105"/>
          <w:sz w:val="11"/>
        </w:rPr>
        <w:t>year</w:t>
      </w:r>
      <w:r>
        <w:rPr>
          <w:spacing w:val="-4"/>
          <w:w w:val="105"/>
          <w:sz w:val="11"/>
        </w:rPr>
        <w:t> </w:t>
      </w:r>
      <w:r>
        <w:rPr>
          <w:w w:val="105"/>
          <w:sz w:val="11"/>
        </w:rPr>
        <w:t>earl</w:t>
      </w:r>
      <w:r>
        <w:rPr>
          <w:w w:val="105"/>
          <w:sz w:val="11"/>
          <w:u w:val="single"/>
        </w:rPr>
        <w:t>ie</w:t>
      </w:r>
      <w:r>
        <w:rPr>
          <w:w w:val="105"/>
          <w:sz w:val="11"/>
        </w:rPr>
        <w:t>r</w:t>
      </w:r>
      <w:r>
        <w:rPr>
          <w:spacing w:val="-9"/>
          <w:w w:val="105"/>
          <w:sz w:val="11"/>
        </w:rPr>
        <w:t> </w:t>
      </w:r>
      <w:r>
        <w:rPr>
          <w:w w:val="105"/>
          <w:position w:val="-5"/>
          <w:sz w:val="11"/>
        </w:rPr>
        <w:t>17.5</w:t>
      </w:r>
    </w:p>
    <w:p>
      <w:pPr>
        <w:pStyle w:val="BodyText"/>
        <w:spacing w:before="5"/>
        <w:rPr>
          <w:sz w:val="17"/>
        </w:rPr>
      </w:pPr>
    </w:p>
    <w:p>
      <w:pPr>
        <w:spacing w:before="0"/>
        <w:ind w:left="0" w:right="38" w:firstLine="0"/>
        <w:jc w:val="right"/>
        <w:rPr>
          <w:sz w:val="11"/>
        </w:rPr>
      </w:pPr>
      <w:r>
        <w:rPr/>
        <w:pict>
          <v:group style="position:absolute;margin-left:47.474998pt;margin-top:1.572278pt;width:151.050pt;height:110.7pt;mso-position-horizontal-relative:page;mso-position-vertical-relative:paragraph;z-index:-21172224" coordorigin="949,31" coordsize="3021,2214">
            <v:line style="position:absolute" from="1044,1974" to="949,1974" stroked="true" strokeweight=".475pt" strokecolor="#000000">
              <v:stroke dashstyle="solid"/>
            </v:line>
            <v:shape style="position:absolute;left:1101;top:1971;width:2869;height:5" coordorigin="1101,1972" coordsize="2869,5" path="m1101,1977l3970,1977m1101,1972l1937,1972m2032,1972l2412,1972m2507,1972l3761,1972m3856,1972l3970,1972e" filled="false" stroked="true" strokeweight=".2375pt" strokecolor="#000000">
              <v:path arrowok="t"/>
              <v:stroke dashstyle="solid"/>
            </v:shape>
            <v:rect style="position:absolute;left:1158;top:36;width:76;height:1938" filled="true" fillcolor="#ac6e90" stroked="false">
              <v:fill type="solid"/>
            </v:rect>
            <v:rect style="position:absolute;left:1158;top:36;width:76;height:1938" filled="false" stroked="true" strokeweight=".475pt" strokecolor="#000000">
              <v:stroke dashstyle="solid"/>
            </v:rect>
            <v:rect style="position:absolute;left:1386;top:378;width:76;height:1596" filled="true" fillcolor="#ac6e90" stroked="false">
              <v:fill type="solid"/>
            </v:rect>
            <v:rect style="position:absolute;left:1386;top:378;width:76;height:1596" filled="false" stroked="true" strokeweight=".475pt" strokecolor="#000000">
              <v:stroke dashstyle="solid"/>
            </v:rect>
            <v:rect style="position:absolute;left:1633;top:1100;width:76;height:874" filled="true" fillcolor="#ac6e90" stroked="false">
              <v:fill type="solid"/>
            </v:rect>
            <v:rect style="position:absolute;left:1633;top:1100;width:76;height:874" filled="false" stroked="true" strokeweight=".475pt" strokecolor="#000000">
              <v:stroke dashstyle="solid"/>
            </v:rect>
            <v:rect style="position:absolute;left:1861;top:1024;width:76;height:950" filled="true" fillcolor="#ac6e90" stroked="false">
              <v:fill type="solid"/>
            </v:rect>
            <v:rect style="position:absolute;left:1861;top:1024;width:76;height:950" filled="false" stroked="true" strokeweight=".475pt" strokecolor="#000000">
              <v:stroke dashstyle="solid"/>
            </v:rect>
            <v:line style="position:absolute" from="1935,1024" to="1935,1974" stroked="true" strokeweight=".2375pt" strokecolor="#000000">
              <v:stroke dashstyle="solid"/>
            </v:line>
            <v:rect style="position:absolute;left:2108;top:1195;width:76;height:779" filled="true" fillcolor="#ac6e90" stroked="false">
              <v:fill type="solid"/>
            </v:rect>
            <v:rect style="position:absolute;left:2108;top:1195;width:76;height:779" filled="false" stroked="true" strokeweight=".475pt" strokecolor="#000000">
              <v:stroke dashstyle="solid"/>
            </v:rect>
            <v:line style="position:absolute" from="2108,1974" to="2108,1195" stroked="true" strokeweight=".475pt" strokecolor="#000000">
              <v:stroke dashstyle="solid"/>
            </v:line>
            <v:rect style="position:absolute;left:2336;top:1442;width:76;height:532" filled="true" fillcolor="#ac6e90" stroked="false">
              <v:fill type="solid"/>
            </v:rect>
            <v:rect style="position:absolute;left:2336;top:1442;width:76;height:532" filled="false" stroked="true" strokeweight=".475pt" strokecolor="#000000">
              <v:stroke dashstyle="solid"/>
            </v:rect>
            <v:line style="position:absolute" from="2410,1442" to="2410,1974" stroked="true" strokeweight=".2375pt" strokecolor="#000000">
              <v:stroke dashstyle="solid"/>
            </v:line>
            <v:rect style="position:absolute;left:2583;top:1784;width:76;height:190" filled="true" fillcolor="#ac6e90" stroked="false">
              <v:fill type="solid"/>
            </v:rect>
            <v:rect style="position:absolute;left:2583;top:1784;width:76;height:190" filled="false" stroked="true" strokeweight=".475pt" strokecolor="#000000">
              <v:stroke dashstyle="solid"/>
            </v:rect>
            <v:rect style="position:absolute;left:2811;top:1974;width:95;height:171" filled="true" fillcolor="#ac6e90" stroked="false">
              <v:fill type="solid"/>
            </v:rect>
            <v:rect style="position:absolute;left:2811;top:1974;width:95;height:171" filled="false" stroked="true" strokeweight=".475pt" strokecolor="#000000">
              <v:stroke dashstyle="solid"/>
            </v:rect>
            <v:rect style="position:absolute;left:3058;top:1917;width:76;height:57" filled="true" fillcolor="#ac6e90" stroked="false">
              <v:fill type="solid"/>
            </v:rect>
            <v:rect style="position:absolute;left:3058;top:1917;width:76;height:57" filled="false" stroked="true" strokeweight=".475pt" strokecolor="#000000">
              <v:stroke dashstyle="solid"/>
            </v:rect>
            <v:rect style="position:absolute;left:3305;top:1974;width:76;height:266" filled="true" fillcolor="#ac6e90" stroked="false">
              <v:fill type="solid"/>
            </v:rect>
            <v:rect style="position:absolute;left:3305;top:1974;width:76;height:266" filled="false" stroked="true" strokeweight=".475pt" strokecolor="#000000">
              <v:stroke dashstyle="solid"/>
            </v:rect>
            <v:rect style="position:absolute;left:3533;top:1689;width:76;height:285" filled="true" fillcolor="#ac6e90" stroked="false">
              <v:fill type="solid"/>
            </v:rect>
            <v:rect style="position:absolute;left:3533;top:1689;width:76;height:285" filled="false" stroked="true" strokeweight=".475pt" strokecolor="#000000">
              <v:stroke dashstyle="solid"/>
            </v:rect>
            <v:rect style="position:absolute;left:3761;top:1613;width:95;height:361" filled="true" fillcolor="#ac6e90" stroked="false">
              <v:fill type="solid"/>
            </v:rect>
            <v:rect style="position:absolute;left:3761;top:1613;width:95;height:361" filled="false" stroked="true" strokeweight=".475pt" strokecolor="#000000">
              <v:stroke dashstyle="solid"/>
            </v:rect>
            <v:rect style="position:absolute;left:1234;top:929;width:76;height:1045" filled="true" fillcolor="#b5e1e1" stroked="false">
              <v:fill type="solid"/>
            </v:rect>
            <v:rect style="position:absolute;left:1234;top:929;width:76;height:1045" filled="false" stroked="true" strokeweight=".475pt" strokecolor="#000000">
              <v:stroke dashstyle="solid"/>
            </v:rect>
            <v:rect style="position:absolute;left:1462;top:777;width:76;height:1197" filled="true" fillcolor="#b5e1e1" stroked="false">
              <v:fill type="solid"/>
            </v:rect>
            <v:rect style="position:absolute;left:1462;top:777;width:76;height:1197" filled="false" stroked="true" strokeweight=".475pt" strokecolor="#000000">
              <v:stroke dashstyle="solid"/>
            </v:rect>
            <v:rect style="position:absolute;left:1709;top:796;width:76;height:1178" filled="true" fillcolor="#b5e1e1" stroked="false">
              <v:fill type="solid"/>
            </v:rect>
            <v:rect style="position:absolute;left:1709;top:796;width:76;height:1178" filled="false" stroked="true" strokeweight=".475pt" strokecolor="#000000">
              <v:stroke dashstyle="solid"/>
            </v:rect>
            <v:rect style="position:absolute;left:1937;top:891;width:95;height:1083" filled="true" fillcolor="#b5e1e1" stroked="false">
              <v:fill type="solid"/>
            </v:rect>
            <v:rect style="position:absolute;left:1937;top:891;width:95;height:1083" filled="false" stroked="true" strokeweight=".475pt" strokecolor="#000000">
              <v:stroke dashstyle="solid"/>
            </v:rect>
            <v:rect style="position:absolute;left:2184;top:1537;width:76;height:437" filled="true" fillcolor="#b5e1e1" stroked="false">
              <v:fill type="solid"/>
            </v:rect>
            <v:rect style="position:absolute;left:2184;top:1537;width:76;height:437" filled="false" stroked="true" strokeweight=".475pt" strokecolor="#000000">
              <v:stroke dashstyle="solid"/>
            </v:rect>
            <v:rect style="position:absolute;left:2412;top:1252;width:95;height:722" filled="true" fillcolor="#b5e1e1" stroked="false">
              <v:fill type="solid"/>
            </v:rect>
            <v:rect style="position:absolute;left:2412;top:1252;width:95;height:722" filled="false" stroked="true" strokeweight=".475pt" strokecolor="#000000">
              <v:stroke dashstyle="solid"/>
            </v:rect>
            <v:rect style="position:absolute;left:2659;top:1423;width:76;height:551" filled="true" fillcolor="#b5e1e1" stroked="false">
              <v:fill type="solid"/>
            </v:rect>
            <v:rect style="position:absolute;left:2659;top:1423;width:76;height:551" filled="false" stroked="true" strokeweight=".475pt" strokecolor="#000000">
              <v:stroke dashstyle="solid"/>
            </v:rect>
            <v:rect style="position:absolute;left:2906;top:1727;width:76;height:247" filled="true" fillcolor="#b5e1e1" stroked="false">
              <v:fill type="solid"/>
            </v:rect>
            <v:rect style="position:absolute;left:2906;top:1727;width:76;height:247" filled="false" stroked="true" strokeweight=".475pt" strokecolor="#000000">
              <v:stroke dashstyle="solid"/>
            </v:rect>
            <v:rect style="position:absolute;left:3134;top:1727;width:76;height:247" filled="true" fillcolor="#b5e1e1" stroked="false">
              <v:fill type="solid"/>
            </v:rect>
            <v:rect style="position:absolute;left:3134;top:1727;width:76;height:247" filled="false" stroked="true" strokeweight=".475pt" strokecolor="#000000">
              <v:stroke dashstyle="solid"/>
            </v:rect>
            <v:rect style="position:absolute;left:3381;top:1499;width:76;height:475" filled="true" fillcolor="#b5e1e1" stroked="false">
              <v:fill type="solid"/>
            </v:rect>
            <v:rect style="position:absolute;left:3381;top:1499;width:76;height:475" filled="false" stroked="true" strokeweight=".475pt" strokecolor="#000000">
              <v:stroke dashstyle="solid"/>
            </v:rect>
            <v:rect style="position:absolute;left:3609;top:435;width:76;height:1539" filled="true" fillcolor="#b5e1e1" stroked="false">
              <v:fill type="solid"/>
            </v:rect>
            <v:rect style="position:absolute;left:3609;top:435;width:76;height:1539" filled="false" stroked="true" strokeweight=".475pt" strokecolor="#000000">
              <v:stroke dashstyle="solid"/>
            </v:rect>
            <v:rect style="position:absolute;left:3856;top:1765;width:76;height:209" filled="true" fillcolor="#b5e1e1" stroked="false">
              <v:fill type="solid"/>
            </v:rect>
            <v:rect style="position:absolute;left:3856;top:1765;width:76;height:209" filled="false" stroked="true" strokeweight=".475pt" strokecolor="#000000">
              <v:stroke dashstyle="solid"/>
            </v:rect>
            <w10:wrap type="none"/>
          </v:group>
        </w:pict>
      </w:r>
      <w:r>
        <w:rPr/>
        <w:pict>
          <v:line style="position:absolute;mso-position-horizontal-relative:page;mso-position-vertical-relative:paragraph;z-index:15850496" from="207.074997pt,3.709778pt" to="202.324997pt,3.709778pt" stroked="true" strokeweight=".475pt" strokecolor="#000000">
            <v:stroke dashstyle="solid"/>
            <w10:wrap type="none"/>
          </v:line>
        </w:pict>
      </w:r>
      <w:r>
        <w:rPr>
          <w:sz w:val="11"/>
        </w:rPr>
        <w:t>15.0</w:t>
      </w:r>
    </w:p>
    <w:p>
      <w:pPr>
        <w:pStyle w:val="BodyText"/>
        <w:spacing w:before="1"/>
        <w:rPr>
          <w:sz w:val="17"/>
        </w:rPr>
      </w:pPr>
    </w:p>
    <w:p>
      <w:pPr>
        <w:spacing w:before="0"/>
        <w:ind w:left="0" w:right="38" w:firstLine="0"/>
        <w:jc w:val="right"/>
        <w:rPr>
          <w:sz w:val="11"/>
        </w:rPr>
      </w:pPr>
      <w:r>
        <w:rPr/>
        <w:pict>
          <v:line style="position:absolute;mso-position-horizontal-relative:page;mso-position-vertical-relative:paragraph;z-index:15849984" from="207.074997pt,3.709754pt" to="202.324997pt,3.709754pt" stroked="true" strokeweight=".475pt" strokecolor="#000000">
            <v:stroke dashstyle="solid"/>
            <w10:wrap type="none"/>
          </v:line>
        </w:pict>
      </w:r>
      <w:r>
        <w:rPr>
          <w:sz w:val="11"/>
        </w:rPr>
        <w:t>12.5</w:t>
      </w:r>
    </w:p>
    <w:p>
      <w:pPr>
        <w:pStyle w:val="BodyText"/>
        <w:spacing w:before="5"/>
        <w:rPr>
          <w:sz w:val="15"/>
        </w:rPr>
      </w:pPr>
    </w:p>
    <w:p>
      <w:pPr>
        <w:spacing w:before="0"/>
        <w:ind w:left="0" w:right="38" w:firstLine="0"/>
        <w:jc w:val="right"/>
        <w:rPr>
          <w:sz w:val="11"/>
        </w:rPr>
      </w:pPr>
      <w:r>
        <w:rPr/>
        <w:pict>
          <v:line style="position:absolute;mso-position-horizontal-relative:page;mso-position-vertical-relative:paragraph;z-index:15849472" from="207.074997pt,3.709741pt" to="202.324997pt,3.709741pt" stroked="true" strokeweight=".475pt" strokecolor="#000000">
            <v:stroke dashstyle="solid"/>
            <w10:wrap type="none"/>
          </v:line>
        </w:pict>
      </w:r>
      <w:r>
        <w:rPr>
          <w:sz w:val="11"/>
        </w:rPr>
        <w:t>10.0</w:t>
      </w:r>
    </w:p>
    <w:p>
      <w:pPr>
        <w:pStyle w:val="BodyText"/>
        <w:spacing w:before="1"/>
        <w:rPr>
          <w:sz w:val="17"/>
        </w:rPr>
      </w:pPr>
    </w:p>
    <w:p>
      <w:pPr>
        <w:spacing w:before="0"/>
        <w:ind w:left="0" w:right="38" w:firstLine="0"/>
        <w:jc w:val="right"/>
        <w:rPr>
          <w:sz w:val="11"/>
        </w:rPr>
      </w:pPr>
      <w:r>
        <w:rPr/>
        <w:pict>
          <v:line style="position:absolute;mso-position-horizontal-relative:page;mso-position-vertical-relative:paragraph;z-index:15848960" from="207.074997pt,3.709778pt" to="202.324997pt,3.709778pt" stroked="true" strokeweight=".475pt" strokecolor="#000000">
            <v:stroke dashstyle="solid"/>
            <w10:wrap type="none"/>
          </v:line>
        </w:pict>
      </w:r>
      <w:r>
        <w:rPr>
          <w:spacing w:val="-1"/>
          <w:w w:val="105"/>
          <w:sz w:val="11"/>
        </w:rPr>
        <w:t>7.5</w:t>
      </w:r>
    </w:p>
    <w:p>
      <w:pPr>
        <w:pStyle w:val="BodyText"/>
        <w:spacing w:before="1"/>
        <w:rPr>
          <w:sz w:val="17"/>
        </w:rPr>
      </w:pPr>
    </w:p>
    <w:p>
      <w:pPr>
        <w:spacing w:before="0"/>
        <w:ind w:left="0" w:right="38" w:firstLine="0"/>
        <w:jc w:val="right"/>
        <w:rPr>
          <w:sz w:val="11"/>
        </w:rPr>
      </w:pPr>
      <w:r>
        <w:rPr/>
        <w:pict>
          <v:line style="position:absolute;mso-position-horizontal-relative:page;mso-position-vertical-relative:paragraph;z-index:15848448" from="207.074997pt,3.709754pt" to="202.324997pt,3.709754pt" stroked="true" strokeweight=".475pt" strokecolor="#000000">
            <v:stroke dashstyle="solid"/>
            <w10:wrap type="none"/>
          </v:line>
        </w:pict>
      </w:r>
      <w:r>
        <w:rPr>
          <w:spacing w:val="-1"/>
          <w:w w:val="105"/>
          <w:sz w:val="11"/>
        </w:rPr>
        <w:t>5.0</w:t>
      </w:r>
    </w:p>
    <w:p>
      <w:pPr>
        <w:pStyle w:val="BodyText"/>
        <w:spacing w:before="1"/>
        <w:rPr>
          <w:sz w:val="17"/>
        </w:rPr>
      </w:pPr>
    </w:p>
    <w:p>
      <w:pPr>
        <w:spacing w:line="111" w:lineRule="exact" w:before="0"/>
        <w:ind w:left="0" w:right="38" w:firstLine="0"/>
        <w:jc w:val="right"/>
        <w:rPr>
          <w:sz w:val="11"/>
        </w:rPr>
      </w:pPr>
      <w:r>
        <w:rPr/>
        <w:pict>
          <v:line style="position:absolute;mso-position-horizontal-relative:page;mso-position-vertical-relative:paragraph;z-index:15847936" from="207.074997pt,3.70979pt" to="202.324997pt,3.70979pt" stroked="true" strokeweight=".475pt" strokecolor="#000000">
            <v:stroke dashstyle="solid"/>
            <w10:wrap type="none"/>
          </v:line>
        </w:pict>
      </w:r>
      <w:r>
        <w:rPr>
          <w:spacing w:val="-1"/>
          <w:w w:val="105"/>
          <w:sz w:val="11"/>
        </w:rPr>
        <w:t>2.5</w:t>
      </w:r>
    </w:p>
    <w:p>
      <w:pPr>
        <w:spacing w:line="157" w:lineRule="exact" w:before="0"/>
        <w:ind w:left="1801" w:right="0" w:firstLine="0"/>
        <w:jc w:val="left"/>
        <w:rPr>
          <w:sz w:val="15"/>
        </w:rPr>
      </w:pPr>
      <w:r>
        <w:rPr>
          <w:color w:val="231F20"/>
          <w:w w:val="101"/>
          <w:sz w:val="15"/>
        </w:rPr>
        <w:t>+</w:t>
      </w:r>
    </w:p>
    <w:p>
      <w:pPr>
        <w:spacing w:before="36"/>
        <w:ind w:left="0" w:right="38" w:firstLine="0"/>
        <w:jc w:val="right"/>
        <w:rPr>
          <w:sz w:val="11"/>
        </w:rPr>
      </w:pPr>
      <w:r>
        <w:rPr/>
        <w:pict>
          <v:line style="position:absolute;mso-position-horizontal-relative:page;mso-position-vertical-relative:paragraph;z-index:15847424" from="207.074997pt,5.509778pt" to="202.324997pt,5.509778pt" stroked="true" strokeweight=".475pt" strokecolor="#000000">
            <v:stroke dashstyle="solid"/>
            <w10:wrap type="none"/>
          </v:line>
        </w:pict>
      </w:r>
      <w:r>
        <w:rPr>
          <w:spacing w:val="-1"/>
          <w:w w:val="105"/>
          <w:sz w:val="11"/>
        </w:rPr>
        <w:t>0.0</w:t>
      </w:r>
    </w:p>
    <w:p>
      <w:pPr>
        <w:spacing w:before="20"/>
        <w:ind w:left="1811" w:right="0" w:firstLine="0"/>
        <w:jc w:val="left"/>
        <w:rPr>
          <w:sz w:val="15"/>
        </w:rPr>
      </w:pPr>
      <w:r>
        <w:rPr>
          <w:color w:val="231F20"/>
          <w:w w:val="101"/>
          <w:sz w:val="15"/>
        </w:rPr>
        <w:t>_</w:t>
      </w:r>
    </w:p>
    <w:p>
      <w:pPr>
        <w:spacing w:before="4"/>
        <w:ind w:left="0" w:right="38" w:firstLine="0"/>
        <w:jc w:val="right"/>
        <w:rPr>
          <w:sz w:val="11"/>
        </w:rPr>
      </w:pPr>
      <w:r>
        <w:rPr/>
        <w:pict>
          <v:line style="position:absolute;mso-position-horizontal-relative:page;mso-position-vertical-relative:paragraph;z-index:15846400" from="207.074997pt,3.909753pt" to="202.324997pt,3.909753pt" stroked="true" strokeweight=".475pt" strokecolor="#000000">
            <v:stroke dashstyle="solid"/>
            <w10:wrap type="none"/>
          </v:line>
        </w:pict>
      </w:r>
      <w:r>
        <w:rPr>
          <w:spacing w:val="-1"/>
          <w:w w:val="105"/>
          <w:sz w:val="11"/>
        </w:rPr>
        <w:t>2.5</w:t>
      </w:r>
    </w:p>
    <w:p>
      <w:pPr>
        <w:pStyle w:val="BodyText"/>
        <w:spacing w:before="1"/>
        <w:rPr>
          <w:sz w:val="17"/>
        </w:rPr>
      </w:pPr>
    </w:p>
    <w:p>
      <w:pPr>
        <w:spacing w:before="0"/>
        <w:ind w:left="0" w:right="38" w:firstLine="0"/>
        <w:jc w:val="right"/>
        <w:rPr>
          <w:sz w:val="11"/>
        </w:rPr>
      </w:pPr>
      <w:r>
        <w:rPr/>
        <w:pict>
          <v:shape style="position:absolute;margin-left:47.474998pt;margin-top:.85979pt;width:151.050pt;height:2.85pt;mso-position-horizontal-relative:page;mso-position-vertical-relative:paragraph;z-index:15845376" coordorigin="949,17" coordsize="3021,57" path="m1044,74l949,74m1234,74l1234,17m1462,74l1462,17m1709,74l1709,17m1937,74l1937,17m2184,74l2184,17m2412,74l2412,17m2659,74l2659,17m2906,74l2906,17m3134,74l3134,17m3381,74l3381,17m3609,74l3609,17m3856,74l3856,17m1101,74l3970,74m1234,74l1234,17e" filled="false" stroked="true" strokeweight=".475pt" strokecolor="#000000">
            <v:path arrowok="t"/>
            <v:stroke dashstyle="solid"/>
            <w10:wrap type="none"/>
          </v:shape>
        </w:pict>
      </w:r>
      <w:r>
        <w:rPr/>
        <w:pict>
          <v:line style="position:absolute;mso-position-horizontal-relative:page;mso-position-vertical-relative:paragraph;z-index:15846912" from="207.074997pt,3.70979pt" to="202.324997pt,3.70979pt" stroked="true" strokeweight=".475pt" strokecolor="#000000">
            <v:stroke dashstyle="solid"/>
            <w10:wrap type="none"/>
          </v:line>
        </w:pict>
      </w:r>
      <w:r>
        <w:rPr/>
        <w:pict>
          <v:shape style="position:absolute;margin-left:105.162598pt;margin-top:4.656328pt;width:19.75pt;height:36.7pt;mso-position-horizontal-relative:page;mso-position-vertical-relative:paragraph;z-index:15852544" type="#_x0000_t202" filled="false" stroked="false">
            <v:textbox inset="0,0,0,0" style="layout-flow:vertical;mso-layout-flow-alt:bottom-to-top">
              <w:txbxContent>
                <w:p>
                  <w:pPr>
                    <w:spacing w:before="19"/>
                    <w:ind w:left="57" w:right="0" w:firstLine="0"/>
                    <w:jc w:val="left"/>
                    <w:rPr>
                      <w:sz w:val="11"/>
                    </w:rPr>
                  </w:pPr>
                  <w:r>
                    <w:rPr>
                      <w:w w:val="105"/>
                      <w:sz w:val="11"/>
                    </w:rPr>
                    <w:t>East</w:t>
                  </w:r>
                  <w:r>
                    <w:rPr>
                      <w:spacing w:val="-9"/>
                      <w:w w:val="105"/>
                      <w:sz w:val="11"/>
                    </w:rPr>
                    <w:t> </w:t>
                  </w:r>
                  <w:r>
                    <w:rPr>
                      <w:w w:val="105"/>
                      <w:sz w:val="11"/>
                    </w:rPr>
                    <w:t>Midlands</w:t>
                  </w:r>
                </w:p>
                <w:p>
                  <w:pPr>
                    <w:spacing w:before="101"/>
                    <w:ind w:left="20" w:right="0" w:firstLine="0"/>
                    <w:jc w:val="left"/>
                    <w:rPr>
                      <w:sz w:val="11"/>
                    </w:rPr>
                  </w:pPr>
                  <w:r>
                    <w:rPr>
                      <w:w w:val="105"/>
                      <w:sz w:val="11"/>
                    </w:rPr>
                    <w:t>West</w:t>
                  </w:r>
                  <w:r>
                    <w:rPr>
                      <w:spacing w:val="-10"/>
                      <w:w w:val="105"/>
                      <w:sz w:val="11"/>
                    </w:rPr>
                    <w:t> </w:t>
                  </w:r>
                  <w:r>
                    <w:rPr>
                      <w:w w:val="105"/>
                      <w:sz w:val="11"/>
                    </w:rPr>
                    <w:t>Midlands</w:t>
                  </w:r>
                </w:p>
              </w:txbxContent>
            </v:textbox>
            <w10:wrap type="none"/>
          </v:shape>
        </w:pict>
      </w:r>
      <w:r>
        <w:rPr/>
        <w:pict>
          <v:shape style="position:absolute;margin-left:129.147049pt;margin-top:4.653590pt;width:43.15pt;height:28.45pt;mso-position-horizontal-relative:page;mso-position-vertical-relative:paragraph;z-index:15853056" type="#_x0000_t202" filled="false" stroked="false">
            <v:textbox inset="0,0,0,0" style="layout-flow:vertical;mso-layout-flow-alt:bottom-to-top">
              <w:txbxContent>
                <w:p>
                  <w:pPr>
                    <w:spacing w:before="19"/>
                    <w:ind w:left="0" w:right="18" w:firstLine="0"/>
                    <w:jc w:val="right"/>
                    <w:rPr>
                      <w:sz w:val="11"/>
                    </w:rPr>
                  </w:pPr>
                  <w:r>
                    <w:rPr>
                      <w:sz w:val="11"/>
                    </w:rPr>
                    <w:t>Wales</w:t>
                  </w:r>
                </w:p>
                <w:p>
                  <w:pPr>
                    <w:spacing w:line="114" w:lineRule="exact" w:before="43"/>
                    <w:ind w:left="0" w:right="46" w:firstLine="0"/>
                    <w:jc w:val="right"/>
                    <w:rPr>
                      <w:sz w:val="11"/>
                    </w:rPr>
                  </w:pPr>
                  <w:r>
                    <w:rPr>
                      <w:w w:val="105"/>
                      <w:sz w:val="11"/>
                    </w:rPr>
                    <w:t>Yorks.</w:t>
                  </w:r>
                  <w:r>
                    <w:rPr>
                      <w:spacing w:val="-7"/>
                      <w:w w:val="105"/>
                      <w:sz w:val="11"/>
                    </w:rPr>
                    <w:t> </w:t>
                  </w:r>
                  <w:r>
                    <w:rPr>
                      <w:w w:val="105"/>
                      <w:sz w:val="11"/>
                    </w:rPr>
                    <w:t>and</w:t>
                  </w:r>
                </w:p>
                <w:p>
                  <w:pPr>
                    <w:spacing w:line="114" w:lineRule="exact" w:before="0"/>
                    <w:ind w:left="0" w:right="18" w:firstLine="0"/>
                    <w:jc w:val="right"/>
                    <w:rPr>
                      <w:sz w:val="11"/>
                    </w:rPr>
                  </w:pPr>
                  <w:r>
                    <w:rPr>
                      <w:sz w:val="11"/>
                    </w:rPr>
                    <w:t>Humb.</w:t>
                  </w:r>
                </w:p>
                <w:p>
                  <w:pPr>
                    <w:spacing w:before="66"/>
                    <w:ind w:left="0" w:right="18" w:firstLine="0"/>
                    <w:jc w:val="right"/>
                    <w:rPr>
                      <w:sz w:val="11"/>
                    </w:rPr>
                  </w:pPr>
                  <w:r>
                    <w:rPr>
                      <w:w w:val="105"/>
                      <w:sz w:val="11"/>
                    </w:rPr>
                    <w:t>North</w:t>
                  </w:r>
                  <w:r>
                    <w:rPr>
                      <w:spacing w:val="-7"/>
                      <w:w w:val="105"/>
                      <w:sz w:val="11"/>
                    </w:rPr>
                    <w:t> </w:t>
                  </w:r>
                  <w:r>
                    <w:rPr>
                      <w:w w:val="105"/>
                      <w:sz w:val="11"/>
                    </w:rPr>
                    <w:t>West</w:t>
                  </w:r>
                </w:p>
                <w:p>
                  <w:pPr>
                    <w:spacing w:before="107"/>
                    <w:ind w:left="0" w:right="18" w:firstLine="0"/>
                    <w:jc w:val="right"/>
                    <w:rPr>
                      <w:sz w:val="11"/>
                    </w:rPr>
                  </w:pPr>
                  <w:r>
                    <w:rPr>
                      <w:spacing w:val="-1"/>
                      <w:w w:val="105"/>
                      <w:sz w:val="11"/>
                    </w:rPr>
                    <w:t>Scotland</w:t>
                  </w:r>
                </w:p>
              </w:txbxContent>
            </v:textbox>
            <w10:wrap type="none"/>
          </v:shape>
        </w:pict>
      </w:r>
      <w:r>
        <w:rPr/>
        <w:pict>
          <v:shape style="position:absolute;margin-left:176.645157pt;margin-top:4.655833pt;width:8.35pt;height:40.15pt;mso-position-horizontal-relative:page;mso-position-vertical-relative:paragraph;z-index:15853568" type="#_x0000_t202" filled="false" stroked="false">
            <v:textbox inset="0,0,0,0" style="layout-flow:vertical;mso-layout-flow-alt:bottom-to-top">
              <w:txbxContent>
                <w:p>
                  <w:pPr>
                    <w:spacing w:before="19"/>
                    <w:ind w:left="20" w:right="0" w:firstLine="0"/>
                    <w:jc w:val="left"/>
                    <w:rPr>
                      <w:sz w:val="11"/>
                    </w:rPr>
                  </w:pPr>
                  <w:r>
                    <w:rPr>
                      <w:w w:val="105"/>
                      <w:sz w:val="11"/>
                    </w:rPr>
                    <w:t>Northern Ireland</w:t>
                  </w:r>
                </w:p>
              </w:txbxContent>
            </v:textbox>
            <w10:wrap type="none"/>
          </v:shape>
        </w:pict>
      </w:r>
      <w:r>
        <w:rPr/>
        <w:pict>
          <v:shape style="position:absolute;margin-left:188.682419pt;margin-top:4.652976pt;width:8.35pt;height:15.3pt;mso-position-horizontal-relative:page;mso-position-vertical-relative:paragraph;z-index:15854080" type="#_x0000_t202" filled="false" stroked="false">
            <v:textbox inset="0,0,0,0" style="layout-flow:vertical;mso-layout-flow-alt:bottom-to-top">
              <w:txbxContent>
                <w:p>
                  <w:pPr>
                    <w:spacing w:before="19"/>
                    <w:ind w:left="20" w:right="0" w:firstLine="0"/>
                    <w:jc w:val="left"/>
                    <w:rPr>
                      <w:sz w:val="11"/>
                    </w:rPr>
                  </w:pPr>
                  <w:r>
                    <w:rPr>
                      <w:w w:val="105"/>
                      <w:sz w:val="11"/>
                    </w:rPr>
                    <w:t>North</w:t>
                  </w:r>
                </w:p>
              </w:txbxContent>
            </v:textbox>
            <w10:wrap type="none"/>
          </v:shape>
        </w:pict>
      </w:r>
      <w:r>
        <w:rPr>
          <w:spacing w:val="-1"/>
          <w:w w:val="105"/>
          <w:sz w:val="11"/>
        </w:rPr>
        <w:t>5.0</w:t>
      </w:r>
    </w:p>
    <w:p>
      <w:pPr>
        <w:pStyle w:val="Heading4"/>
        <w:spacing w:line="242" w:lineRule="auto" w:before="143"/>
        <w:ind w:left="180" w:right="428"/>
        <w:jc w:val="both"/>
      </w:pPr>
      <w:r>
        <w:rPr/>
        <w:br w:type="column"/>
      </w:r>
      <w:r>
        <w:rPr/>
        <w:t>Housing market activity and house price inflation </w:t>
      </w:r>
      <w:r>
        <w:rPr>
          <w:spacing w:val="-8"/>
        </w:rPr>
        <w:t>have </w:t>
      </w:r>
      <w:r>
        <w:rPr/>
        <w:t>continued to ease. The Nationwide measure of annual house price inflation was 7.4% in January, nearly</w:t>
      </w:r>
    </w:p>
    <w:p>
      <w:pPr>
        <w:spacing w:line="242" w:lineRule="auto" w:before="4"/>
        <w:ind w:left="180" w:right="198" w:firstLine="0"/>
        <w:jc w:val="left"/>
        <w:rPr>
          <w:sz w:val="24"/>
        </w:rPr>
      </w:pPr>
      <w:r>
        <w:rPr>
          <w:sz w:val="24"/>
        </w:rPr>
        <w:t>6 percentage points below its peak at the beginning of 1998. The Halifax measure of annual house price inflation fell to 4.5% in January, below the 5%–6% band in which it had been for most of 1998. The less timely measure calculated by the Bank based on Land Registry data also showed a slowdown in annual inflation, to 7.6% in the year to 1998 Q3, compared with 8.9% in the previous quarter. Regional differences in house price inflation, as measured by the Halifax, </w:t>
      </w:r>
      <w:r>
        <w:rPr>
          <w:spacing w:val="-3"/>
          <w:sz w:val="24"/>
        </w:rPr>
        <w:t>have </w:t>
      </w:r>
      <w:r>
        <w:rPr>
          <w:sz w:val="24"/>
        </w:rPr>
        <w:t>narrowed slightly since 1997 Q4, mainly owing to slowing house price inflation in Greater London and the South East </w:t>
      </w:r>
      <w:r>
        <w:rPr>
          <w:spacing w:val="-5"/>
          <w:sz w:val="24"/>
        </w:rPr>
        <w:t>(see </w:t>
      </w:r>
      <w:r>
        <w:rPr>
          <w:sz w:val="24"/>
        </w:rPr>
        <w:t>Chart 1.17).</w:t>
      </w:r>
    </w:p>
    <w:p>
      <w:pPr>
        <w:spacing w:after="0" w:line="242" w:lineRule="auto"/>
        <w:jc w:val="left"/>
        <w:rPr>
          <w:sz w:val="24"/>
        </w:rPr>
        <w:sectPr>
          <w:type w:val="continuous"/>
          <w:pgSz w:w="11900" w:h="16840"/>
          <w:pgMar w:top="1220" w:bottom="280" w:left="640" w:right="600"/>
          <w:cols w:num="3" w:equalWidth="0">
            <w:col w:w="1213" w:space="446"/>
            <w:col w:w="2105" w:space="1031"/>
            <w:col w:w="5865"/>
          </w:cols>
        </w:sectPr>
      </w:pPr>
    </w:p>
    <w:p>
      <w:pPr>
        <w:pStyle w:val="BodyText"/>
        <w:spacing w:before="8"/>
        <w:rPr>
          <w:sz w:val="21"/>
        </w:rPr>
      </w:pPr>
    </w:p>
    <w:p>
      <w:pPr>
        <w:spacing w:after="0"/>
        <w:rPr>
          <w:sz w:val="21"/>
        </w:rPr>
        <w:sectPr>
          <w:type w:val="continuous"/>
          <w:pgSz w:w="11900" w:h="16840"/>
          <w:pgMar w:top="1220" w:bottom="280" w:left="640" w:right="600"/>
        </w:sectPr>
      </w:pPr>
    </w:p>
    <w:p>
      <w:pPr>
        <w:pStyle w:val="BodyText"/>
        <w:rPr>
          <w:sz w:val="22"/>
        </w:rPr>
      </w:pPr>
    </w:p>
    <w:p>
      <w:pPr>
        <w:pStyle w:val="BodyText"/>
        <w:rPr>
          <w:sz w:val="22"/>
        </w:rPr>
      </w:pPr>
    </w:p>
    <w:p>
      <w:pPr>
        <w:pStyle w:val="BodyText"/>
        <w:rPr>
          <w:sz w:val="26"/>
        </w:rPr>
      </w:pPr>
    </w:p>
    <w:p>
      <w:pPr>
        <w:pStyle w:val="Heading7"/>
        <w:spacing w:before="0"/>
        <w:ind w:left="200"/>
      </w:pPr>
      <w:r>
        <w:rPr>
          <w:color w:val="0093C1"/>
        </w:rPr>
        <w:t>Chart 1.18</w:t>
      </w:r>
    </w:p>
    <w:p>
      <w:pPr>
        <w:spacing w:before="10"/>
        <w:ind w:left="200" w:right="0" w:firstLine="0"/>
        <w:jc w:val="left"/>
        <w:rPr>
          <w:sz w:val="12"/>
        </w:rPr>
      </w:pPr>
      <w:r>
        <w:rPr>
          <w:b/>
          <w:color w:val="0093C1"/>
          <w:sz w:val="20"/>
        </w:rPr>
        <w:t>Sterling effective exchange rates</w:t>
      </w:r>
      <w:r>
        <w:rPr>
          <w:position w:val="4"/>
          <w:sz w:val="12"/>
        </w:rPr>
        <w:t>(a)</w:t>
      </w:r>
    </w:p>
    <w:p>
      <w:pPr>
        <w:spacing w:before="125"/>
        <w:ind w:left="0" w:right="0" w:firstLine="0"/>
        <w:jc w:val="right"/>
        <w:rPr>
          <w:sz w:val="12"/>
        </w:rPr>
      </w:pPr>
      <w:r>
        <w:rPr/>
        <w:pict>
          <v:line style="position:absolute;mso-position-horizontal-relative:page;mso-position-vertical-relative:paragraph;z-index:-21175296" from="49.5pt,57.351563pt" to="45.5pt,57.351563pt" stroked="true" strokeweight=".5pt" strokecolor="#000000">
            <v:stroke dashstyle="solid"/>
            <w10:wrap type="none"/>
          </v:line>
        </w:pict>
      </w:r>
      <w:r>
        <w:rPr/>
        <w:pict>
          <v:line style="position:absolute;mso-position-horizontal-relative:page;mso-position-vertical-relative:paragraph;z-index:-21174784" from="49.5pt,35.351563pt" to="45.5pt,35.351563pt" stroked="true" strokeweight=".5pt" strokecolor="#000000">
            <v:stroke dashstyle="solid"/>
            <w10:wrap type="none"/>
          </v:line>
        </w:pict>
      </w:r>
      <w:r>
        <w:rPr/>
        <w:pict>
          <v:line style="position:absolute;mso-position-horizontal-relative:page;mso-position-vertical-relative:paragraph;z-index:-21174272" from="211.5pt,78.351563pt" to="206.5pt,78.351563pt" stroked="true" strokeweight=".5pt" strokecolor="#000000">
            <v:stroke dashstyle="solid"/>
            <w10:wrap type="none"/>
          </v:line>
        </w:pict>
      </w:r>
      <w:r>
        <w:rPr/>
        <w:pict>
          <v:line style="position:absolute;mso-position-horizontal-relative:page;mso-position-vertical-relative:paragraph;z-index:-21173760" from="211.5pt,57.351563pt" to="206.5pt,57.351563pt" stroked="true" strokeweight=".5pt" strokecolor="#000000">
            <v:stroke dashstyle="solid"/>
            <w10:wrap type="none"/>
          </v:line>
        </w:pict>
      </w:r>
      <w:r>
        <w:rPr/>
        <w:pict>
          <v:line style="position:absolute;mso-position-horizontal-relative:page;mso-position-vertical-relative:paragraph;z-index:-21173248" from="211.5pt,35.351563pt" to="206.5pt,35.351563pt" stroked="true" strokeweight=".5pt" strokecolor="#000000">
            <v:stroke dashstyle="solid"/>
            <w10:wrap type="none"/>
          </v:line>
        </w:pict>
      </w:r>
      <w:r>
        <w:rPr>
          <w:sz w:val="12"/>
        </w:rPr>
        <w:t>2 Jan. 1998 = 100</w:t>
      </w:r>
    </w:p>
    <w:p>
      <w:pPr>
        <w:tabs>
          <w:tab w:pos="3485" w:val="left" w:leader="none"/>
        </w:tabs>
        <w:spacing w:line="20" w:lineRule="exact"/>
        <w:ind w:left="265" w:right="-72" w:firstLine="0"/>
        <w:rPr>
          <w:sz w:val="2"/>
        </w:rPr>
      </w:pPr>
      <w:r>
        <w:rPr>
          <w:sz w:val="2"/>
        </w:rPr>
        <w:pict>
          <v:group style="width:4pt;height:.5pt;mso-position-horizontal-relative:char;mso-position-vertical-relative:line" coordorigin="0,0" coordsize="80,10">
            <v:line style="position:absolute" from="80,5" to="0,5" stroked="true" strokeweight=".5pt" strokecolor="#000000">
              <v:stroke dashstyle="solid"/>
            </v:line>
          </v:group>
        </w:pict>
      </w:r>
      <w:r>
        <w:rPr>
          <w:sz w:val="2"/>
        </w:rPr>
      </w:r>
      <w:r>
        <w:rPr>
          <w:sz w:val="2"/>
        </w:rPr>
        <w:tab/>
      </w:r>
      <w:r>
        <w:rPr>
          <w:sz w:val="2"/>
        </w:rPr>
        <w:pict>
          <v:group style="width:5pt;height:.5pt;mso-position-horizontal-relative:char;mso-position-vertical-relative:line" coordorigin="0,0" coordsize="100,10">
            <v:line style="position:absolute" from="100,5" to="0,5" stroked="true" strokeweight=".5pt" strokecolor="#000000">
              <v:stroke dashstyle="solid"/>
            </v:line>
          </v:group>
        </w:pict>
      </w:r>
      <w:r>
        <w:rPr>
          <w:sz w:val="2"/>
        </w:rPr>
      </w:r>
    </w:p>
    <w:p>
      <w:pPr>
        <w:pStyle w:val="BodyText"/>
        <w:rPr>
          <w:sz w:val="20"/>
        </w:rPr>
      </w:pPr>
    </w:p>
    <w:p>
      <w:pPr>
        <w:pStyle w:val="BodyText"/>
        <w:spacing w:before="6"/>
        <w:rPr>
          <w:sz w:val="12"/>
        </w:rPr>
      </w:pPr>
    </w:p>
    <w:p>
      <w:pPr>
        <w:pStyle w:val="BodyText"/>
        <w:ind w:left="265" w:right="-72"/>
        <w:rPr>
          <w:sz w:val="20"/>
        </w:rPr>
      </w:pPr>
      <w:r>
        <w:rPr>
          <w:sz w:val="20"/>
        </w:rPr>
        <w:pict>
          <v:group style="width:166pt;height:110.75pt;mso-position-horizontal-relative:char;mso-position-vertical-relative:line" coordorigin="0,0" coordsize="3320,2215">
            <v:line style="position:absolute" from="80,910" to="0,910" stroked="true" strokeweight=".5pt" strokecolor="#000000">
              <v:stroke dashstyle="solid"/>
            </v:line>
            <v:shape style="position:absolute;left:130;top:660;width:240;height:360" type="#_x0000_t75" stroked="false">
              <v:imagedata r:id="rId39" o:title=""/>
            </v:shape>
            <v:shape style="position:absolute;left:360;top:110;width:1280;height:1160" coordorigin="360,110" coordsize="1280,1160" path="m360,750l360,790,380,830,380,790,400,770,400,890,420,930,440,990,440,1190,460,990,460,970,480,850,480,830,500,870,500,790,520,870,520,850,540,910,540,850,560,770m560,770l580,790,580,810,600,830,600,790,620,770,620,710,640,750,640,790,660,750,680,610,680,530,700,490,720,490,720,350,740,410,760,330,780,330m780,330l780,370,800,250,820,150,820,130,840,110,840,190,860,290,860,310,880,290,900,390,900,410,920,370,920,410,940,210,940,310,960,430,960,570,980,590m980,590l980,670,1000,670,1040,590,1060,770,1060,930,1080,890,1080,1090,1100,1190,1100,1210,1120,1170,1120,1110,1140,1150,1160,1130,1180,1130,1180,1150m1180,1150l1200,1270,1200,1250,1220,1050,1240,1050m1240,1050l1240,1090,1260,1030,1260,930,1280,930,1280,1010,1300,1010,1300,990,1320,970,1320,910,1340,850,1360,750,1360,710,1380,550,1380,450,1400,530,1400,370,1420,470,1420,330,1440,370m1440,370l1440,330,1460,310,1480,270,1480,210,1500,270,1500,290,1520,230,1520,430,1540,510,1540,590,1560,570,1580,610,1580,590,1600,730,1620,750,1620,810,1640,770,1640,750e" filled="false" stroked="true" strokeweight="1pt" strokecolor="#9aca3c">
              <v:path arrowok="t"/>
              <v:stroke dashstyle="solid"/>
            </v:shape>
            <v:shape style="position:absolute;left:1630;top:580;width:240;height:360" type="#_x0000_t75" stroked="false">
              <v:imagedata r:id="rId40" o:title=""/>
            </v:shape>
            <v:shape style="position:absolute;left:1860;top:370;width:660;height:1440" coordorigin="1860,370" coordsize="660,1440" path="m1860,810l1860,890,1880,870,1880,830,1900,770,1900,630,1920,570,1940,550,1940,510,1960,370,1960,410,1980,530,1980,630,2000,710,2000,730,2020,910,2020,1010,2040,890,2040,950,2060,990m2060,990l2080,930,2080,1130,2100,1030,2100,990,2120,930,2120,990,2140,950,2140,930,2160,910,2180,850,2180,750,2200,770,2200,870,2220,1010,2220,1050,2240,1270,2240,1330,2260,1550,2280,1390m2280,1390l2280,1290,2300,1390,2300,1350,2320,1270m2320,1270l2320,1470,2340,1550,2360,1330,2360,1370,2380,1470,2400,1550,2420,1670,2420,1590,2440,1570,2460,1730,2460,1810,2480,1710,2500,1670,2520,1450,2520,1430e" filled="false" stroked="true" strokeweight="1pt" strokecolor="#9aca3c">
              <v:path arrowok="t"/>
              <v:stroke dashstyle="solid"/>
            </v:shape>
            <v:shape style="position:absolute;left:2510;top:1280;width:240;height:380" type="#_x0000_t75" stroked="false">
              <v:imagedata r:id="rId41" o:title=""/>
            </v:shape>
            <v:shape style="position:absolute;left:2740;top:1350;width:200;height:520" coordorigin="2740,1350" coordsize="200,520" path="m2740,1650l2740,1690,2760,1670,2780,1490,2780,1450,2800,1430,2800,1470,2820,1530,2820,1430,2840,1370,2860,1370,2860,1390,2880,1390,2880,1350,2900,1510,2900,1670,2920,1790,2920,1870,2940,1790e" filled="false" stroked="true" strokeweight="1pt" strokecolor="#9aca3c">
              <v:path arrowok="t"/>
              <v:stroke dashstyle="solid"/>
            </v:shape>
            <v:shape style="position:absolute;left:3220;top:1330;width:100;height:440" coordorigin="3220,1330" coordsize="100,440" path="m3320,1330l3220,1330m3320,1770l3220,1770e" filled="false" stroked="true" strokeweight=".5pt" strokecolor="#000000">
              <v:path arrowok="t"/>
              <v:stroke dashstyle="solid"/>
            </v:shape>
            <v:shape style="position:absolute;left:3140;top:1450;width:20;height:100" coordorigin="3140,1450" coordsize="20,100" path="m3140,1450l3160,1550m3140,1450l3160,1550e" filled="false" stroked="true" strokeweight="1pt" strokecolor="#9aca3c">
              <v:path arrowok="t"/>
              <v:stroke dashstyle="solid"/>
            </v:shape>
            <v:shape style="position:absolute;left:2940;top:1410;width:200;height:520" coordorigin="2940,1410" coordsize="200,520" path="m2940,1790l2940,1830,2980,1830,2980,1930,3000,1770,3000,1710,3020,1650,3020,1630,3040,1570,3040,1690,3060,1630,3080,1590,3080,1510,3100,1490,3120,1430,3120,1410,3140,1410,3140,1450e" filled="false" stroked="true" strokeweight="1pt" strokecolor="#9aca3c">
              <v:path arrowok="t"/>
              <v:stroke dashstyle="solid"/>
            </v:shape>
            <v:shape style="position:absolute;left:140;top:710;width:220;height:400" coordorigin="140,710" coordsize="220,400" path="m140,910l160,790,160,830,180,930,180,1090,200,1110,220,1030,220,850,240,870,240,830,260,790,260,710,280,770,280,910,300,850,320,830,320,850,340,970,340,930,360,810e" filled="false" stroked="true" strokeweight="1pt" strokecolor="#009483">
              <v:path arrowok="t"/>
              <v:stroke dashstyle="solid"/>
            </v:shape>
            <v:shape style="position:absolute;left:350;top:760;width:220;height:400" type="#_x0000_t75" stroked="false">
              <v:imagedata r:id="rId42" o:title=""/>
            </v:shape>
            <v:shape style="position:absolute;left:560;top:10;width:1080;height:1320" coordorigin="560,10" coordsize="1080,1320" path="m560,770l580,770,580,790,600,810,600,750,620,730,620,690,640,730,640,790,660,730,680,590,680,490,700,430,720,430,720,310,740,350,740,330,760,210,780,230m780,230l780,250,800,170,800,150,820,50,820,30,840,10,840,90,860,210,860,230,880,190,900,330,920,330,920,390,940,170,940,270,960,410,960,550,980,570m980,550l980,630,1000,630,1020,610,1020,570,1040,570,1040,530,1060,750,1060,910,1080,930,1080,1150,1100,1230,1100,1250,1120,1190,1120,1170,1140,1190,1180,1190,1180,1230m1180,1230l1200,1330,1220,1130,1240,1110m1240,1110l1240,1170,1260,1090,1260,1010,1280,1010,1280,1110,1300,1110,1300,1090,1320,1090,1320,1030,1340,950,1360,850,1360,830,1380,670,1380,590,1400,650,1400,470,1420,550,1420,430,1440,450m1440,450l1440,430,1460,430,1480,370,1480,310,1500,410,1500,390,1520,330,1520,530,1540,610,1540,690,1560,670,1560,650,1580,710,1600,830,1620,830,1620,890,1640,890,1640,870e" filled="false" stroked="true" strokeweight="1pt" strokecolor="#009483">
              <v:path arrowok="t"/>
              <v:stroke dashstyle="solid"/>
            </v:shape>
            <v:shape style="position:absolute;left:1630;top:700;width:240;height:400" type="#_x0000_t75" stroked="false">
              <v:imagedata r:id="rId43" o:title=""/>
            </v:shape>
            <v:shape style="position:absolute;left:1860;top:510;width:420;height:1380" coordorigin="1860,510" coordsize="420,1380" path="m1860,950l1860,1050,1880,1030,1880,950,1900,910,1900,810,1920,730,1940,690,1940,650,1960,510,1960,610,1980,750,1980,810,2000,930,2000,950,2020,1130,2020,1250,2040,1150,2040,1230,2060,1290m2060,1290l2080,1230,2080,1410,2100,1310,2120,1230,2120,1290,2140,1250,2140,1230,2180,1150,2180,1030,2200,1050,2200,1170,2220,1330,2220,1370,2240,1610,2240,1650,2260,1890,2280,1710e" filled="false" stroked="true" strokeweight="1pt" strokecolor="#009483">
              <v:path arrowok="t"/>
              <v:stroke dashstyle="solid"/>
            </v:shape>
            <v:line style="position:absolute" from="3140,1690" to="3160,1790" stroked="true" strokeweight="1pt" strokecolor="#009483">
              <v:stroke dashstyle="solid"/>
            </v:line>
            <v:shape style="position:absolute;left:2280;top:1490;width:660;height:620" coordorigin="2280,1490" coordsize="660,620" path="m2280,1710l2280,1570,2300,1650,2320,1550m2320,1550l2320,1750,2340,1830,2360,1590,2360,1630,2400,1830,2400,1810,2420,1890,2420,1870,2440,1850,2460,2010,2460,2070,2480,1970,2480,1990,2500,1930,2520,1690,2520,1670m2520,1670l2540,1750,2540,1690,2560,1570,2560,1690,2580,1650,2580,1690,2600,1690,2620,1730,2620,1610,2640,1510,2640,1490,2660,1510,2680,1730,2680,1830,2700,1810,2700,1790,2720,1770,2740,1890m2740,1890l2740,1930,2760,1910,2780,1750,2780,1730,2800,1690,2800,1730,2820,1770,2820,1690,2840,1590,2860,1610,2860,1630,2880,1670,2880,1590,2900,1750,2900,1910,2920,2050,2920,2110,2940,2010e" filled="false" stroked="true" strokeweight="1pt" strokecolor="#009483">
              <v:path arrowok="t"/>
              <v:stroke dashstyle="solid"/>
            </v:shape>
            <v:line style="position:absolute" from="3320,2210" to="3220,2210" stroked="true" strokeweight=".5pt" strokecolor="#000000">
              <v:stroke dashstyle="solid"/>
            </v:line>
            <v:shape style="position:absolute;left:2940;top:1670;width:200;height:460" coordorigin="2940,1670" coordsize="200,460" path="m2940,2010l2940,2050,2960,2010,2980,2050,2980,2130,3000,2050,3000,1970,3020,1890,3020,1910,3040,1850,3040,1950,3080,1870,3080,1810,3100,1790,3120,1710,3120,1690,3140,1670,3140,1690e" filled="false" stroked="true" strokeweight="1pt" strokecolor="#009483">
              <v:path arrowok="t"/>
              <v:stroke dashstyle="solid"/>
            </v:shape>
            <v:line style="position:absolute" from="3140,1690" to="3160,1790" stroked="true" strokeweight="1pt" strokecolor="#009483">
              <v:stroke dashstyle="solid"/>
            </v:line>
            <v:shape style="position:absolute;left:2230;top:733;width:537;height:133" type="#_x0000_t202" filled="false" stroked="false">
              <v:textbox inset="0,0,0,0">
                <w:txbxContent>
                  <w:p>
                    <w:pPr>
                      <w:spacing w:line="133" w:lineRule="exact" w:before="0"/>
                      <w:ind w:left="0" w:right="0" w:firstLine="0"/>
                      <w:jc w:val="left"/>
                      <w:rPr>
                        <w:sz w:val="12"/>
                      </w:rPr>
                    </w:pPr>
                    <w:r>
                      <w:rPr>
                        <w:sz w:val="12"/>
                      </w:rPr>
                      <w:t>Broad ERI</w:t>
                    </w:r>
                  </w:p>
                </w:txbxContent>
              </v:textbox>
              <w10:wrap type="none"/>
            </v:shape>
            <v:shape style="position:absolute;left:2030;top:1733;width:214;height:133" type="#_x0000_t202" filled="false" stroked="false">
              <v:textbox inset="0,0,0,0">
                <w:txbxContent>
                  <w:p>
                    <w:pPr>
                      <w:spacing w:line="133" w:lineRule="exact" w:before="0"/>
                      <w:ind w:left="0" w:right="0" w:firstLine="0"/>
                      <w:jc w:val="left"/>
                      <w:rPr>
                        <w:sz w:val="12"/>
                      </w:rPr>
                    </w:pPr>
                    <w:r>
                      <w:rPr>
                        <w:sz w:val="12"/>
                      </w:rPr>
                      <w:t>ERI</w:t>
                    </w:r>
                  </w:p>
                </w:txbxContent>
              </v:textbox>
              <w10:wrap type="none"/>
            </v:shape>
          </v:group>
        </w:pict>
      </w:r>
      <w:r>
        <w:rPr>
          <w:sz w:val="20"/>
        </w:rPr>
      </w:r>
    </w:p>
    <w:p>
      <w:pPr>
        <w:pStyle w:val="BodyText"/>
        <w:spacing w:before="4"/>
        <w:rPr>
          <w:sz w:val="24"/>
        </w:rPr>
      </w:pPr>
    </w:p>
    <w:p>
      <w:pPr>
        <w:pStyle w:val="BodyText"/>
        <w:spacing w:line="120" w:lineRule="exact"/>
        <w:ind w:left="265" w:right="-72"/>
        <w:rPr>
          <w:sz w:val="12"/>
        </w:rPr>
      </w:pPr>
      <w:r>
        <w:rPr>
          <w:position w:val="-1"/>
          <w:sz w:val="12"/>
        </w:rPr>
        <w:pict>
          <v:group style="width:166pt;height:5.75pt;mso-position-horizontal-relative:char;mso-position-vertical-relative:line" coordorigin="0,0" coordsize="3320,115">
            <v:shape style="position:absolute;left:0;top:0;width:3320;height:110" coordorigin="0,0" coordsize="3320,110" path="m80,110l0,110m3320,110l3220,110m140,110l3160,110m360,40l360,110m140,110l140,0m580,40l580,110m820,40l820,110m1040,40l1040,110m1260,40l1260,110m1500,40l1500,110m1740,40l1740,110m1960,40l1960,110m2200,40l2200,110m2440,40l2440,110m2680,40l2680,110m2900,70l2900,110m3120,40l3120,110m2900,110l2900,0e" filled="false" stroked="true" strokeweight=".5pt" strokecolor="#000000">
              <v:path arrowok="t"/>
              <v:stroke dashstyle="solid"/>
            </v:shape>
          </v:group>
        </w:pict>
      </w:r>
      <w:r>
        <w:rPr>
          <w:position w:val="-1"/>
          <w:sz w:val="12"/>
        </w:rPr>
      </w:r>
    </w:p>
    <w:p>
      <w:pPr>
        <w:pStyle w:val="BodyText"/>
        <w:rPr>
          <w:sz w:val="12"/>
        </w:rPr>
      </w:pPr>
      <w:r>
        <w:rPr/>
        <w:br w:type="column"/>
      </w:r>
      <w:r>
        <w:rPr>
          <w:sz w:val="12"/>
        </w:rPr>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10"/>
        <w:rPr>
          <w:sz w:val="9"/>
        </w:rPr>
      </w:pPr>
    </w:p>
    <w:p>
      <w:pPr>
        <w:spacing w:before="0"/>
        <w:ind w:left="-25" w:right="0" w:firstLine="0"/>
        <w:jc w:val="left"/>
        <w:rPr>
          <w:sz w:val="12"/>
        </w:rPr>
      </w:pPr>
      <w:r>
        <w:rPr>
          <w:sz w:val="12"/>
        </w:rPr>
        <w:t>106</w:t>
      </w:r>
    </w:p>
    <w:p>
      <w:pPr>
        <w:pStyle w:val="BodyText"/>
        <w:rPr>
          <w:sz w:val="12"/>
        </w:rPr>
      </w:pPr>
    </w:p>
    <w:p>
      <w:pPr>
        <w:pStyle w:val="BodyText"/>
        <w:spacing w:before="4"/>
        <w:rPr>
          <w:sz w:val="11"/>
        </w:rPr>
      </w:pPr>
    </w:p>
    <w:p>
      <w:pPr>
        <w:spacing w:before="0"/>
        <w:ind w:left="-25" w:right="0" w:firstLine="0"/>
        <w:jc w:val="left"/>
        <w:rPr>
          <w:sz w:val="12"/>
        </w:rPr>
      </w:pPr>
      <w:r>
        <w:rPr>
          <w:sz w:val="12"/>
        </w:rPr>
        <w:t>104</w:t>
      </w:r>
    </w:p>
    <w:p>
      <w:pPr>
        <w:pStyle w:val="BodyText"/>
        <w:rPr>
          <w:sz w:val="12"/>
        </w:rPr>
      </w:pPr>
    </w:p>
    <w:p>
      <w:pPr>
        <w:pStyle w:val="BodyText"/>
        <w:spacing w:before="3"/>
        <w:rPr>
          <w:sz w:val="14"/>
        </w:rPr>
      </w:pPr>
    </w:p>
    <w:p>
      <w:pPr>
        <w:spacing w:before="0"/>
        <w:ind w:left="-25" w:right="0" w:firstLine="0"/>
        <w:jc w:val="left"/>
        <w:rPr>
          <w:sz w:val="12"/>
        </w:rPr>
      </w:pPr>
      <w:r>
        <w:rPr>
          <w:sz w:val="12"/>
        </w:rPr>
        <w:t>102</w:t>
      </w:r>
    </w:p>
    <w:p>
      <w:pPr>
        <w:pStyle w:val="BodyText"/>
        <w:rPr>
          <w:sz w:val="12"/>
        </w:rPr>
      </w:pPr>
    </w:p>
    <w:p>
      <w:pPr>
        <w:pStyle w:val="BodyText"/>
        <w:spacing w:before="6"/>
        <w:rPr>
          <w:sz w:val="12"/>
        </w:rPr>
      </w:pPr>
    </w:p>
    <w:p>
      <w:pPr>
        <w:spacing w:before="0"/>
        <w:ind w:left="-25" w:right="0" w:firstLine="0"/>
        <w:jc w:val="left"/>
        <w:rPr>
          <w:sz w:val="12"/>
        </w:rPr>
      </w:pPr>
      <w:r>
        <w:rPr>
          <w:sz w:val="12"/>
        </w:rPr>
        <w:t>100</w:t>
      </w:r>
    </w:p>
    <w:p>
      <w:pPr>
        <w:pStyle w:val="BodyText"/>
        <w:rPr>
          <w:sz w:val="12"/>
        </w:rPr>
      </w:pPr>
    </w:p>
    <w:p>
      <w:pPr>
        <w:pStyle w:val="BodyText"/>
        <w:spacing w:before="6"/>
        <w:rPr>
          <w:sz w:val="12"/>
        </w:rPr>
      </w:pPr>
    </w:p>
    <w:p>
      <w:pPr>
        <w:spacing w:before="0"/>
        <w:ind w:left="35" w:right="0" w:firstLine="0"/>
        <w:jc w:val="left"/>
        <w:rPr>
          <w:sz w:val="12"/>
        </w:rPr>
      </w:pPr>
      <w:r>
        <w:rPr>
          <w:sz w:val="12"/>
        </w:rPr>
        <w:t>98</w:t>
      </w:r>
    </w:p>
    <w:p>
      <w:pPr>
        <w:pStyle w:val="BodyText"/>
        <w:rPr>
          <w:sz w:val="12"/>
        </w:rPr>
      </w:pPr>
    </w:p>
    <w:p>
      <w:pPr>
        <w:pStyle w:val="BodyText"/>
        <w:spacing w:before="3"/>
        <w:rPr>
          <w:sz w:val="14"/>
        </w:rPr>
      </w:pPr>
    </w:p>
    <w:p>
      <w:pPr>
        <w:spacing w:before="0"/>
        <w:ind w:left="35" w:right="0" w:firstLine="0"/>
        <w:jc w:val="left"/>
        <w:rPr>
          <w:sz w:val="12"/>
        </w:rPr>
      </w:pPr>
      <w:r>
        <w:rPr>
          <w:sz w:val="12"/>
        </w:rPr>
        <w:t>96</w:t>
      </w:r>
    </w:p>
    <w:p>
      <w:pPr>
        <w:pStyle w:val="BodyText"/>
        <w:rPr>
          <w:sz w:val="12"/>
        </w:rPr>
      </w:pPr>
    </w:p>
    <w:p>
      <w:pPr>
        <w:pStyle w:val="BodyText"/>
        <w:spacing w:before="10"/>
        <w:rPr>
          <w:sz w:val="14"/>
        </w:rPr>
      </w:pPr>
    </w:p>
    <w:p>
      <w:pPr>
        <w:spacing w:before="0"/>
        <w:ind w:left="35" w:right="0" w:firstLine="0"/>
        <w:jc w:val="left"/>
        <w:rPr>
          <w:sz w:val="12"/>
        </w:rPr>
      </w:pPr>
      <w:r>
        <w:rPr>
          <w:sz w:val="12"/>
        </w:rPr>
        <w:t>94</w:t>
      </w:r>
    </w:p>
    <w:p>
      <w:pPr>
        <w:pStyle w:val="BodyText"/>
        <w:rPr>
          <w:sz w:val="12"/>
        </w:rPr>
      </w:pPr>
    </w:p>
    <w:p>
      <w:pPr>
        <w:pStyle w:val="BodyText"/>
        <w:spacing w:before="6"/>
        <w:rPr>
          <w:sz w:val="12"/>
        </w:rPr>
      </w:pPr>
    </w:p>
    <w:p>
      <w:pPr>
        <w:spacing w:line="112" w:lineRule="exact" w:before="0"/>
        <w:ind w:left="35" w:right="0" w:firstLine="0"/>
        <w:jc w:val="left"/>
        <w:rPr>
          <w:sz w:val="12"/>
        </w:rPr>
      </w:pPr>
      <w:r>
        <w:rPr/>
        <w:pict>
          <v:line style="position:absolute;mso-position-horizontal-relative:page;mso-position-vertical-relative:paragraph;z-index:-21176832" from="49.5pt,-61.231445pt" to="45.5pt,-61.231445pt" stroked="true" strokeweight=".5pt" strokecolor="#000000">
            <v:stroke dashstyle="solid"/>
            <w10:wrap type="none"/>
          </v:line>
        </w:pict>
      </w:r>
      <w:r>
        <w:rPr/>
        <w:pict>
          <v:line style="position:absolute;mso-position-horizontal-relative:page;mso-position-vertical-relative:paragraph;z-index:-21176320" from="49.5pt,-39.231445pt" to="45.5pt,-39.231445pt" stroked="true" strokeweight=".5pt" strokecolor="#000000">
            <v:stroke dashstyle="solid"/>
            <w10:wrap type="none"/>
          </v:line>
        </w:pict>
      </w:r>
      <w:r>
        <w:rPr/>
        <w:pict>
          <v:line style="position:absolute;mso-position-horizontal-relative:page;mso-position-vertical-relative:paragraph;z-index:15842304" from="49.5pt,-17.231445pt" to="45.5pt,-17.231445pt" stroked="true" strokeweight=".5pt" strokecolor="#000000">
            <v:stroke dashstyle="solid"/>
            <w10:wrap type="none"/>
          </v:line>
        </w:pict>
      </w:r>
      <w:r>
        <w:rPr>
          <w:sz w:val="12"/>
        </w:rPr>
        <w:t>92</w:t>
      </w:r>
    </w:p>
    <w:p>
      <w:pPr>
        <w:pStyle w:val="Heading2"/>
        <w:numPr>
          <w:ilvl w:val="1"/>
          <w:numId w:val="7"/>
        </w:numPr>
        <w:tabs>
          <w:tab w:pos="3652" w:val="left" w:leader="none"/>
          <w:tab w:pos="3653" w:val="left" w:leader="none"/>
          <w:tab w:pos="5700" w:val="left" w:leader="none"/>
        </w:tabs>
        <w:spacing w:line="240" w:lineRule="auto" w:before="88" w:after="0"/>
        <w:ind w:left="3652" w:right="0" w:hanging="3453"/>
        <w:jc w:val="left"/>
        <w:rPr>
          <w:u w:val="none"/>
        </w:rPr>
      </w:pPr>
      <w:r>
        <w:rPr>
          <w:color w:val="009483"/>
          <w:u w:val="thick" w:color="0093C1"/>
        </w:rPr>
        <w:br w:type="column"/>
        <w:t>Exchange rates</w:t>
        <w:tab/>
      </w:r>
    </w:p>
    <w:p>
      <w:pPr>
        <w:pStyle w:val="Heading4"/>
        <w:spacing w:line="242" w:lineRule="auto" w:before="264"/>
        <w:ind w:left="200" w:right="447"/>
      </w:pPr>
      <w:r>
        <w:rPr/>
        <w:t>The sterling effective exchange rate index (ERI) averaged 100.1 in the 15 working days up to and including 3 February. This is the starting-point for the current projection, and is slightly above the central projection for 1999 Q1 implied in the November forecast.</w:t>
      </w:r>
    </w:p>
    <w:p>
      <w:pPr>
        <w:pStyle w:val="BodyText"/>
        <w:spacing w:before="8"/>
        <w:rPr>
          <w:sz w:val="26"/>
        </w:rPr>
      </w:pPr>
    </w:p>
    <w:p>
      <w:pPr>
        <w:spacing w:line="242" w:lineRule="auto" w:before="1"/>
        <w:ind w:left="200" w:right="447" w:firstLine="0"/>
        <w:jc w:val="left"/>
        <w:rPr>
          <w:sz w:val="24"/>
        </w:rPr>
      </w:pPr>
      <w:r>
        <w:rPr>
          <w:sz w:val="24"/>
        </w:rPr>
        <w:t>Sterling was little changed since November on both the narrow and the broader measure of the ERI. The latter also includes some of the Asian and Latin</w:t>
      </w:r>
    </w:p>
    <w:p>
      <w:pPr>
        <w:spacing w:line="242" w:lineRule="auto" w:before="4"/>
        <w:ind w:left="200" w:right="0" w:firstLine="0"/>
        <w:jc w:val="left"/>
        <w:rPr>
          <w:sz w:val="24"/>
        </w:rPr>
      </w:pPr>
      <w:r>
        <w:rPr>
          <w:sz w:val="24"/>
        </w:rPr>
        <w:t>American economies (see Chart 1.18). And sterling has traded within a fairly narrow range against the euro, between 0.72 and 0.69, since its introduction (see</w:t>
      </w:r>
    </w:p>
    <w:p>
      <w:pPr>
        <w:spacing w:line="264" w:lineRule="exact" w:before="3"/>
        <w:ind w:left="200" w:right="0" w:firstLine="0"/>
        <w:jc w:val="left"/>
        <w:rPr>
          <w:sz w:val="24"/>
        </w:rPr>
      </w:pPr>
      <w:r>
        <w:rPr>
          <w:sz w:val="24"/>
        </w:rPr>
        <w:t>Chart 1.19).</w:t>
      </w:r>
    </w:p>
    <w:p>
      <w:pPr>
        <w:spacing w:after="0" w:line="264" w:lineRule="exact"/>
        <w:jc w:val="left"/>
        <w:rPr>
          <w:sz w:val="24"/>
        </w:rPr>
        <w:sectPr>
          <w:type w:val="continuous"/>
          <w:pgSz w:w="11900" w:h="16840"/>
          <w:pgMar w:top="1220" w:bottom="280" w:left="640" w:right="600"/>
          <w:cols w:num="3" w:equalWidth="0">
            <w:col w:w="3591" w:space="40"/>
            <w:col w:w="196" w:space="947"/>
            <w:col w:w="5886"/>
          </w:cols>
        </w:sectPr>
      </w:pPr>
    </w:p>
    <w:p>
      <w:pPr>
        <w:tabs>
          <w:tab w:pos="406" w:val="left" w:leader="none"/>
          <w:tab w:pos="893" w:val="left" w:leader="none"/>
          <w:tab w:pos="1326" w:val="left" w:leader="none"/>
          <w:tab w:pos="1793" w:val="left" w:leader="none"/>
          <w:tab w:pos="2286" w:val="left" w:leader="none"/>
          <w:tab w:pos="2759" w:val="left" w:leader="none"/>
        </w:tabs>
        <w:spacing w:line="133" w:lineRule="exact" w:before="0"/>
        <w:ind w:left="0" w:right="7348" w:firstLine="0"/>
        <w:jc w:val="right"/>
        <w:rPr>
          <w:sz w:val="12"/>
        </w:rPr>
      </w:pPr>
      <w:r>
        <w:rPr>
          <w:sz w:val="12"/>
        </w:rPr>
        <w:t>Jan.</w:t>
        <w:tab/>
        <w:t>Mar.</w:t>
        <w:tab/>
        <w:t>May</w:t>
        <w:tab/>
        <w:t>July</w:t>
        <w:tab/>
        <w:t>Sept.</w:t>
        <w:tab/>
        <w:t>Nov.</w:t>
        <w:tab/>
        <w:t>Jan.</w:t>
      </w:r>
    </w:p>
    <w:p>
      <w:pPr>
        <w:tabs>
          <w:tab w:pos="1493" w:val="left" w:leader="none"/>
        </w:tabs>
        <w:spacing w:before="22"/>
        <w:ind w:left="0" w:right="7284" w:firstLine="0"/>
        <w:jc w:val="right"/>
        <w:rPr>
          <w:sz w:val="12"/>
        </w:rPr>
      </w:pPr>
      <w:r>
        <w:rPr>
          <w:sz w:val="12"/>
        </w:rPr>
        <w:t>1998</w:t>
        <w:tab/>
        <w:t>99</w:t>
      </w:r>
    </w:p>
    <w:p>
      <w:pPr>
        <w:spacing w:after="0"/>
        <w:jc w:val="right"/>
        <w:rPr>
          <w:sz w:val="12"/>
        </w:rPr>
        <w:sectPr>
          <w:type w:val="continuous"/>
          <w:pgSz w:w="11900" w:h="16840"/>
          <w:pgMar w:top="1220" w:bottom="280" w:left="640" w:right="600"/>
        </w:sectPr>
      </w:pPr>
    </w:p>
    <w:p>
      <w:pPr>
        <w:spacing w:before="92"/>
        <w:ind w:left="185" w:right="0" w:firstLine="0"/>
        <w:jc w:val="left"/>
        <w:rPr>
          <w:sz w:val="12"/>
        </w:rPr>
      </w:pPr>
      <w:r>
        <w:rPr>
          <w:sz w:val="12"/>
        </w:rPr>
        <w:t>Source: Bank of England.</w:t>
      </w:r>
    </w:p>
    <w:p>
      <w:pPr>
        <w:pStyle w:val="BodyText"/>
        <w:spacing w:before="2"/>
        <w:rPr>
          <w:sz w:val="10"/>
        </w:rPr>
      </w:pPr>
    </w:p>
    <w:p>
      <w:pPr>
        <w:spacing w:line="208" w:lineRule="auto" w:before="0"/>
        <w:ind w:left="425" w:right="0" w:hanging="240"/>
        <w:jc w:val="left"/>
        <w:rPr>
          <w:sz w:val="12"/>
        </w:rPr>
      </w:pPr>
      <w:r>
        <w:rPr>
          <w:sz w:val="12"/>
        </w:rPr>
        <w:t>(a) The ERI is a trade-weighted index of 20 countries’ exchange rates against sterling. The broad ERI is constructed using 49 countries’ exchange rates.</w:t>
      </w:r>
    </w:p>
    <w:p>
      <w:pPr>
        <w:pStyle w:val="Heading4"/>
        <w:spacing w:line="242" w:lineRule="auto" w:before="23"/>
        <w:ind w:left="185" w:right="233"/>
      </w:pPr>
      <w:r>
        <w:rPr/>
        <w:br w:type="column"/>
      </w:r>
      <w:r>
        <w:rPr/>
        <w:t>Chart 1.20 shows the path for the ERI implied by </w:t>
      </w:r>
      <w:r>
        <w:rPr>
          <w:spacing w:val="-4"/>
        </w:rPr>
        <w:t>market </w:t>
      </w:r>
      <w:r>
        <w:rPr/>
        <w:t>nominal interest rate differentials, calculated by comparing UK expected interest rates at different maturities with expected rates overseas. This method is based on the assumption that, other things being equal, currencies should adjust to equalise the rate of return on assets across countries. So if UK rates are expected to be above those overseas, sterling is expected to depreciate. As the chart shows, the path based on expected interest rate differentials implies a slight depreciation of sterling up to the forecast horizon. But further out, sterling is expected to stabilise and then to appreciate, reflecting expectations for lower relative UK nominal interest rates, as discussed</w:t>
      </w:r>
      <w:r>
        <w:rPr>
          <w:spacing w:val="-2"/>
        </w:rPr>
        <w:t> </w:t>
      </w:r>
      <w:r>
        <w:rPr/>
        <w:t>above.</w:t>
      </w:r>
    </w:p>
    <w:p>
      <w:pPr>
        <w:spacing w:after="0" w:line="242" w:lineRule="auto"/>
        <w:sectPr>
          <w:type w:val="continuous"/>
          <w:pgSz w:w="11900" w:h="16840"/>
          <w:pgMar w:top="1220" w:bottom="280" w:left="640" w:right="600"/>
          <w:cols w:num="2" w:equalWidth="0">
            <w:col w:w="4042" w:space="747"/>
            <w:col w:w="5871"/>
          </w:cols>
        </w:sectPr>
      </w:pPr>
    </w:p>
    <w:p>
      <w:pPr>
        <w:pStyle w:val="BodyText"/>
        <w:spacing w:line="20" w:lineRule="exact"/>
        <w:ind w:left="123"/>
        <w:rPr>
          <w:sz w:val="2"/>
        </w:rPr>
      </w:pPr>
      <w:r>
        <w:rPr>
          <w:sz w:val="2"/>
        </w:rPr>
        <w:pict>
          <v:group style="width:517pt;height:.15pt;mso-position-horizontal-relative:char;mso-position-vertical-relative:line" coordorigin="0,0" coordsize="10340,3">
            <v:line style="position:absolute" from="0,1" to="10340,1" stroked="true" strokeweight=".125pt" strokecolor="#000000">
              <v:stroke dashstyle="solid"/>
            </v:line>
          </v:group>
        </w:pict>
      </w:r>
      <w:r>
        <w:rPr>
          <w:sz w:val="2"/>
        </w:rPr>
      </w:r>
    </w:p>
    <w:p>
      <w:pPr>
        <w:pStyle w:val="BodyText"/>
        <w:spacing w:before="5"/>
        <w:rPr>
          <w:sz w:val="28"/>
        </w:rPr>
      </w:pPr>
    </w:p>
    <w:p>
      <w:pPr>
        <w:spacing w:after="0"/>
        <w:rPr>
          <w:sz w:val="28"/>
        </w:rPr>
        <w:sectPr>
          <w:pgSz w:w="11900" w:h="16840"/>
          <w:pgMar w:header="586" w:footer="617" w:top="780" w:bottom="800" w:left="640" w:right="600"/>
        </w:sectPr>
      </w:pPr>
    </w:p>
    <w:p>
      <w:pPr>
        <w:pStyle w:val="Heading7"/>
        <w:spacing w:before="119"/>
        <w:ind w:left="155"/>
      </w:pPr>
      <w:bookmarkStart w:name="Summary" w:id="30"/>
      <w:bookmarkEnd w:id="30"/>
      <w:r>
        <w:rPr>
          <w:b w:val="0"/>
        </w:rPr>
      </w:r>
      <w:bookmarkStart w:name="_bookmark10" w:id="31"/>
      <w:bookmarkEnd w:id="31"/>
      <w:r>
        <w:rPr>
          <w:b w:val="0"/>
        </w:rPr>
      </w:r>
      <w:r>
        <w:rPr>
          <w:color w:val="0093C1"/>
        </w:rPr>
        <w:t>Chart 1.19</w:t>
      </w:r>
    </w:p>
    <w:p>
      <w:pPr>
        <w:spacing w:before="10"/>
        <w:ind w:left="155" w:right="0" w:firstLine="0"/>
        <w:jc w:val="left"/>
        <w:rPr>
          <w:b/>
          <w:sz w:val="20"/>
        </w:rPr>
      </w:pPr>
      <w:r>
        <w:rPr/>
        <w:pict>
          <v:group style="position:absolute;margin-left:61.779999pt;margin-top:15.543388pt;width:166pt;height:87.1pt;mso-position-horizontal-relative:page;mso-position-vertical-relative:paragraph;z-index:-21157376" coordorigin="1236,311" coordsize="3320,1742">
            <v:shape style="position:absolute;left:1235;top:1990;width:3140;height:57" coordorigin="1236,1990" coordsize="3140,57" path="m1336,2047l1236,2047m1376,2047l4376,2047m1796,2047l1796,1990m2216,2047l2216,1990m2656,2047l2656,1990m3076,2047l3076,1990m3496,2047l3496,1990m3916,2047l3916,1990e" filled="false" stroked="true" strokeweight=".5pt" strokecolor="#000000">
              <v:path arrowok="t"/>
              <v:stroke dashstyle="solid"/>
            </v:shape>
            <v:line style="position:absolute" from="4356,547" to="4356,2047" stroked="true" strokeweight=".5pt" strokecolor="#000000">
              <v:stroke dashstyle="dash"/>
            </v:line>
            <v:shape style="position:absolute;left:1235;top:846;width:100;height:300" coordorigin="1236,847" coordsize="100,300" path="m1336,1147l1236,1147m1336,847l1236,847e" filled="false" stroked="true" strokeweight=".5pt" strokecolor="#000000">
              <v:path arrowok="t"/>
              <v:stroke dashstyle="solid"/>
            </v:shape>
            <v:shape style="position:absolute;left:1365;top:916;width:320;height:200" type="#_x0000_t75" stroked="false">
              <v:imagedata r:id="rId44" o:title=""/>
            </v:shape>
            <v:shape style="position:absolute;left:1675;top:1066;width:200;height:600" coordorigin="1676,1067" coordsize="200,600" path="m1676,1107l1676,1067,1676,1407,1676,1367,1676,1407,1696,1407,1696,1447,1696,1427,1696,1587,1696,1427,1696,1447,1716,1427m1716,1427l1716,1547,1716,1507,1716,1527,1716,1487,1716,1567,1736,1527,1736,1567,1736,1507,1736,1547,1756,1547,1776,1527,1776,1467,1776,1507,1796,1507,1796,1527,1796,1427,1816,1427,1816,1407,1816,1467,1816,1447,1816,1527,1836,1507,1836,1627,1836,1567,1836,1627,1856,1627,1856,1607,1856,1627,1856,1607,1856,1667,1856,1647,1876,1647e" filled="false" stroked="true" strokeweight="1pt" strokecolor="#faab54">
              <v:path arrowok="t"/>
              <v:stroke dashstyle="solid"/>
            </v:shape>
            <v:line style="position:absolute" from="1866,1617" to="1886,1617" stroked="true" strokeweight="3pt" strokecolor="#faab54">
              <v:stroke dashstyle="solid"/>
            </v:line>
            <v:shape style="position:absolute;left:1875;top:726;width:2480;height:1120" coordorigin="1876,727" coordsize="2480,1120" path="m1876,1607l1876,1567,1876,1587,1896,1567,1896,1527,1896,1547,1896,1527,1896,1547m1896,1547l1896,1527,1916,1527,1916,1547,1916,1487,1916,1507,1936,1487,1936,1447,1936,1487,1936,1467,1956,1487,1956,1467,1956,1507,1956,1427,1976,1427,1976,1507,1976,1487,1996,1487,1996,1427,1996,1467,1996,1427m1996,1447l1996,1407,2016,1387,2016,1367,2016,1387,2016,1367,2036,1387,2036,1367m2036,1367l2036,1347,2036,1367,2036,1347,2036,1387,2036,1347,2036,1387,2056,1367,2056,1427,2056,1407,2056,1447,2056,1427,2076,1407m2076,1407l2076,1487,2096,1507,2096,1467,2096,1487,2096,1467,2096,1507,2096,1487,2116,1487,2116,1527,2116,1487,2136,1487,2136,1527,2136,1467,2156,1467,2156,1427,2156,1447,2156,1427,2156,1467,2156,1447m2156,1447l2176,1447,2176,1407,2196,1427,2196,1367,2196,1407,2196,1387,2196,1407,2196,1387m2196,1387l2216,1387,2216,1407,2216,1387,2216,1407,2216,1367,2236,1347,2236,1307,2236,1327,2256,1327,2256,1307,2256,1327,2256,1307,2256,1347,2276,1327,2276,1387,2276,1367,2276,1407,2276,1387,2296,1387,2296,1407,2296,1387,2316,1407,2316,1427,2316,1407,2316,1447,2316,1427,2316,1447,2336,1467,2336,1487,2336,1407,2336,1427,2356,1427,2356,1447,2356,1427,2356,1467m2356,1467l2356,1447,2376,1467,2376,1487,2376,1427,2376,1487,2396,1467,2396,1427,2416,1427,2416,1507,2416,1487,2436,1507m2436,1507l2436,1567,2456,1567,2456,1527,2456,1547,2476,1547,2476,1527m2476,1527l2476,1547,2476,1527,2476,1547,2476,1527,2476,1587,2496,1587,2496,1567,2496,1607,2496,1547,2516,1547,2516,1587,2516,1567,2516,1587,2516,1547,2516,1567,2516,1527,2536,1527,2536,1507,2536,1527,2536,1507,2556,1507,2556,1547,2576,1527m2576,1527l2576,1507,2596,1527,2596,1507,2596,1527,2596,1507,2596,1527m2596,1527l2616,1527,2616,1487,2616,1507,2616,1487,2616,1507,2636,1507,2636,1547,2656,1547,2656,1527,2656,1587,2656,1567m2656,1567l2676,1567,2676,1547,2676,1567,2696,1587,2696,1627m2696,1627l2716,1647,2716,1687,2716,1667,2716,1747,2736,1747,2736,1807,2736,1747,2756,1747,2756,1787,2756,1747,2756,1807,2756,1787,2776,1767m2756,1767l2776,1787,2776,1827,2776,1787,2796,1767,2796,1847,2796,1727m2796,1727l2796,1747,2796,1707,2816,1727,2816,1747,2816,1727,2816,1787,2816,1727,2816,1767,2816,1747,2836,1767,2836,1747,2836,1767,2836,1747,2836,1767,2856,1787,2856,1827,2856,1787,2876,1787,2876,1767m2876,1767l2876,1807,2896,1807,2896,1747,2916,1747,2916,1707,2916,1727,2916,1707,2916,1727,2936,1727m2936,1727l2936,1707,2936,1727,2936,1687,2956,1687,2956,1767,2956,1747,2956,1767,2956,1747,2976,1727m2976,1727l2976,1767,2976,1747,2976,1787,2996,1767,2996,1827,2996,1767,3016,1767,3016,1847,3036,1827,3036,1787,3036,1807,3036,1787,3056,1787,3056,1807,3056,1787,3056,1807,3056,1787,3076,1767,3076,1787,3076,1747,3076,1787,3076,1767,3116,1767,3116,1727,3116,1747,3116,1727,3116,1747,3136,1747,3136,1787,3136,1747,3156,1747,3156,1767,3156,1727,3176,1727,3176,1767,3176,1727,3196,1727,3196,1687,3216,1687,3216,1707,3216,1687,3216,1707,3216,1667,3236,1667,3236,1687,3236,1647m3236,1647l3236,1667,3236,1627,3256,1607,3256,1627,3256,1607,3256,1647m3256,1647l3276,1627,3276,1607,3296,1607,3296,1627,3296,1607,3296,1687,3316,1687,3316,1727,3316,1707,3336,1707,3336,1687,3336,1707,3336,1667,3336,1687,3356,1687,3356,1667,3376,1627m3376,1627l3376,1607,3396,1587,3396,1567,3396,1587,3396,1527,3416,1527,3416,1507,3416,1527,3416,1507,3416,1547,3416,1507,3416,1527,3436,1507,3436,1447m3436,1447l3436,1487,3436,1427,3456,1447,3456,1427,3456,1447,3456,1407,3456,1427,3456,1327m3456,1327l3456,1347,3476,1387,3476,1427,3476,1367,3476,1387,3476,1327,3496,1347,3496,1287m3496,1287l3496,1327,3496,1267,3516,1247,3516,1267,3516,1187,3516,1267,3536,1267,3536,1307,3536,1187,3536,1207,3536,1147,3556,1167,3556,1147,3556,1207,3556,1167,3556,1187,3556,1147,3576,1147m3576,1147l3576,1167,3576,1127,3576,1147,3576,1127,3576,1187,3576,1167,3576,1207,3576,1187,3576,1227,3596,1247,3596,1147,3596,1167m3596,1167l3596,1147,3596,1167,3596,1107,3616,1107,3616,1087,3616,1107,3616,1067,3616,1107,3636,1087,3636,1107,3636,1067,3636,1107,3636,1067,3636,1167,3656,1127,3656,1107,3656,1127,3656,1087,3656,1147m3656,1147l3656,1107,3676,1107,3676,1067,3676,1107,3676,1067,3676,1087,3676,1067,3696,1047,3696,967,3716,987,3716,907,3716,927,3716,887,3716,907,3716,827,3716,847,3736,847,3736,767,3736,867,3736,787,3756,847,3756,947,3756,907,3756,967,3756,927,3756,947,3756,907m3756,907l3776,907,3776,967,3776,947,3776,967,3776,947,3776,1007,3796,987,3796,1047,3796,1027,3796,1067m3796,1067l3796,987,3796,1027,3816,1007,3816,1047,3816,1007,3816,1047,3816,1027,3816,1047,3836,1047,3836,1067,3836,947,3836,987,3836,947,3856,967,3856,1007,3856,967,3856,987,3856,967,3856,987,3856,927,3856,947m3856,947l3876,927,3876,947,3876,907,3876,927,3876,907,3896,887,3896,847,3896,987,3896,947,3916,947,3916,887,3916,907,3916,867,3916,907,3916,867,3916,887,3936,887,3936,927,3936,847,3936,887,3956,887,3956,907,3956,867,3956,907,3976,887,3976,927,3976,867,3976,907,3976,867,3996,867,3996,847,3996,867,3996,807,4016,807,4016,727,4036,727,4036,787m4036,787l4036,767,4036,807,4036,787,4056,827,4056,867,4056,847,4056,967,4076,987,4076,967,4076,1007,4096,967,4096,987,4096,947,4096,967,4096,947,4116,927,4116,847,4116,867,4116,827,4136,847m4136,847l4136,827,4136,887,4136,867,4136,907,4156,927,4156,907m4156,907l4156,967,4176,967,4176,947,4176,987,4176,967,4176,987,4176,947,4176,967,4196,967,4196,887m4196,887l4196,967,4216,1007,4216,1047,4216,1027,4216,1067,4216,1027,4236,1047m4236,1047l4236,1007,4236,1167,4256,1127,4256,1087,4256,1107,4256,1087,4256,1127,4256,1087m4256,1087l4256,1127,4276,1127,4276,1147,4276,1127,4276,1147,4276,1087,4296,1087,4296,1107,4296,1067,4296,1107,4296,1087m4296,1087l4296,1107,4296,1047,4316,1047,4316,1127,4316,1107,4316,1147,4316,1127,4316,1147,4316,1107m4316,1107l4336,1107,4336,1067,4336,1087,4336,1067,4336,1107,4356,1127,4356,1147,4356,1107,4356,1147e" filled="false" stroked="true" strokeweight="1pt" strokecolor="#faab54">
              <v:path arrowok="t"/>
              <v:stroke dashstyle="solid"/>
            </v:shape>
            <v:line style="position:absolute" from="4346,1127" to="4366,1127" stroked="true" strokeweight="2pt" strokecolor="#faab54">
              <v:stroke dashstyle="solid"/>
            </v:line>
            <v:line style="position:absolute" from="4556,1147" to="4456,1147" stroked="true" strokeweight=".5pt" strokecolor="#000000">
              <v:stroke dashstyle="solid"/>
            </v:line>
            <v:shape style="position:absolute;left:4375;top:1046;width:20;height:60" coordorigin="4376,1047" coordsize="20,60" path="m4376,1107l4376,1047,4376,1067,4396,1047e" filled="false" stroked="true" strokeweight="1pt" strokecolor="#faab54">
              <v:path arrowok="t"/>
              <v:stroke dashstyle="solid"/>
            </v:shape>
            <v:shape style="position:absolute;left:1235;top:310;width:3320;height:1742" type="#_x0000_t202" filled="false" stroked="false">
              <v:textbox inset="0,0,0,0">
                <w:txbxContent>
                  <w:p>
                    <w:pPr>
                      <w:spacing w:before="74"/>
                      <w:ind w:left="2026" w:right="-15" w:firstLine="0"/>
                      <w:jc w:val="left"/>
                      <w:rPr>
                        <w:sz w:val="12"/>
                      </w:rPr>
                    </w:pPr>
                    <w:r>
                      <w:rPr>
                        <w:sz w:val="12"/>
                      </w:rPr>
                      <w:t>Deutsche Marks per pound</w:t>
                    </w:r>
                  </w:p>
                  <w:p>
                    <w:pPr>
                      <w:spacing w:before="35"/>
                      <w:ind w:left="2556" w:right="0" w:firstLine="0"/>
                      <w:jc w:val="left"/>
                      <w:rPr>
                        <w:sz w:val="12"/>
                      </w:rPr>
                    </w:pPr>
                    <w:r>
                      <w:rPr>
                        <w:sz w:val="12"/>
                      </w:rPr>
                      <w:t>Implied (a)</w:t>
                    </w:r>
                  </w:p>
                </w:txbxContent>
              </v:textbox>
              <w10:wrap type="none"/>
            </v:shape>
            <w10:wrap type="none"/>
          </v:group>
        </w:pict>
      </w:r>
      <w:r>
        <w:rPr>
          <w:b/>
          <w:color w:val="0093C1"/>
          <w:sz w:val="20"/>
        </w:rPr>
        <w:t>Euro exchange rates</w:t>
      </w:r>
    </w:p>
    <w:p>
      <w:pPr>
        <w:pStyle w:val="BodyText"/>
        <w:spacing w:before="10"/>
        <w:rPr>
          <w:b/>
          <w:sz w:val="22"/>
        </w:rPr>
      </w:pPr>
      <w:r>
        <w:rPr/>
        <w:pict>
          <v:shape style="position:absolute;margin-left:61.779999pt;margin-top:15.382852pt;width:5pt;height:.1pt;mso-position-horizontal-relative:page;mso-position-vertical-relative:paragraph;z-index:-15602176;mso-wrap-distance-left:0;mso-wrap-distance-right:0" coordorigin="1236,308" coordsize="100,0" path="m1336,308l1236,308e" filled="false" stroked="true" strokeweight=".5pt" strokecolor="#000000">
            <v:path arrowok="t"/>
            <v:stroke dashstyle="solid"/>
            <w10:wrap type="topAndBottom"/>
          </v:shape>
        </w:pict>
      </w:r>
    </w:p>
    <w:p>
      <w:pPr>
        <w:pStyle w:val="BodyText"/>
        <w:rPr>
          <w:b/>
          <w:sz w:val="20"/>
        </w:rPr>
      </w:pPr>
    </w:p>
    <w:p>
      <w:pPr>
        <w:pStyle w:val="BodyText"/>
        <w:rPr>
          <w:b/>
          <w:sz w:val="20"/>
        </w:rPr>
      </w:pPr>
    </w:p>
    <w:p>
      <w:pPr>
        <w:pStyle w:val="BodyText"/>
        <w:rPr>
          <w:b/>
          <w:sz w:val="20"/>
        </w:rPr>
      </w:pPr>
    </w:p>
    <w:p>
      <w:pPr>
        <w:pStyle w:val="BodyText"/>
        <w:spacing w:before="5"/>
        <w:rPr>
          <w:b/>
          <w:sz w:val="11"/>
        </w:rPr>
      </w:pPr>
      <w:r>
        <w:rPr/>
        <w:pict>
          <v:shape style="position:absolute;margin-left:61.779999pt;margin-top:8.80293pt;width:5pt;height:.1pt;mso-position-horizontal-relative:page;mso-position-vertical-relative:paragraph;z-index:-15601664;mso-wrap-distance-left:0;mso-wrap-distance-right:0" coordorigin="1236,176" coordsize="100,0" path="m1336,176l1236,176e" filled="false" stroked="true" strokeweight=".5pt" strokecolor="#000000">
            <v:path arrowok="t"/>
            <v:stroke dashstyle="solid"/>
            <w10:wrap type="topAndBottom"/>
          </v:shape>
        </w:pict>
      </w:r>
      <w:r>
        <w:rPr/>
        <w:pict>
          <v:shape style="position:absolute;margin-left:61.779999pt;margin-top:23.802929pt;width:5pt;height:.1pt;mso-position-horizontal-relative:page;mso-position-vertical-relative:paragraph;z-index:-15601152;mso-wrap-distance-left:0;mso-wrap-distance-right:0" coordorigin="1236,476" coordsize="100,0" path="m1336,476l1236,476e" filled="false" stroked="true" strokeweight=".5pt" strokecolor="#000000">
            <v:path arrowok="t"/>
            <v:stroke dashstyle="solid"/>
            <w10:wrap type="topAndBottom"/>
          </v:shape>
        </w:pict>
      </w:r>
    </w:p>
    <w:p>
      <w:pPr>
        <w:pStyle w:val="BodyText"/>
        <w:spacing w:before="3"/>
        <w:rPr>
          <w:b/>
          <w:sz w:val="19"/>
        </w:rPr>
      </w:pPr>
    </w:p>
    <w:p>
      <w:pPr>
        <w:pStyle w:val="BodyText"/>
        <w:spacing w:before="11"/>
        <w:rPr>
          <w:b/>
          <w:sz w:val="22"/>
        </w:rPr>
      </w:pPr>
    </w:p>
    <w:p>
      <w:pPr>
        <w:tabs>
          <w:tab w:pos="1705" w:val="left" w:leader="none"/>
          <w:tab w:pos="2125" w:val="left" w:leader="none"/>
          <w:tab w:pos="2545" w:val="left" w:leader="none"/>
          <w:tab w:pos="2985" w:val="left" w:leader="none"/>
          <w:tab w:pos="3405" w:val="left" w:leader="none"/>
        </w:tabs>
        <w:spacing w:before="0"/>
        <w:ind w:left="865" w:right="0" w:firstLine="0"/>
        <w:jc w:val="left"/>
        <w:rPr>
          <w:sz w:val="12"/>
        </w:rPr>
      </w:pPr>
      <w:r>
        <w:rPr>
          <w:sz w:val="12"/>
        </w:rPr>
        <w:t>1992      93</w:t>
        <w:tab/>
        <w:t>94</w:t>
        <w:tab/>
        <w:t>95</w:t>
        <w:tab/>
        <w:t>96</w:t>
        <w:tab/>
        <w:t>97</w:t>
        <w:tab/>
        <w:t>98 </w:t>
      </w:r>
      <w:r>
        <w:rPr>
          <w:spacing w:val="-10"/>
          <w:sz w:val="12"/>
        </w:rPr>
        <w:t>99</w:t>
      </w:r>
    </w:p>
    <w:p>
      <w:pPr>
        <w:spacing w:before="28"/>
        <w:ind w:left="158" w:right="0" w:firstLine="0"/>
        <w:jc w:val="left"/>
        <w:rPr>
          <w:sz w:val="12"/>
        </w:rPr>
      </w:pPr>
      <w:r>
        <w:rPr>
          <w:color w:val="231F20"/>
          <w:sz w:val="12"/>
        </w:rPr>
        <w:t>(a) Implied exchange rate from 1 January 1999.</w:t>
      </w:r>
    </w:p>
    <w:p>
      <w:pPr>
        <w:pStyle w:val="BodyText"/>
        <w:rPr>
          <w:sz w:val="12"/>
        </w:rPr>
      </w:pPr>
      <w:r>
        <w:rPr/>
        <w:br w:type="column"/>
      </w:r>
      <w:r>
        <w:rPr>
          <w:sz w:val="12"/>
        </w:rPr>
      </w: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9"/>
        <w:rPr>
          <w:sz w:val="10"/>
        </w:rPr>
      </w:pPr>
    </w:p>
    <w:p>
      <w:pPr>
        <w:spacing w:before="0"/>
        <w:ind w:left="155" w:right="0" w:firstLine="0"/>
        <w:jc w:val="left"/>
        <w:rPr>
          <w:sz w:val="12"/>
        </w:rPr>
      </w:pPr>
      <w:r>
        <w:rPr>
          <w:sz w:val="12"/>
        </w:rPr>
        <w:t>3.25</w:t>
      </w:r>
    </w:p>
    <w:p>
      <w:pPr>
        <w:pStyle w:val="BodyText"/>
        <w:spacing w:before="1"/>
        <w:rPr>
          <w:sz w:val="14"/>
        </w:rPr>
      </w:pPr>
    </w:p>
    <w:p>
      <w:pPr>
        <w:spacing w:before="0"/>
        <w:ind w:left="155" w:right="0" w:firstLine="0"/>
        <w:jc w:val="left"/>
        <w:rPr>
          <w:sz w:val="12"/>
        </w:rPr>
      </w:pPr>
      <w:r>
        <w:rPr/>
        <w:pict>
          <v:line style="position:absolute;mso-position-horizontal-relative:page;mso-position-vertical-relative:paragraph;z-index:15862784" from="227.779999pt,4.101563pt" to="222.779999pt,4.101563pt" stroked="true" strokeweight=".5pt" strokecolor="#000000">
            <v:stroke dashstyle="solid"/>
            <w10:wrap type="none"/>
          </v:line>
        </w:pict>
      </w:r>
      <w:r>
        <w:rPr/>
        <w:pict>
          <v:line style="position:absolute;mso-position-horizontal-relative:page;mso-position-vertical-relative:paragraph;z-index:15863296" from="227.779999pt,-10.898438pt" to="222.779999pt,-10.898438pt" stroked="true" strokeweight=".5pt" strokecolor="#000000">
            <v:stroke dashstyle="solid"/>
            <w10:wrap type="none"/>
          </v:line>
        </w:pict>
      </w:r>
      <w:r>
        <w:rPr>
          <w:sz w:val="12"/>
        </w:rPr>
        <w:t>3.00</w:t>
      </w:r>
    </w:p>
    <w:p>
      <w:pPr>
        <w:pStyle w:val="BodyText"/>
        <w:spacing w:before="1"/>
        <w:rPr>
          <w:sz w:val="14"/>
        </w:rPr>
      </w:pPr>
    </w:p>
    <w:p>
      <w:pPr>
        <w:spacing w:before="0"/>
        <w:ind w:left="155" w:right="0" w:firstLine="0"/>
        <w:jc w:val="left"/>
        <w:rPr>
          <w:sz w:val="12"/>
        </w:rPr>
      </w:pPr>
      <w:r>
        <w:rPr>
          <w:sz w:val="12"/>
        </w:rPr>
        <w:t>2.75</w:t>
      </w:r>
    </w:p>
    <w:p>
      <w:pPr>
        <w:pStyle w:val="BodyText"/>
        <w:spacing w:before="1"/>
        <w:rPr>
          <w:sz w:val="14"/>
        </w:rPr>
      </w:pPr>
    </w:p>
    <w:p>
      <w:pPr>
        <w:spacing w:before="0"/>
        <w:ind w:left="155" w:right="0" w:firstLine="0"/>
        <w:jc w:val="left"/>
        <w:rPr>
          <w:sz w:val="12"/>
        </w:rPr>
      </w:pPr>
      <w:r>
        <w:rPr/>
        <w:pict>
          <v:line style="position:absolute;mso-position-horizontal-relative:page;mso-position-vertical-relative:paragraph;z-index:15862272" from="227.779999pt,4.101563pt" to="222.779999pt,4.101563pt" stroked="true" strokeweight=".5pt" strokecolor="#000000">
            <v:stroke dashstyle="solid"/>
            <w10:wrap type="none"/>
          </v:line>
        </w:pict>
      </w:r>
      <w:r>
        <w:rPr>
          <w:sz w:val="12"/>
        </w:rPr>
        <w:t>2.50</w:t>
      </w:r>
    </w:p>
    <w:p>
      <w:pPr>
        <w:pStyle w:val="BodyText"/>
        <w:spacing w:before="1"/>
        <w:rPr>
          <w:sz w:val="14"/>
        </w:rPr>
      </w:pPr>
    </w:p>
    <w:p>
      <w:pPr>
        <w:spacing w:before="0"/>
        <w:ind w:left="155" w:right="0" w:firstLine="0"/>
        <w:jc w:val="left"/>
        <w:rPr>
          <w:sz w:val="12"/>
        </w:rPr>
      </w:pPr>
      <w:r>
        <w:rPr/>
        <w:pict>
          <v:line style="position:absolute;mso-position-horizontal-relative:page;mso-position-vertical-relative:paragraph;z-index:15861760" from="227.779999pt,4.101563pt" to="222.779999pt,4.101563pt" stroked="true" strokeweight=".5pt" strokecolor="#000000">
            <v:stroke dashstyle="solid"/>
            <w10:wrap type="none"/>
          </v:line>
        </w:pict>
      </w:r>
      <w:r>
        <w:rPr>
          <w:sz w:val="12"/>
        </w:rPr>
        <w:t>2.25</w:t>
      </w:r>
    </w:p>
    <w:p>
      <w:pPr>
        <w:pStyle w:val="BodyText"/>
        <w:spacing w:before="1"/>
        <w:rPr>
          <w:sz w:val="14"/>
        </w:rPr>
      </w:pPr>
    </w:p>
    <w:p>
      <w:pPr>
        <w:spacing w:before="0"/>
        <w:ind w:left="155" w:right="0" w:firstLine="0"/>
        <w:jc w:val="left"/>
        <w:rPr>
          <w:sz w:val="12"/>
        </w:rPr>
      </w:pPr>
      <w:r>
        <w:rPr/>
        <w:pict>
          <v:line style="position:absolute;mso-position-horizontal-relative:page;mso-position-vertical-relative:paragraph;z-index:15861248" from="227.779999pt,4.101563pt" to="222.779999pt,4.101563pt" stroked="true" strokeweight=".5pt" strokecolor="#000000">
            <v:stroke dashstyle="solid"/>
            <w10:wrap type="none"/>
          </v:line>
        </w:pict>
      </w:r>
      <w:r>
        <w:rPr>
          <w:sz w:val="12"/>
        </w:rPr>
        <w:t>2.00</w:t>
      </w:r>
    </w:p>
    <w:p>
      <w:pPr>
        <w:pStyle w:val="Heading4"/>
        <w:spacing w:line="242" w:lineRule="auto" w:before="90"/>
        <w:ind w:left="155" w:right="228"/>
      </w:pPr>
      <w:r>
        <w:rPr/>
        <w:br w:type="column"/>
      </w:r>
      <w:r>
        <w:rPr/>
        <w:t>In constructing its forecast, the MPC makes assumptions about the future path for sterling, conditional on unchanged UK interest rates. In judging the most likely path for sterling, the MPC takes into account both interest rate differentials and risk considerations. In the central projection (the modal or most likely case), the sterling ERI is expected to fall to 97.6 at the two-year horizon, but the MPC judges that a larger fall is more likely than a significant rise. So on average, the sterling ERI is expected to fall to 96.3 in two years’ time.</w:t>
      </w:r>
    </w:p>
    <w:p>
      <w:pPr>
        <w:spacing w:after="0" w:line="242" w:lineRule="auto"/>
        <w:sectPr>
          <w:type w:val="continuous"/>
          <w:pgSz w:w="11900" w:h="16840"/>
          <w:pgMar w:top="1220" w:bottom="280" w:left="640" w:right="600"/>
          <w:cols w:num="3" w:equalWidth="0">
            <w:col w:w="3766" w:space="44"/>
            <w:col w:w="406" w:space="588"/>
            <w:col w:w="5856"/>
          </w:cols>
        </w:sectPr>
      </w:pPr>
    </w:p>
    <w:p>
      <w:pPr>
        <w:tabs>
          <w:tab w:pos="3125" w:val="left" w:leader="none"/>
        </w:tabs>
        <w:spacing w:before="114"/>
        <w:ind w:left="245" w:right="0" w:firstLine="0"/>
        <w:jc w:val="left"/>
        <w:rPr>
          <w:sz w:val="12"/>
        </w:rPr>
      </w:pPr>
      <w:r>
        <w:rPr/>
        <w:pict>
          <v:line style="position:absolute;mso-position-horizontal-relative:page;mso-position-vertical-relative:paragraph;z-index:-21158912" from="66.779999pt,13.801562pt" to="61.779999pt,13.801562pt" stroked="true" strokeweight=".5pt" strokecolor="#000000">
            <v:stroke dashstyle="solid"/>
            <w10:wrap type="none"/>
          </v:line>
        </w:pict>
      </w:r>
      <w:r>
        <w:rPr/>
        <w:pict>
          <v:line style="position:absolute;mso-position-horizontal-relative:page;mso-position-vertical-relative:paragraph;z-index:-21158400" from="222.779999pt,13.801562pt" to="227.779999pt,13.801562pt" stroked="true" strokeweight=".5pt" strokecolor="#000000">
            <v:stroke dashstyle="solid"/>
            <w10:wrap type="none"/>
          </v:line>
        </w:pict>
      </w:r>
      <w:r>
        <w:rPr>
          <w:position w:val="-7"/>
          <w:sz w:val="12"/>
        </w:rPr>
        <w:t>0.685  </w:t>
      </w:r>
      <w:r>
        <w:rPr>
          <w:sz w:val="12"/>
        </w:rPr>
        <w:t>Pounds</w:t>
      </w:r>
      <w:r>
        <w:rPr>
          <w:spacing w:val="10"/>
          <w:sz w:val="12"/>
        </w:rPr>
        <w:t> </w:t>
      </w:r>
      <w:r>
        <w:rPr>
          <w:sz w:val="12"/>
        </w:rPr>
        <w:t>per euro</w:t>
        <w:tab/>
        <w:t>Euros per pound</w:t>
      </w:r>
      <w:r>
        <w:rPr>
          <w:spacing w:val="16"/>
          <w:sz w:val="12"/>
        </w:rPr>
        <w:t> </w:t>
      </w:r>
      <w:r>
        <w:rPr>
          <w:position w:val="-7"/>
          <w:sz w:val="12"/>
        </w:rPr>
        <w:t>1.46</w:t>
      </w:r>
    </w:p>
    <w:p>
      <w:pPr>
        <w:spacing w:after="0"/>
        <w:jc w:val="left"/>
        <w:rPr>
          <w:sz w:val="12"/>
        </w:rPr>
        <w:sectPr>
          <w:type w:val="continuous"/>
          <w:pgSz w:w="11900" w:h="16840"/>
          <w:pgMar w:top="1220" w:bottom="280" w:left="640" w:right="600"/>
        </w:sectPr>
      </w:pPr>
    </w:p>
    <w:p>
      <w:pPr>
        <w:pStyle w:val="BodyText"/>
        <w:spacing w:before="7"/>
        <w:rPr>
          <w:sz w:val="10"/>
        </w:rPr>
      </w:pPr>
    </w:p>
    <w:p>
      <w:pPr>
        <w:spacing w:before="0"/>
        <w:ind w:left="245" w:right="0" w:firstLine="0"/>
        <w:jc w:val="left"/>
        <w:rPr>
          <w:sz w:val="12"/>
        </w:rPr>
      </w:pPr>
      <w:r>
        <w:rPr/>
        <w:pict>
          <v:group style="position:absolute;margin-left:61.779999pt;margin-top:2.601563pt;width:166pt;height:64.75pt;mso-position-horizontal-relative:page;mso-position-vertical-relative:paragraph;z-index:15858688" coordorigin="1236,52" coordsize="3320,1295">
            <v:shape style="position:absolute;left:1375;top:1252;width:2480;height:90" coordorigin="1376,1252" coordsize="2480,90" path="m3856,1252l3856,1342m3216,1252l3216,1342m2556,1252l2556,1342m1896,1252l1896,1342m1376,1342l1376,1302m1516,1342l1516,1302m1636,1342l1636,1302m1776,1342l1776,1302m2036,1342l2036,1302m2156,1342l2156,1302m2296,1342l2296,1302m2416,1342l2416,1302m2696,1342l2696,1302m2816,1342l2816,1302m2956,1342l2956,1302m3076,1342l3076,1302e" filled="false" stroked="true" strokeweight=".5pt" strokecolor="#000000">
              <v:path arrowok="t"/>
              <v:stroke dashstyle="solid"/>
            </v:shape>
            <v:shape style="position:absolute;left:3330;top:1302;width:410;height:20" coordorigin="3331,1302" coordsize="410,20" path="m3341,1302l3331,1302,3331,1322,3341,1322,3341,1302xm3481,1302l3471,1302,3471,1322,3481,1322,3481,1302xm3601,1302l3591,1302,3591,1322,3601,1322,3601,1302xm3741,1302l3731,1302,3731,1322,3741,1322,3741,1302xe" filled="true" fillcolor="#000000" stroked="false">
              <v:path arrowok="t"/>
              <v:fill type="solid"/>
            </v:shape>
            <v:shape style="position:absolute;left:1375;top:1302;width:3020;height:40" coordorigin="1376,1302" coordsize="3020,40" path="m3996,1342l3996,1302m4136,1342l4136,1302m4256,1342l4256,1302m1376,1342l4396,1342m1376,1342l1376,1302m1516,1342l1516,1302m1636,1342l1636,1302m1776,1342l1776,1302m2036,1342l2036,1302m2156,1342l2156,1302m2296,1342l2296,1302m2416,1342l2416,1302m2696,1342l2696,1302m2816,1342l2816,1302m2956,1342l2956,1302m3076,1342l3076,1302e" filled="false" stroked="true" strokeweight=".5pt" strokecolor="#000000">
              <v:path arrowok="t"/>
              <v:stroke dashstyle="solid"/>
            </v:shape>
            <v:shape style="position:absolute;left:3330;top:1302;width:410;height:20" coordorigin="3331,1302" coordsize="410,20" path="m3341,1302l3331,1302,3331,1322,3341,1322,3341,1302xm3481,1302l3471,1302,3471,1322,3481,1322,3481,1302xm3601,1302l3591,1302,3591,1322,3601,1322,3601,1302xm3741,1302l3731,1302,3731,1322,3741,1322,3741,1302xe" filled="true" fillcolor="#000000" stroked="false">
              <v:path arrowok="t"/>
              <v:fill type="solid"/>
            </v:shape>
            <v:shape style="position:absolute;left:1235;top:82;width:3320;height:1260" coordorigin="1236,82" coordsize="3320,1260" path="m3996,1342l3996,1302m4136,1342l4136,1302m4256,1342l4256,1302m4396,1302l4396,1342m1336,1342l1236,1342m4456,1342l4556,1342m1336,1082l1236,1082m1336,842l1236,842m1336,582l1236,582m1336,322l1236,322m1336,82l1236,82m4456,1082l4556,1082m4456,842l4556,842m4456,582l4556,582m4456,322l4556,322m4456,82l4556,82e" filled="false" stroked="true" strokeweight=".5pt" strokecolor="#000000">
              <v:path arrowok="t"/>
              <v:stroke dashstyle="solid"/>
            </v:shape>
            <v:shape style="position:absolute;left:1395;top:62;width:3000;height:1160" coordorigin="1396,62" coordsize="3000,1160" path="m1396,1162l1516,1222,1656,1002,1776,982,1916,822,2036,782,2176,1002,2296,1042,2436,922,2556,662,2696,722,2836,602,2956,722,3096,682,3216,622,3356,482,3476,482,3616,422,3736,242,3876,142,4016,62,4136,82,4276,242,4396,62e" filled="false" stroked="true" strokeweight="1pt" strokecolor="#df6f1d">
              <v:path arrowok="t"/>
              <v:stroke dashstyle="solid"/>
            </v:shape>
            <w10:wrap type="none"/>
          </v:group>
        </w:pict>
      </w:r>
      <w:r>
        <w:rPr>
          <w:sz w:val="12"/>
        </w:rPr>
        <w:t>0.690</w:t>
      </w:r>
    </w:p>
    <w:p>
      <w:pPr>
        <w:spacing w:before="102"/>
        <w:ind w:left="245" w:right="0" w:firstLine="0"/>
        <w:jc w:val="left"/>
        <w:rPr>
          <w:sz w:val="12"/>
        </w:rPr>
      </w:pPr>
      <w:r>
        <w:rPr>
          <w:sz w:val="12"/>
        </w:rPr>
        <w:t>0.695</w:t>
      </w:r>
    </w:p>
    <w:p>
      <w:pPr>
        <w:pStyle w:val="BodyText"/>
        <w:spacing w:before="7"/>
        <w:rPr>
          <w:sz w:val="10"/>
        </w:rPr>
      </w:pPr>
    </w:p>
    <w:p>
      <w:pPr>
        <w:spacing w:before="0"/>
        <w:ind w:left="245" w:right="0" w:firstLine="0"/>
        <w:jc w:val="left"/>
        <w:rPr>
          <w:sz w:val="12"/>
        </w:rPr>
      </w:pPr>
      <w:r>
        <w:rPr>
          <w:sz w:val="12"/>
        </w:rPr>
        <w:t>0.700</w:t>
      </w:r>
    </w:p>
    <w:p>
      <w:pPr>
        <w:pStyle w:val="BodyText"/>
        <w:spacing w:before="7"/>
        <w:rPr>
          <w:sz w:val="10"/>
        </w:rPr>
      </w:pPr>
    </w:p>
    <w:p>
      <w:pPr>
        <w:spacing w:before="0"/>
        <w:ind w:left="245" w:right="0" w:firstLine="0"/>
        <w:jc w:val="left"/>
        <w:rPr>
          <w:sz w:val="12"/>
        </w:rPr>
      </w:pPr>
      <w:r>
        <w:rPr>
          <w:sz w:val="12"/>
        </w:rPr>
        <w:t>0.705</w:t>
      </w:r>
    </w:p>
    <w:p>
      <w:pPr>
        <w:spacing w:before="103"/>
        <w:ind w:left="245" w:right="0" w:firstLine="0"/>
        <w:jc w:val="left"/>
        <w:rPr>
          <w:sz w:val="12"/>
        </w:rPr>
      </w:pPr>
      <w:r>
        <w:rPr>
          <w:sz w:val="12"/>
        </w:rPr>
        <w:t>0.710</w:t>
      </w:r>
    </w:p>
    <w:p>
      <w:pPr>
        <w:pStyle w:val="BodyText"/>
        <w:spacing w:before="6"/>
        <w:rPr>
          <w:sz w:val="10"/>
        </w:rPr>
      </w:pPr>
    </w:p>
    <w:p>
      <w:pPr>
        <w:spacing w:before="1"/>
        <w:ind w:left="245" w:right="0" w:firstLine="0"/>
        <w:jc w:val="left"/>
        <w:rPr>
          <w:sz w:val="12"/>
        </w:rPr>
      </w:pPr>
      <w:r>
        <w:rPr>
          <w:sz w:val="12"/>
        </w:rPr>
        <w:t>0.715</w:t>
      </w:r>
    </w:p>
    <w:p>
      <w:pPr>
        <w:pStyle w:val="BodyText"/>
        <w:rPr>
          <w:sz w:val="12"/>
        </w:rPr>
      </w:pPr>
    </w:p>
    <w:p>
      <w:pPr>
        <w:pStyle w:val="BodyText"/>
        <w:rPr>
          <w:sz w:val="12"/>
        </w:rPr>
      </w:pPr>
    </w:p>
    <w:p>
      <w:pPr>
        <w:pStyle w:val="BodyText"/>
        <w:rPr>
          <w:sz w:val="12"/>
        </w:rPr>
      </w:pPr>
    </w:p>
    <w:p>
      <w:pPr>
        <w:pStyle w:val="BodyText"/>
        <w:spacing w:before="3"/>
        <w:rPr>
          <w:sz w:val="15"/>
        </w:rPr>
      </w:pPr>
    </w:p>
    <w:p>
      <w:pPr>
        <w:pStyle w:val="Heading7"/>
        <w:spacing w:line="169" w:lineRule="exact" w:before="0"/>
        <w:ind w:left="165"/>
      </w:pPr>
      <w:r>
        <w:rPr>
          <w:color w:val="0093C1"/>
        </w:rPr>
        <w:t>Chart 1.20</w:t>
      </w:r>
    </w:p>
    <w:p>
      <w:pPr>
        <w:pStyle w:val="BodyText"/>
        <w:rPr>
          <w:b/>
          <w:sz w:val="12"/>
        </w:rPr>
      </w:pPr>
      <w:r>
        <w:rPr/>
        <w:br w:type="column"/>
      </w:r>
      <w:r>
        <w:rPr>
          <w:b/>
          <w:sz w:val="12"/>
        </w:rPr>
      </w:r>
    </w:p>
    <w:p>
      <w:pPr>
        <w:pStyle w:val="BodyText"/>
        <w:rPr>
          <w:b/>
          <w:sz w:val="12"/>
        </w:rPr>
      </w:pPr>
    </w:p>
    <w:p>
      <w:pPr>
        <w:pStyle w:val="BodyText"/>
        <w:rPr>
          <w:b/>
          <w:sz w:val="12"/>
        </w:rPr>
      </w:pPr>
    </w:p>
    <w:p>
      <w:pPr>
        <w:pStyle w:val="BodyText"/>
        <w:rPr>
          <w:b/>
          <w:sz w:val="12"/>
        </w:rPr>
      </w:pPr>
    </w:p>
    <w:p>
      <w:pPr>
        <w:pStyle w:val="BodyText"/>
        <w:rPr>
          <w:b/>
          <w:sz w:val="12"/>
        </w:rPr>
      </w:pPr>
    </w:p>
    <w:p>
      <w:pPr>
        <w:pStyle w:val="BodyText"/>
        <w:rPr>
          <w:b/>
          <w:sz w:val="12"/>
        </w:rPr>
      </w:pPr>
    </w:p>
    <w:p>
      <w:pPr>
        <w:pStyle w:val="BodyText"/>
        <w:rPr>
          <w:b/>
          <w:sz w:val="12"/>
        </w:rPr>
      </w:pPr>
    </w:p>
    <w:p>
      <w:pPr>
        <w:pStyle w:val="BodyText"/>
        <w:rPr>
          <w:b/>
          <w:sz w:val="12"/>
        </w:rPr>
      </w:pPr>
    </w:p>
    <w:p>
      <w:pPr>
        <w:pStyle w:val="BodyText"/>
        <w:rPr>
          <w:b/>
          <w:sz w:val="12"/>
        </w:rPr>
      </w:pPr>
    </w:p>
    <w:p>
      <w:pPr>
        <w:pStyle w:val="BodyText"/>
        <w:rPr>
          <w:b/>
          <w:sz w:val="12"/>
        </w:rPr>
      </w:pPr>
    </w:p>
    <w:p>
      <w:pPr>
        <w:tabs>
          <w:tab w:pos="748" w:val="left" w:leader="none"/>
        </w:tabs>
        <w:spacing w:line="129" w:lineRule="exact" w:before="103"/>
        <w:ind w:left="88" w:right="0" w:firstLine="0"/>
        <w:jc w:val="left"/>
        <w:rPr>
          <w:sz w:val="12"/>
        </w:rPr>
      </w:pPr>
      <w:r>
        <w:rPr>
          <w:sz w:val="12"/>
        </w:rPr>
        <w:t>8</w:t>
        <w:tab/>
        <w:t>15</w:t>
      </w:r>
    </w:p>
    <w:p>
      <w:pPr>
        <w:spacing w:line="129" w:lineRule="exact" w:before="0"/>
        <w:ind w:left="88" w:right="0" w:firstLine="0"/>
        <w:jc w:val="left"/>
        <w:rPr>
          <w:sz w:val="12"/>
        </w:rPr>
      </w:pPr>
      <w:r>
        <w:rPr>
          <w:sz w:val="12"/>
        </w:rPr>
        <w:t>January 1999</w:t>
      </w:r>
    </w:p>
    <w:p>
      <w:pPr>
        <w:pStyle w:val="BodyText"/>
        <w:rPr>
          <w:sz w:val="12"/>
        </w:rPr>
      </w:pPr>
      <w:r>
        <w:rPr/>
        <w:br w:type="column"/>
      </w:r>
      <w:r>
        <w:rPr>
          <w:sz w:val="12"/>
        </w:rPr>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tabs>
          <w:tab w:pos="805" w:val="left" w:leader="none"/>
        </w:tabs>
        <w:spacing w:before="103"/>
        <w:ind w:left="165" w:right="0" w:firstLine="0"/>
        <w:jc w:val="left"/>
        <w:rPr>
          <w:sz w:val="12"/>
        </w:rPr>
      </w:pPr>
      <w:r>
        <w:rPr>
          <w:sz w:val="12"/>
        </w:rPr>
        <w:t>22</w:t>
        <w:tab/>
      </w:r>
      <w:r>
        <w:rPr>
          <w:spacing w:val="-10"/>
          <w:sz w:val="12"/>
        </w:rPr>
        <w:t>29</w:t>
      </w:r>
    </w:p>
    <w:p>
      <w:pPr>
        <w:pStyle w:val="BodyText"/>
        <w:rPr>
          <w:sz w:val="12"/>
        </w:rPr>
      </w:pPr>
      <w:r>
        <w:rPr/>
        <w:br w:type="column"/>
      </w:r>
      <w:r>
        <w:rPr>
          <w:sz w:val="12"/>
        </w:rPr>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spacing w:before="85"/>
        <w:ind w:left="-20" w:right="0" w:firstLine="0"/>
        <w:jc w:val="left"/>
        <w:rPr>
          <w:sz w:val="12"/>
        </w:rPr>
      </w:pPr>
      <w:r>
        <w:rPr>
          <w:sz w:val="12"/>
        </w:rPr>
        <w:t>February</w:t>
      </w:r>
    </w:p>
    <w:p>
      <w:pPr>
        <w:pStyle w:val="BodyText"/>
        <w:spacing w:before="7"/>
        <w:rPr>
          <w:sz w:val="10"/>
        </w:rPr>
      </w:pPr>
      <w:r>
        <w:rPr/>
        <w:br w:type="column"/>
      </w:r>
      <w:r>
        <w:rPr>
          <w:sz w:val="10"/>
        </w:rPr>
      </w:r>
    </w:p>
    <w:p>
      <w:pPr>
        <w:spacing w:before="0"/>
        <w:ind w:left="165" w:right="0" w:firstLine="0"/>
        <w:jc w:val="left"/>
        <w:rPr>
          <w:sz w:val="12"/>
        </w:rPr>
      </w:pPr>
      <w:r>
        <w:rPr>
          <w:sz w:val="12"/>
        </w:rPr>
        <w:t>1.45</w:t>
      </w:r>
    </w:p>
    <w:p>
      <w:pPr>
        <w:spacing w:before="102"/>
        <w:ind w:left="165" w:right="0" w:firstLine="0"/>
        <w:jc w:val="left"/>
        <w:rPr>
          <w:sz w:val="12"/>
        </w:rPr>
      </w:pPr>
      <w:r>
        <w:rPr>
          <w:sz w:val="12"/>
        </w:rPr>
        <w:t>1.44</w:t>
      </w:r>
    </w:p>
    <w:p>
      <w:pPr>
        <w:pStyle w:val="BodyText"/>
        <w:spacing w:before="7"/>
        <w:rPr>
          <w:sz w:val="10"/>
        </w:rPr>
      </w:pPr>
    </w:p>
    <w:p>
      <w:pPr>
        <w:spacing w:before="0"/>
        <w:ind w:left="165" w:right="0" w:firstLine="0"/>
        <w:jc w:val="left"/>
        <w:rPr>
          <w:sz w:val="12"/>
        </w:rPr>
      </w:pPr>
      <w:r>
        <w:rPr>
          <w:sz w:val="12"/>
        </w:rPr>
        <w:t>1.43</w:t>
      </w:r>
    </w:p>
    <w:p>
      <w:pPr>
        <w:pStyle w:val="BodyText"/>
        <w:spacing w:before="7"/>
        <w:rPr>
          <w:sz w:val="10"/>
        </w:rPr>
      </w:pPr>
    </w:p>
    <w:p>
      <w:pPr>
        <w:spacing w:before="0"/>
        <w:ind w:left="165" w:right="0" w:firstLine="0"/>
        <w:jc w:val="left"/>
        <w:rPr>
          <w:sz w:val="12"/>
        </w:rPr>
      </w:pPr>
      <w:r>
        <w:rPr>
          <w:sz w:val="12"/>
        </w:rPr>
        <w:t>1.42</w:t>
      </w:r>
    </w:p>
    <w:p>
      <w:pPr>
        <w:spacing w:before="103"/>
        <w:ind w:left="165" w:right="0" w:firstLine="0"/>
        <w:jc w:val="left"/>
        <w:rPr>
          <w:sz w:val="12"/>
        </w:rPr>
      </w:pPr>
      <w:r>
        <w:rPr>
          <w:sz w:val="12"/>
        </w:rPr>
        <w:t>1.41</w:t>
      </w:r>
    </w:p>
    <w:p>
      <w:pPr>
        <w:pStyle w:val="BodyText"/>
        <w:spacing w:before="6"/>
        <w:rPr>
          <w:sz w:val="10"/>
        </w:rPr>
      </w:pPr>
    </w:p>
    <w:p>
      <w:pPr>
        <w:spacing w:before="1"/>
        <w:ind w:left="165" w:right="0" w:firstLine="0"/>
        <w:jc w:val="left"/>
        <w:rPr>
          <w:sz w:val="12"/>
        </w:rPr>
      </w:pPr>
      <w:r>
        <w:rPr>
          <w:sz w:val="12"/>
        </w:rPr>
        <w:t>1.40</w:t>
      </w:r>
    </w:p>
    <w:p>
      <w:pPr>
        <w:pStyle w:val="Heading2"/>
        <w:numPr>
          <w:ilvl w:val="1"/>
          <w:numId w:val="7"/>
        </w:numPr>
        <w:tabs>
          <w:tab w:pos="4263" w:val="left" w:leader="none"/>
          <w:tab w:pos="4264" w:val="left" w:leader="none"/>
        </w:tabs>
        <w:spacing w:line="240" w:lineRule="auto" w:before="3" w:after="0"/>
        <w:ind w:left="4263" w:right="0" w:hanging="4099"/>
        <w:jc w:val="left"/>
        <w:rPr>
          <w:u w:val="none"/>
        </w:rPr>
      </w:pPr>
      <w:r>
        <w:rPr>
          <w:color w:val="009483"/>
          <w:u w:val="thick" w:color="0093C1"/>
        </w:rPr>
        <w:br w:type="column"/>
        <w:t>Summary</w:t>
      </w:r>
      <w:r>
        <w:rPr>
          <w:color w:val="009483"/>
          <w:spacing w:val="-11"/>
          <w:u w:val="thick" w:color="0093C1"/>
        </w:rPr>
        <w:t> </w:t>
      </w:r>
    </w:p>
    <w:p>
      <w:pPr>
        <w:pStyle w:val="Heading4"/>
        <w:spacing w:line="242" w:lineRule="auto" w:before="264"/>
        <w:ind w:left="165" w:right="302"/>
      </w:pPr>
      <w:r>
        <w:rPr/>
        <w:t>UK broad money growth has continued to ease, in line with slowing nominal demand growth. Unsecured lending to individuals has continued to grow at close to 20% on a year earlier, but this probably reflects a substitution away from other forms of borrowing.</w:t>
      </w:r>
    </w:p>
    <w:p>
      <w:pPr>
        <w:spacing w:before="6"/>
        <w:ind w:left="165" w:right="0" w:firstLine="0"/>
        <w:jc w:val="left"/>
        <w:rPr>
          <w:sz w:val="24"/>
        </w:rPr>
      </w:pPr>
      <w:r>
        <w:rPr>
          <w:sz w:val="24"/>
        </w:rPr>
        <w:t>Global yields on government bonds continued to fall in</w:t>
      </w:r>
    </w:p>
    <w:p>
      <w:pPr>
        <w:spacing w:after="0"/>
        <w:jc w:val="left"/>
        <w:rPr>
          <w:sz w:val="24"/>
        </w:rPr>
        <w:sectPr>
          <w:type w:val="continuous"/>
          <w:pgSz w:w="11900" w:h="16840"/>
          <w:pgMar w:top="1220" w:bottom="280" w:left="640" w:right="600"/>
          <w:cols w:num="6" w:equalWidth="0">
            <w:col w:w="1077" w:space="40"/>
            <w:col w:w="909" w:space="334"/>
            <w:col w:w="926" w:space="40"/>
            <w:col w:w="414" w:space="60"/>
            <w:col w:w="416" w:space="578"/>
            <w:col w:w="5866"/>
          </w:cols>
        </w:sectPr>
      </w:pPr>
    </w:p>
    <w:p>
      <w:pPr>
        <w:pStyle w:val="Heading7"/>
        <w:spacing w:before="70"/>
        <w:ind w:left="165"/>
        <w:rPr>
          <w:b w:val="0"/>
          <w:sz w:val="12"/>
        </w:rPr>
      </w:pPr>
      <w:r>
        <w:rPr>
          <w:color w:val="0093C1"/>
        </w:rPr>
        <w:t>UK effective exchange rate profiles</w:t>
      </w:r>
      <w:r>
        <w:rPr>
          <w:b w:val="0"/>
          <w:position w:val="4"/>
          <w:sz w:val="12"/>
        </w:rPr>
        <w:t>(a)</w:t>
      </w:r>
    </w:p>
    <w:p>
      <w:pPr>
        <w:spacing w:line="82" w:lineRule="exact" w:before="177"/>
        <w:ind w:left="254" w:right="0" w:firstLine="0"/>
        <w:jc w:val="left"/>
        <w:rPr>
          <w:sz w:val="12"/>
        </w:rPr>
      </w:pPr>
      <w:r>
        <w:rPr/>
        <w:pict>
          <v:group style="position:absolute;margin-left:162.080002pt;margin-top:19.064163pt;width:4.5pt;height:4.5pt;mso-position-horizontal-relative:page;mso-position-vertical-relative:paragraph;z-index:15868416" coordorigin="3242,381" coordsize="90,90">
            <v:rect style="position:absolute;left:3246;top:386;width:80;height:80" filled="true" fillcolor="#edc5dd" stroked="false">
              <v:fill type="solid"/>
            </v:rect>
            <v:rect style="position:absolute;left:3246;top:386;width:80;height:80" filled="false" stroked="true" strokeweight=".5pt" strokecolor="#000000">
              <v:stroke dashstyle="solid"/>
            </v:rect>
            <w10:wrap type="none"/>
          </v:group>
        </w:pict>
      </w:r>
      <w:r>
        <w:rPr>
          <w:sz w:val="12"/>
        </w:rPr>
        <w:t>ERI implied:</w:t>
      </w:r>
    </w:p>
    <w:p>
      <w:pPr>
        <w:pStyle w:val="Heading4"/>
        <w:spacing w:line="242" w:lineRule="auto"/>
        <w:ind w:left="165" w:right="302"/>
      </w:pPr>
      <w:r>
        <w:rPr/>
        <w:br w:type="column"/>
      </w:r>
      <w:r>
        <w:rPr/>
        <w:t>line with lower global inflation expectations and lower expected real yields. The fall in nominal UK bond</w:t>
      </w:r>
    </w:p>
    <w:p>
      <w:pPr>
        <w:spacing w:after="0" w:line="242" w:lineRule="auto"/>
        <w:sectPr>
          <w:type w:val="continuous"/>
          <w:pgSz w:w="11900" w:h="16840"/>
          <w:pgMar w:top="1220" w:bottom="280" w:left="640" w:right="600"/>
          <w:cols w:num="2" w:equalWidth="0">
            <w:col w:w="3326" w:space="1468"/>
            <w:col w:w="5866"/>
          </w:cols>
        </w:sectPr>
      </w:pPr>
    </w:p>
    <w:p>
      <w:pPr>
        <w:tabs>
          <w:tab w:pos="1589" w:val="left" w:leader="none"/>
        </w:tabs>
        <w:spacing w:before="89"/>
        <w:ind w:left="409" w:right="0" w:firstLine="0"/>
        <w:jc w:val="left"/>
        <w:rPr>
          <w:sz w:val="12"/>
        </w:rPr>
      </w:pPr>
      <w:r>
        <w:rPr/>
        <w:pict>
          <v:group style="position:absolute;margin-left:44.580002pt;margin-top:5.468752pt;width:5.85pt;height:11.8pt;mso-position-horizontal-relative:page;mso-position-vertical-relative:paragraph;z-index:15867392" coordorigin="892,109" coordsize="117,236">
            <v:shape style="position:absolute;left:917;top:255;width:85;height:85" coordorigin="918,255" coordsize="85,85" path="m960,255l943,259,930,268,921,281,918,298,921,314,930,328,943,337,960,340,976,337,990,328,999,314,1002,298,999,281,990,268,976,259,960,255xe" filled="true" fillcolor="#ed1b2d" stroked="false">
              <v:path arrowok="t"/>
              <v:fill type="solid"/>
            </v:shape>
            <v:shape style="position:absolute;left:917;top:255;width:85;height:85" coordorigin="918,255" coordsize="85,85" path="m960,340l976,337,990,328,999,314,1002,298,999,281,990,268,976,259,960,255,943,259,930,268,921,281,918,298,921,314,930,328,943,337,960,340xe" filled="false" stroked="true" strokeweight=".5pt" strokecolor="#000000">
              <v:path arrowok="t"/>
              <v:stroke dashstyle="solid"/>
            </v:shape>
            <v:shape style="position:absolute;left:891;top:109;width:117;height:104" type="#_x0000_t75" stroked="false">
              <v:imagedata r:id="rId45" o:title=""/>
            </v:shape>
            <w10:wrap type="none"/>
          </v:group>
        </w:pict>
      </w:r>
      <w:r>
        <w:rPr/>
        <w:pict>
          <v:group style="position:absolute;margin-left:104.751999pt;margin-top:4.973752pt;width:6.2pt;height:13pt;mso-position-horizontal-relative:page;mso-position-vertical-relative:paragraph;z-index:-21150208" coordorigin="2095,99" coordsize="124,260">
            <v:shape style="position:absolute;left:2095;top:99;width:124;height:124" type="#_x0000_t75" stroked="false">
              <v:imagedata r:id="rId46" o:title=""/>
            </v:shape>
            <v:shape style="position:absolute;left:2116;top:277;width:77;height:77" coordorigin="2117,278" coordsize="77,77" path="m2193,278l2117,354e" filled="true" fillcolor="#ed1b2d" stroked="false">
              <v:path arrowok="t"/>
              <v:fill type="solid"/>
            </v:shape>
            <v:line style="position:absolute" from="2117,354" to="2193,278" stroked="true" strokeweight=".5pt" strokecolor="#ed1b2d">
              <v:stroke dashstyle="solid"/>
            </v:line>
            <v:shape style="position:absolute;left:2113;top:271;width:84;height:84" coordorigin="2113,271" coordsize="84,84" path="m2113,271l2197,354e" filled="true" fillcolor="#ed1b2d" stroked="false">
              <v:path arrowok="t"/>
              <v:fill type="solid"/>
            </v:shape>
            <v:line style="position:absolute" from="2113,271" to="2197,354" stroked="true" strokeweight=".5pt" strokecolor="#ed1b2d">
              <v:stroke dashstyle="solid"/>
            </v:line>
            <w10:wrap type="none"/>
          </v:group>
        </w:pict>
      </w:r>
      <w:r>
        <w:rPr>
          <w:sz w:val="12"/>
        </w:rPr>
        <w:t>Three months ahead</w:t>
        <w:tab/>
        <w:t>Six months </w:t>
      </w:r>
      <w:r>
        <w:rPr>
          <w:spacing w:val="-4"/>
          <w:sz w:val="12"/>
        </w:rPr>
        <w:t>ahead</w:t>
      </w:r>
    </w:p>
    <w:p>
      <w:pPr>
        <w:spacing w:before="89"/>
        <w:ind w:left="226" w:right="0" w:firstLine="0"/>
        <w:jc w:val="left"/>
        <w:rPr>
          <w:sz w:val="12"/>
        </w:rPr>
      </w:pPr>
      <w:r>
        <w:rPr/>
        <w:br w:type="column"/>
      </w:r>
      <w:r>
        <w:rPr>
          <w:sz w:val="12"/>
        </w:rPr>
        <w:t>Twelve months ahead</w:t>
      </w:r>
    </w:p>
    <w:p>
      <w:pPr>
        <w:pStyle w:val="Heading4"/>
        <w:spacing w:line="234" w:lineRule="exact"/>
        <w:ind w:left="409"/>
      </w:pPr>
      <w:r>
        <w:rPr/>
        <w:br w:type="column"/>
      </w:r>
      <w:r>
        <w:rPr/>
        <w:t>yields was particularly sharp, primarily reflecting lower</w:t>
      </w:r>
    </w:p>
    <w:p>
      <w:pPr>
        <w:spacing w:after="0" w:line="234" w:lineRule="exact"/>
        <w:sectPr>
          <w:type w:val="continuous"/>
          <w:pgSz w:w="11900" w:h="16840"/>
          <w:pgMar w:top="1220" w:bottom="280" w:left="640" w:right="600"/>
          <w:cols w:num="3" w:equalWidth="0">
            <w:col w:w="2444" w:space="40"/>
            <w:col w:w="1320" w:space="746"/>
            <w:col w:w="6110"/>
          </w:cols>
        </w:sectPr>
      </w:pPr>
    </w:p>
    <w:p>
      <w:pPr>
        <w:spacing w:line="133" w:lineRule="exact" w:before="0"/>
        <w:ind w:left="409" w:right="0" w:firstLine="0"/>
        <w:jc w:val="left"/>
        <w:rPr>
          <w:sz w:val="12"/>
        </w:rPr>
      </w:pPr>
      <w:r>
        <w:rPr>
          <w:sz w:val="12"/>
        </w:rPr>
        <w:t>Five years ahead</w:t>
      </w:r>
    </w:p>
    <w:p>
      <w:pPr>
        <w:pStyle w:val="BodyText"/>
        <w:spacing w:before="4"/>
        <w:rPr>
          <w:sz w:val="8"/>
        </w:rPr>
      </w:pPr>
    </w:p>
    <w:p>
      <w:pPr>
        <w:pStyle w:val="BodyText"/>
        <w:spacing w:line="20" w:lineRule="exact"/>
        <w:ind w:left="270"/>
        <w:rPr>
          <w:sz w:val="2"/>
        </w:rPr>
      </w:pPr>
      <w:r>
        <w:rPr>
          <w:sz w:val="2"/>
        </w:rPr>
        <w:pict>
          <v:group style="width:4pt;height:.5pt;mso-position-horizontal-relative:char;mso-position-vertical-relative:line" coordorigin="0,0" coordsize="80,10">
            <v:line style="position:absolute" from="0,5" to="80,5" stroked="true" strokeweight=".5pt" strokecolor="#000000">
              <v:stroke dashstyle="solid"/>
            </v:line>
          </v:group>
        </w:pict>
      </w:r>
      <w:r>
        <w:rPr>
          <w:sz w:val="2"/>
        </w:rPr>
      </w:r>
    </w:p>
    <w:p>
      <w:pPr>
        <w:pStyle w:val="BodyText"/>
        <w:spacing w:before="2"/>
        <w:rPr>
          <w:sz w:val="19"/>
        </w:rPr>
      </w:pPr>
      <w:r>
        <w:rPr/>
        <w:pict>
          <v:shape style="position:absolute;margin-left:45.779999pt;margin-top:13.265546pt;width:4pt;height:.1pt;mso-position-horizontal-relative:page;mso-position-vertical-relative:paragraph;z-index:-15600128;mso-wrap-distance-left:0;mso-wrap-distance-right:0" coordorigin="916,265" coordsize="80,0" path="m916,265l996,265e" filled="false" stroked="true" strokeweight=".5pt" strokecolor="#000000">
            <v:path arrowok="t"/>
            <v:stroke dashstyle="solid"/>
            <w10:wrap type="topAndBottom"/>
          </v:shape>
        </w:pict>
      </w:r>
      <w:r>
        <w:rPr/>
        <w:pict>
          <v:shape style="position:absolute;margin-left:45.779999pt;margin-top:27.265545pt;width:4pt;height:.1pt;mso-position-horizontal-relative:page;mso-position-vertical-relative:paragraph;z-index:-15599616;mso-wrap-distance-left:0;mso-wrap-distance-right:0" coordorigin="916,545" coordsize="80,0" path="m916,545l996,545e" filled="false" stroked="true" strokeweight=".5pt" strokecolor="#000000">
            <v:path arrowok="t"/>
            <v:stroke dashstyle="solid"/>
            <w10:wrap type="topAndBottom"/>
          </v:shape>
        </w:pict>
      </w:r>
    </w:p>
    <w:p>
      <w:pPr>
        <w:pStyle w:val="BodyText"/>
        <w:spacing w:before="6"/>
        <w:rPr>
          <w:sz w:val="17"/>
        </w:rPr>
      </w:pPr>
    </w:p>
    <w:p>
      <w:pPr>
        <w:spacing w:line="133" w:lineRule="exact" w:before="0"/>
        <w:ind w:left="333" w:right="0" w:firstLine="0"/>
        <w:jc w:val="left"/>
        <w:rPr>
          <w:sz w:val="12"/>
        </w:rPr>
      </w:pPr>
      <w:r>
        <w:rPr/>
        <w:br w:type="column"/>
      </w:r>
      <w:r>
        <w:rPr>
          <w:sz w:val="12"/>
        </w:rPr>
        <w:t>Ten years ahead</w:t>
      </w:r>
    </w:p>
    <w:p>
      <w:pPr>
        <w:spacing w:before="85"/>
        <w:ind w:left="409" w:right="0" w:firstLine="0"/>
        <w:jc w:val="left"/>
        <w:rPr>
          <w:sz w:val="12"/>
        </w:rPr>
      </w:pPr>
      <w:r>
        <w:rPr/>
        <w:br w:type="column"/>
      </w:r>
      <w:r>
        <w:rPr>
          <w:sz w:val="12"/>
        </w:rPr>
        <w:t>1990 =</w:t>
      </w:r>
      <w:r>
        <w:rPr>
          <w:spacing w:val="9"/>
          <w:sz w:val="12"/>
        </w:rPr>
        <w:t> </w:t>
      </w:r>
      <w:r>
        <w:rPr>
          <w:sz w:val="12"/>
        </w:rPr>
        <w:t>100</w:t>
      </w:r>
      <w:r>
        <w:rPr>
          <w:position w:val="-6"/>
          <w:sz w:val="12"/>
        </w:rPr>
        <w:t>110</w:t>
      </w:r>
    </w:p>
    <w:p>
      <w:pPr>
        <w:spacing w:before="139"/>
        <w:ind w:left="0" w:right="38" w:firstLine="0"/>
        <w:jc w:val="right"/>
        <w:rPr>
          <w:sz w:val="12"/>
        </w:rPr>
      </w:pPr>
      <w:r>
        <w:rPr/>
        <w:pict>
          <v:line style="position:absolute;mso-position-horizontal-relative:page;mso-position-vertical-relative:paragraph;z-index:-21152768" from="206.779999pt,-2.948224pt" to="210.779999pt,-2.948224pt" stroked="true" strokeweight=".5pt" strokecolor="#000000">
            <v:stroke dashstyle="solid"/>
            <w10:wrap type="none"/>
          </v:line>
        </w:pict>
      </w:r>
      <w:r>
        <w:rPr/>
        <w:pict>
          <v:line style="position:absolute;mso-position-horizontal-relative:page;mso-position-vertical-relative:paragraph;z-index:15865856" from="206.779999pt,11.051776pt" to="210.779999pt,11.051776pt" stroked="true" strokeweight=".5pt" strokecolor="#000000">
            <v:stroke dashstyle="solid"/>
            <w10:wrap type="none"/>
          </v:line>
        </w:pict>
      </w:r>
      <w:r>
        <w:rPr>
          <w:sz w:val="12"/>
        </w:rPr>
        <w:t>108</w:t>
      </w:r>
    </w:p>
    <w:p>
      <w:pPr>
        <w:pStyle w:val="BodyText"/>
        <w:spacing w:before="4"/>
        <w:rPr>
          <w:sz w:val="12"/>
        </w:rPr>
      </w:pPr>
    </w:p>
    <w:p>
      <w:pPr>
        <w:spacing w:before="0"/>
        <w:ind w:left="0" w:right="38" w:firstLine="0"/>
        <w:jc w:val="right"/>
        <w:rPr>
          <w:sz w:val="12"/>
        </w:rPr>
      </w:pPr>
      <w:r>
        <w:rPr/>
        <w:pict>
          <v:line style="position:absolute;mso-position-horizontal-relative:page;mso-position-vertical-relative:paragraph;z-index:15866368" from="206.779999pt,4.101959pt" to="210.779999pt,4.101959pt" stroked="true" strokeweight=".5pt" strokecolor="#000000">
            <v:stroke dashstyle="solid"/>
            <w10:wrap type="none"/>
          </v:line>
        </w:pict>
      </w:r>
      <w:r>
        <w:rPr>
          <w:sz w:val="12"/>
        </w:rPr>
        <w:t>106</w:t>
      </w:r>
    </w:p>
    <w:p>
      <w:pPr>
        <w:pStyle w:val="BodyText"/>
        <w:spacing w:before="7"/>
        <w:rPr>
          <w:sz w:val="10"/>
        </w:rPr>
      </w:pPr>
    </w:p>
    <w:p>
      <w:pPr>
        <w:spacing w:before="0"/>
        <w:ind w:left="0" w:right="38" w:firstLine="0"/>
        <w:jc w:val="right"/>
        <w:rPr>
          <w:sz w:val="12"/>
        </w:rPr>
      </w:pPr>
      <w:r>
        <w:rPr/>
        <w:pict>
          <v:group style="position:absolute;margin-left:45.779999pt;margin-top:3.601776pt;width:165pt;height:92.95pt;mso-position-horizontal-relative:page;mso-position-vertical-relative:paragraph;z-index:15864320" coordorigin="916,72" coordsize="3300,1859">
            <v:shape style="position:absolute;left:1055;top:82;width:2880;height:1520" coordorigin="1056,82" coordsize="2880,1520" path="m1056,82l1136,222,1196,342,1336,582,2496,1322,3936,1602e" filled="false" stroked="true" strokeweight="1pt" strokecolor="#0066a5">
              <v:path arrowok="t"/>
              <v:stroke dashstyle="solid"/>
            </v:shape>
            <v:shape style="position:absolute;left:1135;top:722;width:2860;height:1160" coordorigin="1136,722" coordsize="2860,1160" path="m1136,722l1196,822,1276,922,1416,1102,2556,1482,3996,1882e" filled="false" stroked="true" strokeweight="1pt" strokecolor="#ed1b2d">
              <v:path arrowok="t"/>
              <v:stroke dashstyle="solid"/>
            </v:shape>
            <v:shape style="position:absolute;left:1195;top:242;width:2880;height:660" coordorigin="1196,242" coordsize="2880,660" path="m1196,602l1276,682,1346,762,1496,882,2636,902,4076,242e" filled="false" stroked="true" strokeweight="1pt" strokecolor="#faab54">
              <v:path arrowok="t"/>
              <v:stroke dashstyle="solid"/>
            </v:shape>
            <v:shape style="position:absolute;left:1140;top:801;width:107;height:94" coordorigin="1141,801" coordsize="107,94" path="m1247,801l1141,801,1194,895,1247,801xe" filled="true" fillcolor="#b5e1e1" stroked="false">
              <v:path arrowok="t"/>
              <v:fill type="solid"/>
            </v:shape>
            <v:shape style="position:absolute;left:1140;top:801;width:107;height:94" coordorigin="1141,801" coordsize="107,94" path="m1141,801l1247,801,1194,895,1141,801xe" filled="false" stroked="true" strokeweight=".5pt" strokecolor="#000000">
              <v:path arrowok="t"/>
              <v:stroke dashstyle="solid"/>
            </v:shape>
            <v:shape style="position:absolute;left:1217;top:648;width:107;height:94" coordorigin="1217,649" coordsize="107,94" path="m1324,649l1217,649,1271,742,1324,649xe" filled="true" fillcolor="#b5e1e1" stroked="false">
              <v:path arrowok="t"/>
              <v:fill type="solid"/>
            </v:shape>
            <v:shape style="position:absolute;left:1217;top:648;width:107;height:94" coordorigin="1217,649" coordsize="107,94" path="m1217,649l1324,649,1271,742,1217,649xe" filled="false" stroked="true" strokeweight=".5pt" strokecolor="#000000">
              <v:path arrowok="t"/>
              <v:stroke dashstyle="solid"/>
            </v:shape>
            <v:shape style="position:absolute;left:1080;top:185;width:107;height:94" coordorigin="1081,185" coordsize="107,94" path="m1187,185l1081,185,1134,279,1187,185xe" filled="true" fillcolor="#b5e1e1" stroked="false">
              <v:path arrowok="t"/>
              <v:fill type="solid"/>
            </v:shape>
            <v:shape style="position:absolute;left:1080;top:185;width:107;height:94" coordorigin="1081,185" coordsize="107,94" path="m1081,185l1187,185,1134,279,1081,185xe" filled="false" stroked="true" strokeweight=".5pt" strokecolor="#000000">
              <v:path arrowok="t"/>
              <v:stroke dashstyle="solid"/>
            </v:shape>
            <v:shape style="position:absolute;left:1219;top:875;width:114;height:114" coordorigin="1219,875" coordsize="114,114" path="m1276,875l1219,932,1276,989,1332,932,1276,875xe" filled="true" fillcolor="#a790c4" stroked="false">
              <v:path arrowok="t"/>
              <v:fill type="solid"/>
            </v:shape>
            <v:shape style="position:absolute;left:1219;top:875;width:114;height:114" coordorigin="1219,875" coordsize="114,114" path="m1276,989l1332,932,1276,875,1219,932,1276,989xe" filled="false" stroked="true" strokeweight=".5pt" strokecolor="#000000">
              <v:path arrowok="t"/>
              <v:stroke dashstyle="solid"/>
            </v:shape>
            <v:shape style="position:absolute;left:1282;top:695;width:114;height:114" coordorigin="1282,695" coordsize="114,114" path="m1339,695l1282,752,1339,809,1395,752,1339,695xe" filled="true" fillcolor="#a790c4" stroked="false">
              <v:path arrowok="t"/>
              <v:fill type="solid"/>
            </v:shape>
            <v:shape style="position:absolute;left:1282;top:695;width:114;height:114" coordorigin="1282,695" coordsize="114,114" path="m1339,809l1395,752,1339,695,1282,752,1339,809xe" filled="false" stroked="true" strokeweight=".5pt" strokecolor="#000000">
              <v:path arrowok="t"/>
              <v:stroke dashstyle="solid"/>
            </v:shape>
            <v:shape style="position:absolute;left:1134;top:282;width:114;height:114" coordorigin="1134,282" coordsize="114,114" path="m1191,282l1134,339,1191,395,1247,339,1191,282xe" filled="true" fillcolor="#a790c4" stroked="false">
              <v:path arrowok="t"/>
              <v:fill type="solid"/>
            </v:shape>
            <v:shape style="position:absolute;left:1134;top:282;width:114;height:114" coordorigin="1134,282" coordsize="114,114" path="m1191,395l1247,339,1191,282,1134,339,1191,395xe" filled="false" stroked="true" strokeweight=".5pt" strokecolor="#000000">
              <v:path arrowok="t"/>
              <v:stroke dashstyle="solid"/>
            </v:shape>
            <v:rect style="position:absolute;left:1293;top:548;width:80;height:80" filled="true" fillcolor="#edc5dd" stroked="false">
              <v:fill type="solid"/>
            </v:rect>
            <v:rect style="position:absolute;left:1293;top:548;width:80;height:80" filled="false" stroked="true" strokeweight=".5pt" strokecolor="#000000">
              <v:stroke dashstyle="solid"/>
            </v:rect>
            <v:rect style="position:absolute;left:1377;top:1058;width:80;height:80" filled="true" fillcolor="#edc5dd" stroked="false">
              <v:fill type="solid"/>
            </v:rect>
            <v:rect style="position:absolute;left:1377;top:1058;width:80;height:80" filled="false" stroked="true" strokeweight=".5pt" strokecolor="#000000">
              <v:stroke dashstyle="solid"/>
            </v:rect>
            <v:shape style="position:absolute;left:2584;top:859;width:85;height:85" coordorigin="2585,860" coordsize="85,85" path="m2627,860l2611,863,2597,872,2588,886,2585,902,2588,919,2597,932,2611,941,2627,944,2644,941,2657,932,2666,919,2670,902,2666,886,2657,872,2644,863,2627,860xe" filled="true" fillcolor="#ed1b2d" stroked="false">
              <v:path arrowok="t"/>
              <v:fill type="solid"/>
            </v:shape>
            <v:shape style="position:absolute;left:2584;top:859;width:85;height:85" coordorigin="2585,860" coordsize="85,85" path="m2627,944l2644,941,2657,932,2666,919,2670,902,2666,886,2657,872,2644,863,2627,860,2611,863,2597,872,2588,886,2585,902,2588,919,2597,932,2611,941,2627,944xe" filled="false" stroked="true" strokeweight=".5pt" strokecolor="#000000">
              <v:path arrowok="t"/>
              <v:stroke dashstyle="solid"/>
            </v:shape>
            <v:shape style="position:absolute;left:2438;top:1266;width:85;height:85" coordorigin="2438,1266" coordsize="85,85" path="m2481,1266l2464,1270,2451,1279,2442,1292,2438,1309,2442,1325,2451,1339,2464,1348,2481,1351,2497,1348,2511,1339,2520,1325,2523,1309,2520,1292,2511,1279,2497,1270,2481,1266xe" filled="true" fillcolor="#ed1b2d" stroked="false">
              <v:path arrowok="t"/>
              <v:fill type="solid"/>
            </v:shape>
            <v:shape style="position:absolute;left:2438;top:1266;width:85;height:85" coordorigin="2438,1266" coordsize="85,85" path="m2481,1351l2497,1348,2511,1339,2520,1325,2523,1309,2520,1292,2511,1279,2497,1270,2481,1266,2464,1270,2451,1279,2442,1292,2438,1309,2442,1325,2451,1339,2464,1348,2481,1351xe" filled="false" stroked="true" strokeweight=".5pt" strokecolor="#000000">
              <v:path arrowok="t"/>
              <v:stroke dashstyle="solid"/>
            </v:shape>
            <v:shape style="position:absolute;left:2503;top:1436;width:85;height:85" coordorigin="2503,1436" coordsize="85,85" path="m2546,1436l2529,1440,2516,1449,2507,1462,2503,1479,2507,1495,2516,1509,2529,1518,2546,1521,2562,1518,2576,1509,2585,1495,2588,1479,2585,1462,2576,1449,2562,1440,2546,1436xe" filled="true" fillcolor="#ed1b2d" stroked="false">
              <v:path arrowok="t"/>
              <v:fill type="solid"/>
            </v:shape>
            <v:shape style="position:absolute;left:915;top:82;width:3300;height:1640" coordorigin="916,82" coordsize="3300,1640" path="m2546,1521l2562,1518,2576,1509,2585,1495,2588,1479,2585,1462,2576,1449,2562,1440,2546,1436,2529,1440,2516,1449,2507,1462,2503,1479,2507,1495,2516,1509,2529,1518,2546,1521xm4136,82l4216,82m4136,362l4216,362m4136,642l4216,642m4136,902l4216,902m4136,1182l4216,1182m4136,1462l4216,1462m4136,1722l4216,1722m916,82l996,82m916,362l996,362m916,642l996,642m916,902l996,902m916,1182l996,1182m916,1462l996,1462m916,1722l996,1722e" filled="false" stroked="true" strokeweight=".5pt" strokecolor="#000000">
              <v:path arrowok="t"/>
              <v:stroke dashstyle="solid"/>
            </v:shape>
            <v:shape style="position:absolute;left:4038;top:209;width:77;height:77" coordorigin="4039,210" coordsize="77,77" path="m4116,210l4039,286e" filled="true" fillcolor="#ed1b2d" stroked="false">
              <v:path arrowok="t"/>
              <v:fill type="solid"/>
            </v:shape>
            <v:line style="position:absolute" from="4039,286" to="4116,210" stroked="true" strokeweight=".5pt" strokecolor="#ed1b2d">
              <v:stroke dashstyle="solid"/>
            </v:line>
            <v:shape style="position:absolute;left:4035;top:202;width:84;height:84" coordorigin="4036,203" coordsize="84,84" path="m4036,203l4119,286e" filled="true" fillcolor="#ed1b2d" stroked="false">
              <v:path arrowok="t"/>
              <v:fill type="solid"/>
            </v:shape>
            <v:line style="position:absolute" from="4036,203" to="4119,286" stroked="true" strokeweight=".5pt" strokecolor="#ed1b2d">
              <v:stroke dashstyle="solid"/>
            </v:line>
            <v:shape style="position:absolute;left:3955;top:1849;width:77;height:77" coordorigin="3956,1849" coordsize="77,77" path="m4032,1849l3956,1926e" filled="true" fillcolor="#ed1b2d" stroked="false">
              <v:path arrowok="t"/>
              <v:fill type="solid"/>
            </v:shape>
            <v:line style="position:absolute" from="3956,1926" to="4032,1849" stroked="true" strokeweight=".5pt" strokecolor="#ed1b2d">
              <v:stroke dashstyle="solid"/>
            </v:line>
            <v:shape style="position:absolute;left:3952;top:1842;width:84;height:84" coordorigin="3952,1842" coordsize="84,84" path="m3952,1842l4036,1926e" filled="true" fillcolor="#ed1b2d" stroked="false">
              <v:path arrowok="t"/>
              <v:fill type="solid"/>
            </v:shape>
            <v:line style="position:absolute" from="3952,1842" to="4036,1926" stroked="true" strokeweight=".5pt" strokecolor="#ed1b2d">
              <v:stroke dashstyle="solid"/>
            </v:line>
            <v:shape style="position:absolute;left:3900;top:1562;width:77;height:77" coordorigin="3901,1562" coordsize="77,77" path="m3977,1562l3901,1639e" filled="true" fillcolor="#ed1b2d" stroked="false">
              <v:path arrowok="t"/>
              <v:fill type="solid"/>
            </v:shape>
            <v:line style="position:absolute" from="3901,1639" to="3977,1562" stroked="true" strokeweight=".5pt" strokecolor="#ed1b2d">
              <v:stroke dashstyle="solid"/>
            </v:line>
            <v:shape style="position:absolute;left:3897;top:1555;width:84;height:84" coordorigin="3897,1555" coordsize="84,84" path="m3897,1555l3981,1639e" filled="true" fillcolor="#ed1b2d" stroked="false">
              <v:path arrowok="t"/>
              <v:fill type="solid"/>
            </v:shape>
            <v:line style="position:absolute" from="3897,1555" to="3981,1639" stroked="true" strokeweight=".5pt" strokecolor="#ed1b2d">
              <v:stroke dashstyle="solid"/>
            </v:line>
            <v:rect style="position:absolute;left:1457;top:835;width:80;height:80" filled="true" fillcolor="#edc5dd" stroked="false">
              <v:fill type="solid"/>
            </v:rect>
            <v:rect style="position:absolute;left:1457;top:835;width:80;height:80" filled="false" stroked="true" strokeweight=".5pt" strokecolor="#000000">
              <v:stroke dashstyle="solid"/>
            </v:rect>
            <v:shape style="position:absolute;left:915;top:72;width:3300;height:1859" type="#_x0000_t202" filled="false" stroked="false">
              <v:textbox inset="0,0,0,0">
                <w:txbxContent>
                  <w:p>
                    <w:pPr>
                      <w:spacing w:line="240" w:lineRule="auto" w:before="0"/>
                      <w:rPr>
                        <w:sz w:val="12"/>
                      </w:rPr>
                    </w:pPr>
                  </w:p>
                  <w:p>
                    <w:pPr>
                      <w:spacing w:line="240" w:lineRule="auto" w:before="0"/>
                      <w:rPr>
                        <w:sz w:val="12"/>
                      </w:rPr>
                    </w:pPr>
                  </w:p>
                  <w:p>
                    <w:pPr>
                      <w:spacing w:line="240" w:lineRule="auto" w:before="0"/>
                      <w:rPr>
                        <w:sz w:val="12"/>
                      </w:rPr>
                    </w:pPr>
                  </w:p>
                  <w:p>
                    <w:pPr>
                      <w:spacing w:line="240" w:lineRule="auto" w:before="0"/>
                      <w:rPr>
                        <w:sz w:val="12"/>
                      </w:rPr>
                    </w:pPr>
                  </w:p>
                  <w:p>
                    <w:pPr>
                      <w:spacing w:before="76"/>
                      <w:ind w:left="1270" w:right="0" w:firstLine="0"/>
                      <w:jc w:val="left"/>
                      <w:rPr>
                        <w:sz w:val="12"/>
                      </w:rPr>
                    </w:pPr>
                    <w:r>
                      <w:rPr>
                        <w:sz w:val="12"/>
                      </w:rPr>
                      <w:t>3 February</w:t>
                    </w:r>
                  </w:p>
                  <w:p>
                    <w:pPr>
                      <w:spacing w:line="240" w:lineRule="auto" w:before="0"/>
                      <w:rPr>
                        <w:sz w:val="12"/>
                      </w:rPr>
                    </w:pPr>
                  </w:p>
                  <w:p>
                    <w:pPr>
                      <w:spacing w:line="240" w:lineRule="auto" w:before="0"/>
                      <w:rPr>
                        <w:sz w:val="12"/>
                      </w:rPr>
                    </w:pPr>
                  </w:p>
                  <w:p>
                    <w:pPr>
                      <w:spacing w:before="82"/>
                      <w:ind w:left="1673" w:right="1150" w:firstLine="0"/>
                      <w:jc w:val="center"/>
                      <w:rPr>
                        <w:sz w:val="12"/>
                      </w:rPr>
                    </w:pPr>
                    <w:r>
                      <w:rPr>
                        <w:sz w:val="12"/>
                      </w:rPr>
                      <w:t>5 August</w:t>
                    </w:r>
                  </w:p>
                  <w:p>
                    <w:pPr>
                      <w:spacing w:line="240" w:lineRule="auto" w:before="0"/>
                      <w:rPr>
                        <w:sz w:val="12"/>
                      </w:rPr>
                    </w:pPr>
                  </w:p>
                  <w:p>
                    <w:pPr>
                      <w:spacing w:before="71"/>
                      <w:ind w:left="1316" w:right="0" w:firstLine="0"/>
                      <w:jc w:val="left"/>
                      <w:rPr>
                        <w:sz w:val="12"/>
                      </w:rPr>
                    </w:pPr>
                    <w:r>
                      <w:rPr>
                        <w:sz w:val="12"/>
                      </w:rPr>
                      <w:t>4 November</w:t>
                    </w:r>
                  </w:p>
                </w:txbxContent>
              </v:textbox>
              <w10:wrap type="none"/>
            </v:shape>
            <w10:wrap type="none"/>
          </v:group>
        </w:pict>
      </w:r>
      <w:r>
        <w:rPr>
          <w:sz w:val="12"/>
        </w:rPr>
        <w:t>104</w:t>
      </w:r>
    </w:p>
    <w:p>
      <w:pPr>
        <w:pStyle w:val="BodyText"/>
        <w:spacing w:before="4"/>
        <w:rPr>
          <w:sz w:val="12"/>
        </w:rPr>
      </w:pPr>
    </w:p>
    <w:p>
      <w:pPr>
        <w:spacing w:before="0"/>
        <w:ind w:left="0" w:right="38" w:firstLine="0"/>
        <w:jc w:val="right"/>
        <w:rPr>
          <w:sz w:val="12"/>
        </w:rPr>
      </w:pPr>
      <w:r>
        <w:rPr>
          <w:sz w:val="12"/>
        </w:rPr>
        <w:t>102</w:t>
      </w:r>
    </w:p>
    <w:p>
      <w:pPr>
        <w:pStyle w:val="BodyText"/>
        <w:spacing w:before="4"/>
        <w:rPr>
          <w:sz w:val="12"/>
        </w:rPr>
      </w:pPr>
    </w:p>
    <w:p>
      <w:pPr>
        <w:spacing w:before="0"/>
        <w:ind w:left="0" w:right="38" w:firstLine="0"/>
        <w:jc w:val="right"/>
        <w:rPr>
          <w:sz w:val="12"/>
        </w:rPr>
      </w:pPr>
      <w:r>
        <w:rPr>
          <w:sz w:val="12"/>
        </w:rPr>
        <w:t>100</w:t>
      </w:r>
    </w:p>
    <w:p>
      <w:pPr>
        <w:pStyle w:val="BodyText"/>
        <w:spacing w:before="7"/>
        <w:rPr>
          <w:sz w:val="10"/>
        </w:rPr>
      </w:pPr>
    </w:p>
    <w:p>
      <w:pPr>
        <w:spacing w:before="0"/>
        <w:ind w:left="0" w:right="38" w:firstLine="0"/>
        <w:jc w:val="right"/>
        <w:rPr>
          <w:sz w:val="12"/>
        </w:rPr>
      </w:pPr>
      <w:r>
        <w:rPr>
          <w:sz w:val="12"/>
        </w:rPr>
        <w:t>98</w:t>
      </w:r>
    </w:p>
    <w:p>
      <w:pPr>
        <w:pStyle w:val="BodyText"/>
        <w:spacing w:before="4"/>
        <w:rPr>
          <w:sz w:val="12"/>
        </w:rPr>
      </w:pPr>
    </w:p>
    <w:p>
      <w:pPr>
        <w:spacing w:before="0"/>
        <w:ind w:left="0" w:right="38" w:firstLine="0"/>
        <w:jc w:val="right"/>
        <w:rPr>
          <w:sz w:val="12"/>
        </w:rPr>
      </w:pPr>
      <w:r>
        <w:rPr>
          <w:sz w:val="12"/>
        </w:rPr>
        <w:t>96</w:t>
      </w:r>
    </w:p>
    <w:p>
      <w:pPr>
        <w:pStyle w:val="BodyText"/>
        <w:spacing w:before="4"/>
        <w:rPr>
          <w:sz w:val="12"/>
        </w:rPr>
      </w:pPr>
    </w:p>
    <w:p>
      <w:pPr>
        <w:spacing w:before="0"/>
        <w:ind w:left="0" w:right="38" w:firstLine="0"/>
        <w:jc w:val="right"/>
        <w:rPr>
          <w:sz w:val="12"/>
        </w:rPr>
      </w:pPr>
      <w:r>
        <w:rPr>
          <w:sz w:val="12"/>
        </w:rPr>
        <w:t>94</w:t>
      </w:r>
    </w:p>
    <w:p>
      <w:pPr>
        <w:pStyle w:val="Heading4"/>
        <w:spacing w:line="242" w:lineRule="auto" w:before="36"/>
        <w:ind w:left="409"/>
      </w:pPr>
      <w:r>
        <w:rPr/>
        <w:br w:type="column"/>
      </w:r>
      <w:r>
        <w:rPr/>
        <w:t>real yields, the reasons for which remain something of a puzzle. The exchange rate was little changed since the November </w:t>
      </w:r>
      <w:r>
        <w:rPr>
          <w:i/>
        </w:rPr>
        <w:t>Report</w:t>
      </w:r>
      <w:r>
        <w:rPr/>
        <w:t>, but is expected to depreciate up to the forecast horizon.</w:t>
      </w:r>
    </w:p>
    <w:p>
      <w:pPr>
        <w:spacing w:after="0" w:line="242" w:lineRule="auto"/>
        <w:sectPr>
          <w:type w:val="continuous"/>
          <w:pgSz w:w="11900" w:h="16840"/>
          <w:pgMar w:top="1220" w:bottom="280" w:left="640" w:right="600"/>
          <w:cols w:num="4" w:equalWidth="0">
            <w:col w:w="1217" w:space="40"/>
            <w:col w:w="1154" w:space="218"/>
            <w:col w:w="1187" w:space="734"/>
            <w:col w:w="6110"/>
          </w:cols>
        </w:sectPr>
      </w:pPr>
    </w:p>
    <w:p>
      <w:pPr>
        <w:pStyle w:val="BodyText"/>
        <w:rPr>
          <w:sz w:val="20"/>
        </w:rPr>
      </w:pPr>
    </w:p>
    <w:p>
      <w:pPr>
        <w:pStyle w:val="BodyText"/>
        <w:spacing w:before="7" w:after="1"/>
        <w:rPr>
          <w:sz w:val="21"/>
        </w:rPr>
      </w:pPr>
    </w:p>
    <w:p>
      <w:pPr>
        <w:pStyle w:val="BodyText"/>
        <w:spacing w:line="20" w:lineRule="exact"/>
        <w:ind w:left="270"/>
        <w:rPr>
          <w:sz w:val="2"/>
        </w:rPr>
      </w:pPr>
      <w:r>
        <w:rPr>
          <w:sz w:val="2"/>
        </w:rPr>
        <w:pict>
          <v:group style="width:4pt;height:.5pt;mso-position-horizontal-relative:char;mso-position-vertical-relative:line" coordorigin="0,0" coordsize="80,10">
            <v:line style="position:absolute" from="0,5" to="80,5" stroked="true" strokeweight=".5pt" strokecolor="#000000">
              <v:stroke dashstyle="solid"/>
            </v:line>
          </v:group>
        </w:pict>
      </w:r>
      <w:r>
        <w:rPr>
          <w:sz w:val="2"/>
        </w:rPr>
      </w:r>
    </w:p>
    <w:p>
      <w:pPr>
        <w:pStyle w:val="BodyText"/>
        <w:rPr>
          <w:sz w:val="12"/>
        </w:rPr>
      </w:pPr>
    </w:p>
    <w:p>
      <w:pPr>
        <w:pStyle w:val="BodyText"/>
        <w:spacing w:before="9"/>
        <w:rPr>
          <w:sz w:val="10"/>
        </w:rPr>
      </w:pPr>
    </w:p>
    <w:p>
      <w:pPr>
        <w:tabs>
          <w:tab w:pos="685" w:val="left" w:leader="none"/>
          <w:tab w:pos="965" w:val="left" w:leader="none"/>
        </w:tabs>
        <w:spacing w:before="1"/>
        <w:ind w:left="405" w:right="0" w:firstLine="0"/>
        <w:jc w:val="left"/>
        <w:rPr>
          <w:sz w:val="12"/>
        </w:rPr>
      </w:pPr>
      <w:r>
        <w:rPr>
          <w:sz w:val="12"/>
        </w:rPr>
        <w:t>1</w:t>
        <w:tab/>
        <w:t>5</w:t>
        <w:tab/>
        <w:t>9 13 17</w:t>
      </w:r>
      <w:r>
        <w:rPr>
          <w:spacing w:val="10"/>
          <w:sz w:val="12"/>
        </w:rPr>
        <w:t> </w:t>
      </w:r>
      <w:r>
        <w:rPr>
          <w:spacing w:val="-10"/>
          <w:sz w:val="12"/>
        </w:rPr>
        <w:t>21</w:t>
      </w:r>
    </w:p>
    <w:p>
      <w:pPr>
        <w:pStyle w:val="BodyText"/>
        <w:spacing w:before="4"/>
        <w:rPr>
          <w:sz w:val="12"/>
        </w:rPr>
      </w:pPr>
      <w:r>
        <w:rPr/>
        <w:br w:type="column"/>
      </w:r>
      <w:r>
        <w:rPr>
          <w:sz w:val="12"/>
        </w:rPr>
      </w:r>
    </w:p>
    <w:p>
      <w:pPr>
        <w:spacing w:before="0"/>
        <w:ind w:left="1709" w:right="0" w:firstLine="0"/>
        <w:jc w:val="left"/>
        <w:rPr>
          <w:sz w:val="12"/>
        </w:rPr>
      </w:pPr>
      <w:r>
        <w:rPr>
          <w:sz w:val="12"/>
        </w:rPr>
        <w:t>92</w:t>
      </w:r>
    </w:p>
    <w:p>
      <w:pPr>
        <w:pStyle w:val="BodyText"/>
        <w:spacing w:before="7"/>
        <w:rPr>
          <w:sz w:val="10"/>
        </w:rPr>
      </w:pPr>
    </w:p>
    <w:p>
      <w:pPr>
        <w:spacing w:before="0"/>
        <w:ind w:left="1709" w:right="0" w:firstLine="0"/>
        <w:jc w:val="left"/>
        <w:rPr>
          <w:sz w:val="12"/>
        </w:rPr>
      </w:pPr>
      <w:r>
        <w:rPr/>
        <w:pict>
          <v:line style="position:absolute;mso-position-horizontal-relative:page;mso-position-vertical-relative:paragraph;z-index:15866880" from="206.779999pt,4.102356pt" to="210.779999pt,4.102356pt" stroked="true" strokeweight=".5pt" strokecolor="#000000">
            <v:stroke dashstyle="solid"/>
            <w10:wrap type="none"/>
          </v:line>
        </w:pict>
      </w:r>
      <w:r>
        <w:rPr>
          <w:sz w:val="12"/>
        </w:rPr>
        <w:t>90</w:t>
      </w:r>
    </w:p>
    <w:p>
      <w:pPr>
        <w:pStyle w:val="BodyText"/>
        <w:spacing w:before="4"/>
        <w:rPr>
          <w:sz w:val="12"/>
        </w:rPr>
      </w:pPr>
    </w:p>
    <w:p>
      <w:pPr>
        <w:tabs>
          <w:tab w:pos="1709" w:val="left" w:leader="none"/>
        </w:tabs>
        <w:spacing w:before="0"/>
        <w:ind w:left="140" w:right="0" w:firstLine="0"/>
        <w:jc w:val="left"/>
        <w:rPr>
          <w:sz w:val="12"/>
        </w:rPr>
      </w:pPr>
      <w:r>
        <w:rPr/>
        <w:pict>
          <v:shape style="position:absolute;margin-left:45.779999pt;margin-top:-.897644pt;width:165pt;height:5pt;mso-position-horizontal-relative:page;mso-position-vertical-relative:paragraph;z-index:-21153280" coordorigin="916,-18" coordsize="3300,100" path="m3916,-18l3916,82m3636,-18l3636,82m3356,-18l3356,82m2776,-18l2776,82m2496,-18l2496,82m2196,-18l2196,82m1916,-18l1916,82m1636,-18l1636,82m1336,-18l1336,82m1056,-18l1056,82m1126,82l1126,22m1196,82l1196,22m1266,82l1266,22m1411,82l1411,22m1486,82l1486,22m1561,82l1561,22m1706,82l1706,22m1776,82l1776,22m1846,82l1846,22m1986,82l1986,22m2056,82l2056,22m2126,82l2126,22m2271,82l2271,22m2346,82l2346,22m2421,82l2421,22m2566,82l2566,22m2636,82l2636,22m2706,82l2706,22m2846,82l2846,22m2916,82l2916,22m3056,-18l3056,82m2986,82l2986,22m3131,82l3131,22m3206,82l3206,22m3281,82l3281,22m3426,82l3426,22m3496,82l3496,22m3566,82l3566,22m3706,82l3706,22m3776,82l3776,22m3846,82l3846,22m3986,82l3986,22m1056,82l3996,82m3986,82l3986,22m4056,82l4056,22m1056,82l4076,82m4136,82l4216,82m916,82l996,82e" filled="false" stroked="true" strokeweight=".5pt" strokecolor="#000000">
            <v:path arrowok="t"/>
            <v:stroke dashstyle="solid"/>
            <w10:wrap type="none"/>
          </v:shape>
        </w:pict>
      </w:r>
      <w:r>
        <w:rPr>
          <w:sz w:val="12"/>
        </w:rPr>
        <w:t>25      29     33    </w:t>
      </w:r>
      <w:r>
        <w:rPr>
          <w:spacing w:val="18"/>
          <w:sz w:val="12"/>
        </w:rPr>
        <w:t> </w:t>
      </w:r>
      <w:r>
        <w:rPr>
          <w:sz w:val="12"/>
        </w:rPr>
        <w:t>37    </w:t>
      </w:r>
      <w:r>
        <w:rPr>
          <w:spacing w:val="9"/>
          <w:sz w:val="12"/>
        </w:rPr>
        <w:t> </w:t>
      </w:r>
      <w:r>
        <w:rPr>
          <w:sz w:val="12"/>
        </w:rPr>
        <w:t>41</w:t>
        <w:tab/>
      </w:r>
      <w:r>
        <w:rPr>
          <w:position w:val="8"/>
          <w:sz w:val="12"/>
        </w:rPr>
        <w:t>88</w:t>
      </w:r>
    </w:p>
    <w:p>
      <w:pPr>
        <w:spacing w:after="0"/>
        <w:jc w:val="left"/>
        <w:rPr>
          <w:sz w:val="12"/>
        </w:rPr>
        <w:sectPr>
          <w:type w:val="continuous"/>
          <w:pgSz w:w="11900" w:h="16840"/>
          <w:pgMar w:top="1220" w:bottom="280" w:left="640" w:right="600"/>
          <w:cols w:num="2" w:equalWidth="0">
            <w:col w:w="1906" w:space="39"/>
            <w:col w:w="8715"/>
          </w:cols>
        </w:sectPr>
      </w:pPr>
    </w:p>
    <w:p>
      <w:pPr>
        <w:spacing w:before="22"/>
        <w:ind w:left="1465" w:right="0" w:firstLine="0"/>
        <w:jc w:val="left"/>
        <w:rPr>
          <w:sz w:val="12"/>
        </w:rPr>
      </w:pPr>
      <w:r>
        <w:rPr>
          <w:sz w:val="12"/>
        </w:rPr>
        <w:t>Number of quarters</w:t>
      </w:r>
    </w:p>
    <w:p>
      <w:pPr>
        <w:pStyle w:val="BodyText"/>
        <w:spacing w:before="6"/>
        <w:rPr>
          <w:sz w:val="13"/>
        </w:rPr>
      </w:pPr>
    </w:p>
    <w:p>
      <w:pPr>
        <w:spacing w:before="0"/>
        <w:ind w:left="165" w:right="0" w:firstLine="0"/>
        <w:jc w:val="left"/>
        <w:rPr>
          <w:sz w:val="12"/>
        </w:rPr>
      </w:pPr>
      <w:r>
        <w:rPr>
          <w:sz w:val="12"/>
        </w:rPr>
        <w:t>Sources: Bank for International Settlements, Datastream and Bank of England.</w:t>
      </w:r>
    </w:p>
    <w:p>
      <w:pPr>
        <w:spacing w:before="102"/>
        <w:ind w:left="165" w:right="0" w:firstLine="0"/>
        <w:jc w:val="left"/>
        <w:rPr>
          <w:sz w:val="12"/>
        </w:rPr>
      </w:pPr>
      <w:r>
        <w:rPr>
          <w:sz w:val="12"/>
        </w:rPr>
        <w:t>(a) Assuming uncovered interest rate parity.</w:t>
      </w:r>
    </w:p>
    <w:p>
      <w:pPr>
        <w:spacing w:after="0"/>
        <w:jc w:val="left"/>
        <w:rPr>
          <w:sz w:val="12"/>
        </w:rPr>
        <w:sectPr>
          <w:type w:val="continuous"/>
          <w:pgSz w:w="11900" w:h="16840"/>
          <w:pgMar w:top="1220" w:bottom="280" w:left="640" w:right="600"/>
        </w:sectPr>
      </w:pPr>
    </w:p>
    <w:p>
      <w:pPr>
        <w:pStyle w:val="BodyText"/>
        <w:spacing w:line="20" w:lineRule="exact"/>
        <w:ind w:left="138"/>
        <w:rPr>
          <w:sz w:val="2"/>
        </w:rPr>
      </w:pPr>
      <w:r>
        <w:rPr>
          <w:sz w:val="2"/>
        </w:rPr>
        <w:pict>
          <v:group style="width:517pt;height:.15pt;mso-position-horizontal-relative:char;mso-position-vertical-relative:line" coordorigin="0,0" coordsize="10340,3">
            <v:line style="position:absolute" from="0,1" to="10340,1" stroked="true" strokeweight=".125pt" strokecolor="#231f20">
              <v:stroke dashstyle="solid"/>
            </v:line>
          </v:group>
        </w:pict>
      </w:r>
      <w:r>
        <w:rPr>
          <w:sz w:val="2"/>
        </w:rPr>
      </w:r>
    </w:p>
    <w:p>
      <w:pPr>
        <w:pStyle w:val="BodyText"/>
        <w:rPr>
          <w:sz w:val="20"/>
        </w:rPr>
      </w:pPr>
    </w:p>
    <w:p>
      <w:pPr>
        <w:pStyle w:val="BodyText"/>
        <w:spacing w:before="9"/>
      </w:pPr>
      <w:r>
        <w:rPr/>
        <w:pict>
          <v:shape style="position:absolute;margin-left:40.090pt;margin-top:12.000977pt;width:516pt;height:48pt;mso-position-horizontal-relative:page;mso-position-vertical-relative:paragraph;z-index:-15587840;mso-wrap-distance-left:0;mso-wrap-distance-right:0" type="#_x0000_t202" filled="true" fillcolor="#b5dad6" stroked="false">
            <v:textbox inset="0,0,0,0">
              <w:txbxContent>
                <w:p>
                  <w:pPr>
                    <w:tabs>
                      <w:tab w:pos="5993" w:val="left" w:leader="none"/>
                    </w:tabs>
                    <w:spacing w:before="51"/>
                    <w:ind w:left="260" w:right="0" w:firstLine="0"/>
                    <w:jc w:val="left"/>
                    <w:rPr>
                      <w:b/>
                      <w:sz w:val="48"/>
                    </w:rPr>
                  </w:pPr>
                  <w:bookmarkStart w:name="Demand and output" w:id="32"/>
                  <w:bookmarkEnd w:id="32"/>
                  <w:r>
                    <w:rPr/>
                  </w:r>
                  <w:bookmarkStart w:name="External demand" w:id="33"/>
                  <w:bookmarkEnd w:id="33"/>
                  <w:r>
                    <w:rPr/>
                  </w:r>
                  <w:bookmarkStart w:name="_bookmark11" w:id="34"/>
                  <w:bookmarkEnd w:id="34"/>
                  <w:r>
                    <w:rPr/>
                  </w:r>
                  <w:r>
                    <w:rPr>
                      <w:b/>
                      <w:color w:val="009483"/>
                      <w:sz w:val="72"/>
                    </w:rPr>
                    <w:t>2</w:t>
                    <w:tab/>
                  </w:r>
                  <w:r>
                    <w:rPr>
                      <w:b/>
                      <w:color w:val="009483"/>
                      <w:sz w:val="48"/>
                    </w:rPr>
                    <w:t>Demand and output</w:t>
                  </w:r>
                </w:p>
              </w:txbxContent>
            </v:textbox>
            <v:fill type="solid"/>
            <w10:wrap type="topAndBottom"/>
          </v:shape>
        </w:pict>
      </w:r>
    </w:p>
    <w:p>
      <w:pPr>
        <w:pStyle w:val="BodyText"/>
        <w:rPr>
          <w:sz w:val="20"/>
        </w:rPr>
      </w:pPr>
    </w:p>
    <w:p>
      <w:pPr>
        <w:pStyle w:val="BodyText"/>
        <w:rPr>
          <w:sz w:val="20"/>
        </w:rPr>
      </w:pPr>
    </w:p>
    <w:p>
      <w:pPr>
        <w:spacing w:after="0"/>
        <w:rPr>
          <w:sz w:val="20"/>
        </w:rPr>
        <w:sectPr>
          <w:headerReference w:type="even" r:id="rId47"/>
          <w:footerReference w:type="even" r:id="rId48"/>
          <w:footerReference w:type="default" r:id="rId49"/>
          <w:pgSz w:w="11900" w:h="16840"/>
          <w:pgMar w:header="0" w:footer="597" w:top="780" w:bottom="780" w:left="640" w:right="600"/>
          <w:pgNumType w:start="14"/>
        </w:sectPr>
      </w:pPr>
    </w:p>
    <w:p>
      <w:pPr>
        <w:pStyle w:val="BodyText"/>
        <w:spacing w:before="1"/>
      </w:pPr>
    </w:p>
    <w:p>
      <w:pPr>
        <w:pStyle w:val="Heading7"/>
        <w:spacing w:before="0"/>
        <w:ind w:left="170"/>
      </w:pPr>
      <w:r>
        <w:rPr>
          <w:color w:val="0093C1"/>
        </w:rPr>
        <w:t>Chart 2.1</w:t>
      </w:r>
    </w:p>
    <w:p>
      <w:pPr>
        <w:spacing w:before="10"/>
        <w:ind w:left="170" w:right="0" w:firstLine="0"/>
        <w:jc w:val="left"/>
        <w:rPr>
          <w:b/>
          <w:sz w:val="20"/>
        </w:rPr>
      </w:pPr>
      <w:r>
        <w:rPr>
          <w:b/>
          <w:color w:val="0093C1"/>
          <w:sz w:val="20"/>
        </w:rPr>
        <w:t>UK exports of goods and services</w:t>
      </w:r>
    </w:p>
    <w:p>
      <w:pPr>
        <w:spacing w:line="116" w:lineRule="exact" w:before="56"/>
        <w:ind w:left="1544" w:right="0" w:firstLine="0"/>
        <w:jc w:val="left"/>
        <w:rPr>
          <w:sz w:val="12"/>
        </w:rPr>
      </w:pPr>
      <w:r>
        <w:rPr>
          <w:sz w:val="12"/>
        </w:rPr>
        <w:t>Percentage changes on a year earlier</w:t>
      </w:r>
    </w:p>
    <w:p>
      <w:pPr>
        <w:spacing w:line="116" w:lineRule="exact" w:before="0"/>
        <w:ind w:left="3332" w:right="0" w:firstLine="0"/>
        <w:jc w:val="left"/>
        <w:rPr>
          <w:sz w:val="12"/>
        </w:rPr>
      </w:pPr>
      <w:r>
        <w:rPr/>
        <w:pict>
          <v:group style="position:absolute;margin-left:44.789001pt;margin-top:8.864264pt;width:144.35pt;height:135.4pt;mso-position-horizontal-relative:page;mso-position-vertical-relative:paragraph;z-index:15872512" coordorigin="896,177" coordsize="2887,2708">
            <v:shape style="position:absolute;left:1065;top:330;width:2695;height:1716" coordorigin="1065,331" coordsize="2695,1716" path="m1065,1023l1141,632,1216,1143,1306,1595,1381,2047,1457,1730,1547,1490,1622,1655,1697,1399,1773,1580,1863,1851,1938,1414,2014,1249,2089,1640,2179,1354,2254,1444,2330,978,2405,647,2495,602,2570,331,2646,571,2721,842,2811,556,2887,903,2962,1038,3052,737,3127,993,3203,978,3278,918,3368,782,3444,827,3519,993,3594,1475,3684,1730,3760,1896e" filled="false" stroked="true" strokeweight="1pt" strokecolor="#95459a">
              <v:path arrowok="t"/>
              <v:stroke dashstyle="solid"/>
            </v:shape>
            <v:shape style="position:absolute;left:1065;top:270;width:2695;height:2605" coordorigin="1065,270" coordsize="2695,2605" path="m1065,1866l1141,2152,1216,2077,1306,1053,1381,2874,1457,1896,1547,1956,1622,2739,1697,421,1773,797,1863,857,1938,587,2014,1128,2089,1715,2179,1204,2254,1038,2330,1399,2405,918,2495,918,2570,1219,2646,526,2721,812,2811,1008,2887,632,2962,1339,3052,1023,3127,1249,3203,496,3278,767,3368,481,3444,270,3519,978,3594,571,3684,526,3760,1053e" filled="false" stroked="true" strokeweight="1pt" strokecolor="#faab54">
              <v:path arrowok="t"/>
              <v:stroke dashstyle="solid"/>
            </v:shape>
            <v:shape style="position:absolute;left:1065;top:541;width:2695;height:1701" coordorigin="1065,541" coordsize="2695,1701" path="m1065,1234l1141,1008,1216,1369,1306,1475,1381,2242,1457,1776,1547,1595,1622,1911,1697,1189,1773,1414,1863,1625,1938,1234,2014,1219,2089,1655,2179,1324,2254,1354,2330,1083,2405,722,2495,677,2570,541,2646,556,2721,842,2811,662,2887,827,2962,1113,3052,812,3127,1053,3203,857,3278,888,3368,707,3444,692,3594,1264,3684,1429,3760,1685e" filled="false" stroked="true" strokeweight="1pt" strokecolor="#008256">
              <v:path arrowok="t"/>
              <v:stroke dashstyle="solid"/>
            </v:shape>
            <v:shape style="position:absolute;left:895;top:661;width:95;height:1807" coordorigin="896,662" coordsize="95,1807" path="m896,2468l990,2468m896,1866l990,1866m896,1264l990,1264m896,662l990,662e" filled="false" stroked="true" strokeweight=".5pt" strokecolor="#000000">
              <v:path arrowok="t"/>
              <v:stroke dashstyle="solid"/>
            </v:shape>
            <v:line style="position:absolute" from="2382,1625" to="2209,1558" stroked="true" strokeweight=".5pt" strokecolor="#231f20">
              <v:stroke dashstyle="solid"/>
            </v:line>
            <v:shape style="position:absolute;left:2145;top:1533;width:89;height:54" coordorigin="2146,1534" coordsize="89,54" path="m2146,1534l2216,1588,2234,1541,2217,1541,2204,1541,2190,1540,2177,1539,2165,1537,2154,1536,2146,1534xe" filled="true" fillcolor="#231f20" stroked="false">
              <v:path arrowok="t"/>
              <v:fill type="solid"/>
            </v:shape>
            <v:shape style="position:absolute;left:2451;top:177;width:334;height:133" type="#_x0000_t202" filled="false" stroked="false">
              <v:textbox inset="0,0,0,0">
                <w:txbxContent>
                  <w:p>
                    <w:pPr>
                      <w:spacing w:line="133" w:lineRule="exact" w:before="0"/>
                      <w:ind w:left="0" w:right="0" w:firstLine="0"/>
                      <w:jc w:val="left"/>
                      <w:rPr>
                        <w:sz w:val="12"/>
                      </w:rPr>
                    </w:pPr>
                    <w:r>
                      <w:rPr>
                        <w:sz w:val="12"/>
                      </w:rPr>
                      <w:t>Goods</w:t>
                    </w:r>
                  </w:p>
                </w:txbxContent>
              </v:textbox>
              <w10:wrap type="none"/>
            </v:shape>
            <v:shape style="position:absolute;left:1511;top:282;width:427;height:133" type="#_x0000_t202" filled="false" stroked="false">
              <v:textbox inset="0,0,0,0">
                <w:txbxContent>
                  <w:p>
                    <w:pPr>
                      <w:spacing w:line="133" w:lineRule="exact" w:before="0"/>
                      <w:ind w:left="0" w:right="0" w:firstLine="0"/>
                      <w:jc w:val="left"/>
                      <w:rPr>
                        <w:sz w:val="12"/>
                      </w:rPr>
                    </w:pPr>
                    <w:r>
                      <w:rPr>
                        <w:sz w:val="12"/>
                      </w:rPr>
                      <w:t>Services</w:t>
                    </w:r>
                  </w:p>
                </w:txbxContent>
              </v:textbox>
              <w10:wrap type="none"/>
            </v:shape>
            <v:shape style="position:absolute;left:1065;top:1560;width:2718;height:362" type="#_x0000_t202" filled="false" stroked="false">
              <v:textbox inset="0,0,0,0">
                <w:txbxContent>
                  <w:p>
                    <w:pPr>
                      <w:spacing w:line="133" w:lineRule="exact" w:before="0"/>
                      <w:ind w:left="1312" w:right="1111" w:firstLine="0"/>
                      <w:jc w:val="center"/>
                      <w:rPr>
                        <w:sz w:val="12"/>
                      </w:rPr>
                    </w:pPr>
                    <w:r>
                      <w:rPr>
                        <w:sz w:val="12"/>
                      </w:rPr>
                      <w:t>Total</w:t>
                    </w:r>
                  </w:p>
                  <w:p>
                    <w:pPr>
                      <w:tabs>
                        <w:tab w:pos="2697" w:val="left" w:leader="none"/>
                      </w:tabs>
                      <w:spacing w:before="91"/>
                      <w:ind w:left="0" w:right="0" w:firstLine="0"/>
                      <w:jc w:val="left"/>
                      <w:rPr>
                        <w:sz w:val="12"/>
                      </w:rPr>
                    </w:pPr>
                    <w:r>
                      <w:rPr>
                        <w:sz w:val="12"/>
                        <w:u w:val="single"/>
                      </w:rPr>
                      <w:t> </w:t>
                      <w:tab/>
                    </w:r>
                  </w:p>
                </w:txbxContent>
              </v:textbox>
              <w10:wrap type="none"/>
            </v:shape>
            <w10:wrap type="none"/>
          </v:group>
        </w:pict>
      </w:r>
      <w:r>
        <w:rPr/>
        <w:pict>
          <v:line style="position:absolute;mso-position-horizontal-relative:page;mso-position-vertical-relative:paragraph;z-index:15874048" from="44.789001pt,2.984944pt" to="49.500001pt,2.984944pt" stroked="true" strokeweight=".5pt" strokecolor="#000000">
            <v:stroke dashstyle="solid"/>
            <w10:wrap type="none"/>
          </v:line>
        </w:pict>
      </w:r>
      <w:r>
        <w:rPr/>
        <w:pict>
          <v:line style="position:absolute;mso-position-horizontal-relative:page;mso-position-vertical-relative:paragraph;z-index:15876608" from="192.432999pt,3.015944pt" to="197.143999pt,3.015944pt" stroked="true" strokeweight=".5pt" strokecolor="#000000">
            <v:stroke dashstyle="solid"/>
            <w10:wrap type="none"/>
          </v:line>
        </w:pict>
      </w:r>
      <w:r>
        <w:rPr>
          <w:sz w:val="12"/>
        </w:rPr>
        <w:t>15</w:t>
      </w:r>
    </w:p>
    <w:p>
      <w:pPr>
        <w:pStyle w:val="BodyText"/>
        <w:rPr>
          <w:sz w:val="12"/>
        </w:rPr>
      </w:pPr>
    </w:p>
    <w:p>
      <w:pPr>
        <w:pStyle w:val="BodyText"/>
        <w:rPr>
          <w:sz w:val="12"/>
        </w:rPr>
      </w:pPr>
    </w:p>
    <w:p>
      <w:pPr>
        <w:pStyle w:val="BodyText"/>
        <w:spacing w:before="4"/>
        <w:rPr>
          <w:sz w:val="16"/>
        </w:rPr>
      </w:pPr>
    </w:p>
    <w:p>
      <w:pPr>
        <w:spacing w:before="0"/>
        <w:ind w:left="3332" w:right="0" w:firstLine="0"/>
        <w:jc w:val="left"/>
        <w:rPr>
          <w:sz w:val="12"/>
        </w:rPr>
      </w:pPr>
      <w:r>
        <w:rPr/>
        <w:pict>
          <v:line style="position:absolute;mso-position-horizontal-relative:page;mso-position-vertical-relative:paragraph;z-index:15876096" from="192.432999pt,4.12678pt" to="197.143999pt,4.12678pt" stroked="true" strokeweight=".5pt" strokecolor="#000000">
            <v:stroke dashstyle="solid"/>
            <w10:wrap type="none"/>
          </v:line>
        </w:pict>
      </w:r>
      <w:r>
        <w:rPr>
          <w:sz w:val="12"/>
        </w:rPr>
        <w:t>10</w:t>
      </w:r>
    </w:p>
    <w:p>
      <w:pPr>
        <w:pStyle w:val="BodyText"/>
        <w:rPr>
          <w:sz w:val="12"/>
        </w:rPr>
      </w:pPr>
    </w:p>
    <w:p>
      <w:pPr>
        <w:pStyle w:val="BodyText"/>
        <w:rPr>
          <w:sz w:val="12"/>
        </w:rPr>
      </w:pPr>
    </w:p>
    <w:p>
      <w:pPr>
        <w:pStyle w:val="BodyText"/>
        <w:spacing w:before="4"/>
        <w:rPr>
          <w:sz w:val="16"/>
        </w:rPr>
      </w:pPr>
    </w:p>
    <w:p>
      <w:pPr>
        <w:spacing w:before="0"/>
        <w:ind w:left="3392" w:right="0" w:firstLine="0"/>
        <w:jc w:val="left"/>
        <w:rPr>
          <w:sz w:val="12"/>
        </w:rPr>
      </w:pPr>
      <w:r>
        <w:rPr/>
        <w:pict>
          <v:line style="position:absolute;mso-position-horizontal-relative:page;mso-position-vertical-relative:paragraph;z-index:15875584" from="192.432999pt,4.127348pt" to="197.143999pt,4.127348pt" stroked="true" strokeweight=".5pt" strokecolor="#000000">
            <v:stroke dashstyle="solid"/>
            <w10:wrap type="none"/>
          </v:line>
        </w:pict>
      </w:r>
      <w:r>
        <w:rPr>
          <w:sz w:val="12"/>
        </w:rPr>
        <w:t>5</w:t>
      </w:r>
    </w:p>
    <w:p>
      <w:pPr>
        <w:pStyle w:val="BodyText"/>
        <w:spacing w:before="8"/>
        <w:rPr>
          <w:sz w:val="14"/>
        </w:rPr>
      </w:pPr>
    </w:p>
    <w:p>
      <w:pPr>
        <w:spacing w:before="0"/>
        <w:ind w:left="3298" w:right="0" w:firstLine="0"/>
        <w:jc w:val="left"/>
        <w:rPr>
          <w:sz w:val="16"/>
        </w:rPr>
      </w:pPr>
      <w:r>
        <w:rPr>
          <w:color w:val="231F20"/>
          <w:sz w:val="16"/>
        </w:rPr>
        <w:t>+</w:t>
      </w:r>
    </w:p>
    <w:p>
      <w:pPr>
        <w:pStyle w:val="Heading4"/>
        <w:spacing w:line="242" w:lineRule="auto" w:before="218"/>
      </w:pPr>
      <w:r>
        <w:rPr/>
        <w:br w:type="column"/>
      </w:r>
      <w:r>
        <w:rPr>
          <w:color w:val="231F20"/>
        </w:rPr>
        <w:t>UK exports of goods and services fell in 1998 Q3 and global economic prospects have continued to deteriorate, increasing the downside risks for UK trade and output.</w:t>
      </w:r>
    </w:p>
    <w:p>
      <w:pPr>
        <w:spacing w:line="242" w:lineRule="auto" w:before="4"/>
        <w:ind w:left="170" w:right="0" w:firstLine="0"/>
        <w:jc w:val="left"/>
        <w:rPr>
          <w:sz w:val="24"/>
        </w:rPr>
      </w:pPr>
      <w:r>
        <w:rPr>
          <w:color w:val="231F20"/>
          <w:sz w:val="24"/>
        </w:rPr>
        <w:t>Consumption growth has also slowed, consumer confidence has fallen sharply, and business confidence remains low. Reflecting these developments, GDP increased by only 0.2% in 1998 Q4, its slowest quarterly growth rate since 1992 Q2.</w:t>
      </w:r>
    </w:p>
    <w:p>
      <w:pPr>
        <w:spacing w:after="0" w:line="242" w:lineRule="auto"/>
        <w:jc w:val="left"/>
        <w:rPr>
          <w:sz w:val="24"/>
        </w:rPr>
        <w:sectPr>
          <w:type w:val="continuous"/>
          <w:pgSz w:w="11900" w:h="16840"/>
          <w:pgMar w:top="1220" w:bottom="280" w:left="640" w:right="600"/>
          <w:cols w:num="2" w:equalWidth="0">
            <w:col w:w="3493" w:space="1317"/>
            <w:col w:w="5850"/>
          </w:cols>
        </w:sectPr>
      </w:pPr>
    </w:p>
    <w:p>
      <w:pPr>
        <w:pStyle w:val="BodyText"/>
        <w:spacing w:before="8"/>
        <w:rPr>
          <w:sz w:val="9"/>
        </w:rPr>
      </w:pPr>
    </w:p>
    <w:p>
      <w:pPr>
        <w:spacing w:before="0"/>
        <w:ind w:left="3208" w:right="0" w:firstLine="0"/>
        <w:jc w:val="left"/>
        <w:rPr>
          <w:sz w:val="12"/>
        </w:rPr>
      </w:pPr>
      <w:r>
        <w:rPr>
          <w:sz w:val="12"/>
          <w:u w:val="single"/>
        </w:rPr>
        <w:t>   </w:t>
      </w:r>
      <w:r>
        <w:rPr>
          <w:sz w:val="12"/>
        </w:rPr>
        <w:t>   0</w:t>
      </w:r>
    </w:p>
    <w:p>
      <w:pPr>
        <w:tabs>
          <w:tab w:pos="4979" w:val="left" w:leader="none"/>
          <w:tab w:pos="8001" w:val="left" w:leader="none"/>
        </w:tabs>
        <w:spacing w:before="9"/>
        <w:ind w:left="3309" w:right="0" w:firstLine="0"/>
        <w:jc w:val="left"/>
        <w:rPr>
          <w:sz w:val="16"/>
        </w:rPr>
      </w:pPr>
      <w:r>
        <w:rPr>
          <w:color w:val="231F20"/>
          <w:position w:val="1"/>
          <w:sz w:val="16"/>
        </w:rPr>
        <w:t>–</w:t>
        <w:tab/>
      </w:r>
      <w:r>
        <w:rPr>
          <w:b/>
          <w:color w:val="009483"/>
          <w:sz w:val="28"/>
        </w:rPr>
        <w:t>2.1</w:t>
        <w:tab/>
        <w:t>External</w:t>
      </w:r>
      <w:r>
        <w:rPr>
          <w:b/>
          <w:color w:val="009483"/>
          <w:spacing w:val="-1"/>
          <w:sz w:val="28"/>
        </w:rPr>
        <w:t> </w:t>
      </w:r>
      <w:r>
        <w:rPr>
          <w:b/>
          <w:color w:val="009483"/>
          <w:sz w:val="28"/>
        </w:rPr>
        <w:t>demand</w:t>
      </w:r>
      <w:r>
        <w:rPr>
          <w:color w:val="231F20"/>
          <w:position w:val="5"/>
          <w:sz w:val="16"/>
        </w:rPr>
        <w:t>(1)</w:t>
      </w:r>
    </w:p>
    <w:p>
      <w:pPr>
        <w:spacing w:after="0"/>
        <w:jc w:val="left"/>
        <w:rPr>
          <w:sz w:val="16"/>
        </w:rPr>
        <w:sectPr>
          <w:type w:val="continuous"/>
          <w:pgSz w:w="11900" w:h="16840"/>
          <w:pgMar w:top="1220" w:bottom="280" w:left="640" w:right="600"/>
        </w:sectPr>
      </w:pPr>
    </w:p>
    <w:p>
      <w:pPr>
        <w:pStyle w:val="BodyText"/>
        <w:spacing w:before="3"/>
        <w:rPr>
          <w:sz w:val="13"/>
        </w:rPr>
      </w:pPr>
    </w:p>
    <w:p>
      <w:pPr>
        <w:spacing w:before="1"/>
        <w:ind w:left="3392" w:right="0" w:firstLine="0"/>
        <w:jc w:val="left"/>
        <w:rPr>
          <w:sz w:val="12"/>
        </w:rPr>
      </w:pPr>
      <w:r>
        <w:rPr/>
        <w:pict>
          <v:line style="position:absolute;mso-position-horizontal-relative:page;mso-position-vertical-relative:paragraph;z-index:15875072" from="192.432999pt,3.173153pt" to="197.143999pt,3.173153pt" stroked="true" strokeweight=".5pt" strokecolor="#000000">
            <v:stroke dashstyle="solid"/>
            <w10:wrap type="none"/>
          </v:line>
        </w:pict>
      </w:r>
      <w:r>
        <w:rPr>
          <w:sz w:val="12"/>
        </w:rPr>
        <w:t>5</w:t>
      </w:r>
    </w:p>
    <w:p>
      <w:pPr>
        <w:pStyle w:val="BodyText"/>
        <w:rPr>
          <w:sz w:val="12"/>
        </w:rPr>
      </w:pPr>
    </w:p>
    <w:p>
      <w:pPr>
        <w:pStyle w:val="BodyText"/>
        <w:rPr>
          <w:sz w:val="12"/>
        </w:rPr>
      </w:pPr>
    </w:p>
    <w:p>
      <w:pPr>
        <w:pStyle w:val="BodyText"/>
        <w:spacing w:before="3"/>
        <w:rPr>
          <w:sz w:val="13"/>
        </w:rPr>
      </w:pPr>
    </w:p>
    <w:p>
      <w:pPr>
        <w:spacing w:line="122" w:lineRule="exact" w:before="0"/>
        <w:ind w:left="3332" w:right="0" w:firstLine="0"/>
        <w:jc w:val="left"/>
        <w:rPr>
          <w:sz w:val="12"/>
        </w:rPr>
      </w:pPr>
      <w:r>
        <w:rPr/>
        <w:pict>
          <v:shape style="position:absolute;margin-left:53.292pt;margin-top:-.412442pt;width:134.85pt;height:4.55pt;mso-position-horizontal-relative:page;mso-position-vertical-relative:paragraph;z-index:15873024" coordorigin="1066,-8" coordsize="2697,91" path="m3762,82l1066,82m3760,82l3760,40m3677,82l3677,40m3516,82l3516,40m3437,82l3437,40m3358,82l3358,40m3199,82l3199,40m3120,82l3120,40m3041,82l3041,40m2883,82l2883,40m2804,82l2804,40m2725,82l2725,40m2567,82l2567,40m2488,82l2488,40m2409,82l2409,40m2251,82l2251,40m2172,82l2172,40m2093,82l2093,40m1935,82l1935,40m1856,82l1856,40m1777,82l1777,40m1619,82l1619,40m1540,82l1540,40m1461,82l1461,40m1303,82l1303,40m1224,82l1224,40m1145,82l1145,40m1066,-8l1066,82m1382,-8l1382,82m1698,-8l1698,82m2014,-8l2014,82m2330,-8l2330,82m2646,-8l2646,82m2962,-8l2962,82m3279,-8l3279,82m3595,-8l3595,82e" filled="false" stroked="true" strokeweight=".5pt" strokecolor="#000000">
            <v:path arrowok="t"/>
            <v:stroke dashstyle="solid"/>
            <w10:wrap type="none"/>
          </v:shape>
        </w:pict>
      </w:r>
      <w:r>
        <w:rPr/>
        <w:pict>
          <v:line style="position:absolute;mso-position-horizontal-relative:page;mso-position-vertical-relative:paragraph;z-index:15873536" from="44.789001pt,4.096558pt" to="49.500001pt,4.096558pt" stroked="true" strokeweight=".5pt" strokecolor="#000000">
            <v:stroke dashstyle="solid"/>
            <w10:wrap type="none"/>
          </v:line>
        </w:pict>
      </w:r>
      <w:r>
        <w:rPr/>
        <w:pict>
          <v:line style="position:absolute;mso-position-horizontal-relative:page;mso-position-vertical-relative:paragraph;z-index:15874560" from="192.432999pt,4.127558pt" to="197.143999pt,4.127558pt" stroked="true" strokeweight=".5pt" strokecolor="#000000">
            <v:stroke dashstyle="solid"/>
            <w10:wrap type="none"/>
          </v:line>
        </w:pict>
      </w:r>
      <w:r>
        <w:rPr>
          <w:sz w:val="12"/>
        </w:rPr>
        <w:t>10</w:t>
      </w:r>
    </w:p>
    <w:p>
      <w:pPr>
        <w:spacing w:line="122" w:lineRule="exact" w:before="0"/>
        <w:ind w:left="456" w:right="0" w:firstLine="0"/>
        <w:jc w:val="left"/>
        <w:rPr>
          <w:sz w:val="12"/>
        </w:rPr>
      </w:pPr>
      <w:r>
        <w:rPr>
          <w:sz w:val="12"/>
        </w:rPr>
        <w:t>1990 91 92 93 94 95 96 97 98</w:t>
      </w:r>
    </w:p>
    <w:p>
      <w:pPr>
        <w:pStyle w:val="BodyText"/>
        <w:spacing w:before="1"/>
        <w:rPr>
          <w:sz w:val="13"/>
        </w:rPr>
      </w:pPr>
    </w:p>
    <w:p>
      <w:pPr>
        <w:spacing w:before="0"/>
        <w:ind w:left="174" w:right="0" w:firstLine="0"/>
        <w:jc w:val="left"/>
        <w:rPr>
          <w:sz w:val="12"/>
        </w:rPr>
      </w:pPr>
      <w:r>
        <w:rPr>
          <w:color w:val="231F20"/>
          <w:sz w:val="12"/>
        </w:rPr>
        <w:t>(a) At 1995 market prices.</w:t>
      </w:r>
    </w:p>
    <w:p>
      <w:pPr>
        <w:pStyle w:val="BodyText"/>
        <w:spacing w:before="9"/>
        <w:rPr>
          <w:sz w:val="16"/>
        </w:rPr>
      </w:pPr>
    </w:p>
    <w:p>
      <w:pPr>
        <w:pStyle w:val="Heading7"/>
        <w:spacing w:before="0"/>
        <w:ind w:left="195"/>
      </w:pPr>
      <w:r>
        <w:rPr>
          <w:color w:val="0093C1"/>
        </w:rPr>
        <w:t>Chart 2.2</w:t>
      </w:r>
    </w:p>
    <w:p>
      <w:pPr>
        <w:spacing w:before="10"/>
        <w:ind w:left="195" w:right="0" w:firstLine="0"/>
        <w:jc w:val="left"/>
        <w:rPr>
          <w:sz w:val="12"/>
        </w:rPr>
      </w:pPr>
      <w:r>
        <w:rPr>
          <w:b/>
          <w:color w:val="0093C1"/>
          <w:sz w:val="20"/>
        </w:rPr>
        <w:t>UK exports of goods</w:t>
      </w:r>
      <w:r>
        <w:rPr>
          <w:color w:val="231F20"/>
          <w:position w:val="4"/>
          <w:sz w:val="12"/>
        </w:rPr>
        <w:t>(a)</w:t>
      </w:r>
    </w:p>
    <w:p>
      <w:pPr>
        <w:spacing w:before="136"/>
        <w:ind w:left="1586" w:right="0" w:firstLine="0"/>
        <w:jc w:val="left"/>
        <w:rPr>
          <w:sz w:val="12"/>
        </w:rPr>
      </w:pPr>
      <w:r>
        <w:rPr/>
        <w:pict>
          <v:group style="position:absolute;margin-left:51.623001pt;margin-top:26.08267pt;width:157.35pt;height:122.8pt;mso-position-horizontal-relative:page;mso-position-vertical-relative:paragraph;z-index:15878656" coordorigin="1032,522" coordsize="3147,2456">
            <v:shape style="position:absolute;left:1042;top:602;width:2785;height:1626" coordorigin="1042,603" coordsize="2785,1626" path="m1042,1039l1058,964,1088,1129,1118,904,1133,949,1163,828,1193,1190,1223,1190,1238,1129,1268,949,1298,843,1328,1069,1359,1144,1374,1250,1404,1129,1434,1129,1449,1175,1479,1114,1539,934,1569,1250,1584,1415,1614,1626,1645,1461,1675,1581,1690,1506,1720,1566,1780,1415,1795,1596,1825,1581,1855,1762,1885,1671,1900,1656,1931,1476,1961,1611,1991,1506,2006,1566,2036,1536,2066,1912,2096,2213,2111,2228,2141,2108,2171,1972,2202,1942,2217,1957,2247,2078,2277,1957,2307,1656,2322,1461,2352,1325,2382,1099,2412,904,2427,753,2457,934,2487,843,2518,904,2548,783,2563,648,2593,603,2623,753,2638,949,2668,949,2698,1054,2728,1009,2743,1069,2773,798,2804,723,2834,663,2864,904,2879,949,2909,1069,2939,1039,2984,1220,3014,1144,3044,1084,3075,1069,3090,1250,3120,1461,3150,1446,3180,1250,3195,1235,3225,1235,3255,1400,3285,1295,3300,1355,3330,1205,3361,1295,3391,1205,3406,1220,3436,1129,3466,1205,3496,1310,3511,1370,3541,1250,3571,1280,3601,1190,3616,1235,3647,1295,3677,1265,3707,1355,3722,1280,3752,1325,3782,1265,3812,1355,3827,1461e" filled="false" stroked="true" strokeweight="1pt" strokecolor="#faab54">
              <v:path arrowok="t"/>
              <v:stroke dashstyle="solid"/>
            </v:shape>
            <v:shape style="position:absolute;left:1042;top:662;width:2815;height:2288" coordorigin="1042,663" coordsize="2815,2288" path="m1042,1190l1058,1190,1088,1461,1118,1430,1133,1325,1163,1280,1193,1385,1223,1536,1238,1641,1268,1792,1298,1987,1328,2349,1359,2590,1374,2951,1404,2921,1434,2815,1449,2800,1479,2514,1509,2304,1539,1942,1569,2018,1584,2183,1614,2288,1645,1987,1675,1807,1690,1415,1720,1446,1750,1355,1780,1430,1795,1686,1825,1852,1855,2138,1885,2002,1900,1686,1931,1415,1961,1400,1991,1446,2006,1446,2066,1054,2096,934,2111,768,2141,858,2171,693,2202,768,2217,663,2247,813,2277,919,2307,1054,2322,1024,2352,1129,2382,1325,2412,1446,2427,1446,2457,1340,2487,1175,2518,1175,2548,1310,2563,1084,2593,1160,2623,979,2638,1235,2668,1069,2698,1069,2728,1039,2743,1280,2773,1385,2804,1626,2834,1400,2864,1385,2879,1340,2909,1385,2969,1295,2984,1400,3014,1310,3044,1160,3075,1144,3090,964,3120,949,3150,994,3180,1114,3195,1310,3225,1280,3255,1084,3285,919,3300,1009,3330,1235,3361,1310,3391,1024,3406,1039,3436,1054,3466,1099,3496,1265,3511,1446,3541,1265,3571,1656,3601,1732,3616,2002,3647,1912,3677,2018,3707,2168,3722,2273,3752,2168,3782,2424,3812,2379,3827,2364,3857,2454e" filled="false" stroked="true" strokeweight="1pt" strokecolor="#0066a5">
              <v:path arrowok="t"/>
              <v:stroke dashstyle="solid"/>
            </v:shape>
            <v:shape style="position:absolute;left:1042;top:828;width:2785;height:1175" coordorigin="1042,828" coordsize="2785,1175" path="m1042,1099l1058,1054,1088,1280,1118,1144,1133,1114,1163,1039,1193,1265,1223,1340,1238,1355,1268,1325,1298,1340,1328,1641,1359,1777,1374,2002,1404,1927,1434,1867,1449,1882,1479,1716,1509,1596,1539,1370,1569,1566,1584,1732,1614,1897,1645,1671,1675,1671,1690,1476,1720,1521,1750,1446,1780,1415,1795,1626,1825,1686,1855,1912,1885,1792,1900,1671,1931,1461,1961,1521,1991,1476,2006,1521,2036,1415,2066,1581,2096,1716,2111,1671,2141,1626,2171,1476,2202,1491,2217,1461,2247,1581,2277,1551,2307,1415,2322,1295,2352,1265,2382,1190,2412,1129,2427,1054,2457,1099,2487,979,2518,1009,2548,1009,2563,828,2593,843,2623,843,2638,1069,2668,994,2698,1069,2728,1024,2743,1160,2773,1054,2804,1114,2834,979,2864,1114,2879,1114,2909,1205,2939,1160,2969,1220,2984,1295,3014,1220,3044,1114,3075,1099,3090,1129,3120,1250,3150,1265,3180,1190,3195,1265,3225,1250,3255,1265,3285,1144,3300,1220,3330,1220,3361,1295,3391,1129,3406,1144,3436,1099,3466,1160,3496,1295,3511,1400,3541,1250,3571,1446,3601,1415,3616,1551,3647,1551,3677,1581,3707,1701,3722,1716,3752,1686,3782,1762,3812,1792,3827,1822e" filled="false" stroked="true" strokeweight="1pt" strokecolor="#ed1b2d">
              <v:path arrowok="t"/>
              <v:stroke dashstyle="solid"/>
            </v:shape>
            <v:shape style="position:absolute;left:3914;top:677;width:77;height:2243" coordorigin="3915,678" coordsize="77,2243" path="m3915,2921l3991,2921m3915,2559l3991,2559m3915,2183l3991,2183m3915,1807l3991,1807m3915,1430l3991,1430m3915,1054l3991,1054m3915,678l3991,678e" filled="false" stroked="true" strokeweight=".5pt" strokecolor="#000000">
              <v:path arrowok="t"/>
              <v:stroke dashstyle="solid"/>
            </v:shape>
            <v:shape style="position:absolute;left:3419;top:1685;width:257;height:257" type="#_x0000_t75" stroked="false">
              <v:imagedata r:id="rId50" o:title=""/>
            </v:shape>
            <v:shape style="position:absolute;left:2654;top:521;width:814;height:133" type="#_x0000_t202" filled="false" stroked="false">
              <v:textbox inset="0,0,0,0">
                <w:txbxContent>
                  <w:p>
                    <w:pPr>
                      <w:spacing w:line="133" w:lineRule="exact" w:before="0"/>
                      <w:ind w:left="0" w:right="0" w:firstLine="0"/>
                      <w:jc w:val="left"/>
                      <w:rPr>
                        <w:sz w:val="12"/>
                      </w:rPr>
                    </w:pPr>
                    <w:r>
                      <w:rPr>
                        <w:sz w:val="12"/>
                      </w:rPr>
                      <w:t>To EU countries</w:t>
                    </w:r>
                  </w:p>
                </w:txbxContent>
              </v:textbox>
              <w10:wrap type="none"/>
            </v:shape>
            <v:shape style="position:absolute;left:1042;top:601;width:3137;height:2193" type="#_x0000_t202" filled="false" stroked="false">
              <v:textbox inset="0,0,0,0">
                <w:txbxContent>
                  <w:p>
                    <w:pPr>
                      <w:spacing w:line="133" w:lineRule="exact" w:before="0"/>
                      <w:ind w:left="0" w:right="18" w:firstLine="0"/>
                      <w:jc w:val="right"/>
                      <w:rPr>
                        <w:sz w:val="12"/>
                      </w:rPr>
                    </w:pPr>
                    <w:r>
                      <w:rPr>
                        <w:sz w:val="12"/>
                      </w:rPr>
                      <w:t>15</w:t>
                    </w:r>
                  </w:p>
                  <w:p>
                    <w:pPr>
                      <w:spacing w:line="240" w:lineRule="auto" w:before="0"/>
                      <w:rPr>
                        <w:sz w:val="12"/>
                      </w:rPr>
                    </w:pPr>
                  </w:p>
                  <w:p>
                    <w:pPr>
                      <w:spacing w:before="100"/>
                      <w:ind w:left="2996" w:right="0" w:firstLine="0"/>
                      <w:jc w:val="left"/>
                      <w:rPr>
                        <w:sz w:val="12"/>
                      </w:rPr>
                    </w:pPr>
                    <w:r>
                      <w:rPr>
                        <w:sz w:val="12"/>
                      </w:rPr>
                      <w:t>10</w:t>
                    </w:r>
                  </w:p>
                  <w:p>
                    <w:pPr>
                      <w:spacing w:line="240" w:lineRule="auto" w:before="0"/>
                      <w:rPr>
                        <w:sz w:val="12"/>
                      </w:rPr>
                    </w:pPr>
                  </w:p>
                  <w:p>
                    <w:pPr>
                      <w:spacing w:before="100"/>
                      <w:ind w:left="3056" w:right="0" w:firstLine="0"/>
                      <w:jc w:val="left"/>
                      <w:rPr>
                        <w:sz w:val="12"/>
                      </w:rPr>
                    </w:pPr>
                    <w:r>
                      <w:rPr>
                        <w:sz w:val="12"/>
                      </w:rPr>
                      <w:t>5</w:t>
                    </w:r>
                  </w:p>
                  <w:p>
                    <w:pPr>
                      <w:spacing w:line="181" w:lineRule="exact" w:before="61"/>
                      <w:ind w:left="2898" w:right="0" w:firstLine="0"/>
                      <w:jc w:val="left"/>
                      <w:rPr>
                        <w:sz w:val="16"/>
                      </w:rPr>
                    </w:pPr>
                    <w:r>
                      <w:rPr>
                        <w:color w:val="231F20"/>
                        <w:sz w:val="16"/>
                      </w:rPr>
                      <w:t>+</w:t>
                    </w:r>
                  </w:p>
                  <w:p>
                    <w:pPr>
                      <w:tabs>
                        <w:tab w:pos="2784" w:val="left" w:leader="none"/>
                        <w:tab w:pos="3056" w:val="left" w:leader="none"/>
                      </w:tabs>
                      <w:spacing w:line="135" w:lineRule="exact" w:before="0"/>
                      <w:ind w:left="0" w:right="18" w:firstLine="0"/>
                      <w:jc w:val="right"/>
                      <w:rPr>
                        <w:sz w:val="12"/>
                      </w:rPr>
                    </w:pPr>
                    <w:r>
                      <w:rPr>
                        <w:sz w:val="12"/>
                        <w:u w:val="single"/>
                      </w:rPr>
                      <w:t> </w:t>
                      <w:tab/>
                    </w:r>
                    <w:r>
                      <w:rPr>
                        <w:sz w:val="12"/>
                      </w:rPr>
                      <w:tab/>
                    </w:r>
                    <w:r>
                      <w:rPr>
                        <w:spacing w:val="-18"/>
                        <w:sz w:val="12"/>
                      </w:rPr>
                      <w:t>0</w:t>
                    </w:r>
                  </w:p>
                  <w:p>
                    <w:pPr>
                      <w:tabs>
                        <w:tab w:pos="810" w:val="left" w:leader="none"/>
                      </w:tabs>
                      <w:spacing w:before="11"/>
                      <w:ind w:left="0" w:right="145" w:firstLine="0"/>
                      <w:jc w:val="right"/>
                      <w:rPr>
                        <w:sz w:val="16"/>
                      </w:rPr>
                    </w:pPr>
                    <w:r>
                      <w:rPr>
                        <w:position w:val="1"/>
                        <w:sz w:val="12"/>
                      </w:rPr>
                      <w:t>Total</w:t>
                      <w:tab/>
                    </w:r>
                    <w:r>
                      <w:rPr>
                        <w:color w:val="231F20"/>
                        <w:sz w:val="16"/>
                      </w:rPr>
                      <w:t>–</w:t>
                    </w:r>
                  </w:p>
                  <w:p>
                    <w:pPr>
                      <w:spacing w:before="64"/>
                      <w:ind w:left="3056" w:right="0" w:firstLine="0"/>
                      <w:jc w:val="left"/>
                      <w:rPr>
                        <w:sz w:val="12"/>
                      </w:rPr>
                    </w:pPr>
                    <w:r>
                      <w:rPr>
                        <w:sz w:val="12"/>
                      </w:rPr>
                      <w:t>5</w:t>
                    </w:r>
                  </w:p>
                  <w:p>
                    <w:pPr>
                      <w:spacing w:line="240" w:lineRule="auto" w:before="0"/>
                      <w:rPr>
                        <w:sz w:val="12"/>
                      </w:rPr>
                    </w:pPr>
                  </w:p>
                  <w:p>
                    <w:pPr>
                      <w:spacing w:before="80"/>
                      <w:ind w:left="2996" w:right="0" w:firstLine="0"/>
                      <w:jc w:val="left"/>
                      <w:rPr>
                        <w:sz w:val="12"/>
                      </w:rPr>
                    </w:pPr>
                    <w:r>
                      <w:rPr>
                        <w:sz w:val="12"/>
                      </w:rPr>
                      <w:t>10</w:t>
                    </w:r>
                  </w:p>
                  <w:p>
                    <w:pPr>
                      <w:spacing w:before="40"/>
                      <w:ind w:left="485" w:right="0" w:firstLine="0"/>
                      <w:jc w:val="left"/>
                      <w:rPr>
                        <w:sz w:val="12"/>
                      </w:rPr>
                    </w:pPr>
                    <w:r>
                      <w:rPr>
                        <w:sz w:val="12"/>
                      </w:rPr>
                      <w:t>To non-EU countries</w:t>
                    </w:r>
                  </w:p>
                </w:txbxContent>
              </v:textbox>
              <w10:wrap type="none"/>
            </v:shape>
            <v:shape style="position:absolute;left:4039;top:2843;width:140;height:133" type="#_x0000_t202" filled="false" stroked="false">
              <v:textbox inset="0,0,0,0">
                <w:txbxContent>
                  <w:p>
                    <w:pPr>
                      <w:spacing w:line="133" w:lineRule="exact" w:before="0"/>
                      <w:ind w:left="0" w:right="0" w:firstLine="0"/>
                      <w:jc w:val="left"/>
                      <w:rPr>
                        <w:sz w:val="12"/>
                      </w:rPr>
                    </w:pPr>
                    <w:r>
                      <w:rPr>
                        <w:sz w:val="12"/>
                      </w:rPr>
                      <w:t>15</w:t>
                    </w:r>
                  </w:p>
                </w:txbxContent>
              </v:textbox>
              <w10:wrap type="none"/>
            </v:shape>
            <w10:wrap type="none"/>
          </v:group>
        </w:pict>
      </w:r>
      <w:r>
        <w:rPr/>
        <w:pict>
          <v:line style="position:absolute;mso-position-horizontal-relative:page;mso-position-vertical-relative:paragraph;z-index:-21138432" from="195.735001pt,15.07855pt" to="199.573001pt,15.07855pt" stroked="true" strokeweight=".5pt" strokecolor="#000000">
            <v:stroke dashstyle="solid"/>
            <w10:wrap type="none"/>
          </v:line>
        </w:pict>
      </w:r>
      <w:r>
        <w:rPr/>
        <w:pict>
          <v:line style="position:absolute;mso-position-horizontal-relative:page;mso-position-vertical-relative:paragraph;z-index:15882240" from="43.987pt,71.525551pt" to="47.826pt,71.525551pt" stroked="true" strokeweight=".5pt" strokecolor="#000000">
            <v:stroke dashstyle="solid"/>
            <w10:wrap type="none"/>
          </v:line>
        </w:pict>
      </w:r>
      <w:r>
        <w:rPr/>
        <w:pict>
          <v:line style="position:absolute;mso-position-horizontal-relative:page;mso-position-vertical-relative:paragraph;z-index:15882752" from="43.987pt,52.710552pt" to="47.826pt,52.710552pt" stroked="true" strokeweight=".5pt" strokecolor="#000000">
            <v:stroke dashstyle="solid"/>
            <w10:wrap type="none"/>
          </v:line>
        </w:pict>
      </w:r>
      <w:r>
        <w:rPr/>
        <w:pict>
          <v:line style="position:absolute;mso-position-horizontal-relative:page;mso-position-vertical-relative:paragraph;z-index:15883264" from="43.987pt,33.894550pt" to="47.826pt,33.894550pt" stroked="true" strokeweight=".5pt" strokecolor="#000000">
            <v:stroke dashstyle="solid"/>
            <w10:wrap type="none"/>
          </v:line>
        </w:pict>
      </w:r>
      <w:r>
        <w:rPr/>
        <w:pict>
          <v:line style="position:absolute;mso-position-horizontal-relative:page;mso-position-vertical-relative:paragraph;z-index:15883776" from="43.987pt,15.079551pt" to="47.826pt,15.079551pt" stroked="true" strokeweight=".5pt" strokecolor="#000000">
            <v:stroke dashstyle="solid"/>
            <w10:wrap type="none"/>
          </v:line>
        </w:pict>
      </w:r>
      <w:r>
        <w:rPr>
          <w:sz w:val="12"/>
        </w:rPr>
        <w:t>Percentage changes on a year earlier </w:t>
      </w:r>
      <w:r>
        <w:rPr>
          <w:spacing w:val="3"/>
          <w:sz w:val="12"/>
        </w:rPr>
        <w:t> </w:t>
      </w:r>
      <w:r>
        <w:rPr>
          <w:position w:val="-7"/>
          <w:sz w:val="12"/>
        </w:rPr>
        <w:t>20</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0"/>
        <w:rPr>
          <w:sz w:val="28"/>
        </w:rPr>
      </w:pPr>
    </w:p>
    <w:p>
      <w:pPr>
        <w:spacing w:line="122" w:lineRule="exact" w:before="0"/>
        <w:ind w:left="3399" w:right="0" w:firstLine="0"/>
        <w:jc w:val="left"/>
        <w:rPr>
          <w:sz w:val="12"/>
        </w:rPr>
      </w:pPr>
      <w:r>
        <w:rPr/>
        <w:pict>
          <v:shape style="position:absolute;margin-left:43.987pt;margin-top:-.245445pt;width:155.6pt;height:4.350pt;mso-position-horizontal-relative:page;mso-position-vertical-relative:paragraph;z-index:15879168" coordorigin="880,-5" coordsize="3112,87" path="m3857,82l1012,82m3782,82l3782,27m3707,82l3707,27m3616,82l3616,27m3466,82l3466,27m3391,82l3391,27m3300,82l3300,27m3150,82l3150,27m3075,82l3075,27m2984,82l2984,27m2834,82l2834,27m2743,82l2743,27m2668,82l2668,27m2518,82l2518,27m2427,82l2427,27m2352,82l2352,27m2201,82l2201,27m2111,82l2111,27m2036,82l2036,27m1885,82l1885,27m1795,82l1795,27m1720,82l1720,27m1569,82l1569,27m1479,82l1479,27m1404,82l1404,27m1238,82l1238,27m1163,82l1163,27m1088,82l1088,27m1012,-5l1012,82m1328,-5l1328,82m1645,-5l1645,82m1961,-5l1961,82m2277,-5l2277,82m2593,-5l2593,82m2909,-5l2909,82m3225,-5l3225,82m3541,-5l3541,82m3857,-5l3857,82m3915,82l3991,82m880,82l957,82e" filled="false" stroked="true" strokeweight=".5pt" strokecolor="#000000">
            <v:path arrowok="t"/>
            <v:stroke dashstyle="solid"/>
            <w10:wrap type="none"/>
          </v:shape>
        </w:pict>
      </w:r>
      <w:r>
        <w:rPr/>
        <w:pict>
          <v:line style="position:absolute;mso-position-horizontal-relative:page;mso-position-vertical-relative:paragraph;z-index:15880192" from="43.987pt,-14.717445pt" to="47.826pt,-14.717445pt" stroked="true" strokeweight=".5pt" strokecolor="#000000">
            <v:stroke dashstyle="solid"/>
            <w10:wrap type="none"/>
          </v:line>
        </w:pict>
      </w:r>
      <w:r>
        <w:rPr/>
        <w:pict>
          <v:line style="position:absolute;mso-position-horizontal-relative:page;mso-position-vertical-relative:paragraph;z-index:15880704" from="43.987pt,-32.780445pt" to="47.826pt,-32.780445pt" stroked="true" strokeweight=".5pt" strokecolor="#000000">
            <v:stroke dashstyle="solid"/>
            <w10:wrap type="none"/>
          </v:line>
        </w:pict>
      </w:r>
      <w:r>
        <w:rPr/>
        <w:pict>
          <v:line style="position:absolute;mso-position-horizontal-relative:page;mso-position-vertical-relative:paragraph;z-index:15881216" from="43.987pt,-51.595444pt" to="47.826pt,-51.595444pt" stroked="true" strokeweight=".5pt" strokecolor="#000000">
            <v:stroke dashstyle="solid"/>
            <w10:wrap type="none"/>
          </v:line>
        </w:pict>
      </w:r>
      <w:r>
        <w:rPr/>
        <w:pict>
          <v:line style="position:absolute;mso-position-horizontal-relative:page;mso-position-vertical-relative:paragraph;z-index:15881728" from="43.987pt,-70.411446pt" to="47.826pt,-70.411446pt" stroked="true" strokeweight=".5pt" strokecolor="#000000">
            <v:stroke dashstyle="solid"/>
            <w10:wrap type="none"/>
          </v:line>
        </w:pict>
      </w:r>
      <w:r>
        <w:rPr>
          <w:sz w:val="12"/>
        </w:rPr>
        <w:t>20</w:t>
      </w:r>
    </w:p>
    <w:p>
      <w:pPr>
        <w:spacing w:line="122" w:lineRule="exact" w:before="0"/>
        <w:ind w:left="375" w:right="0" w:firstLine="0"/>
        <w:jc w:val="left"/>
        <w:rPr>
          <w:sz w:val="12"/>
        </w:rPr>
      </w:pPr>
      <w:r>
        <w:rPr>
          <w:sz w:val="12"/>
        </w:rPr>
        <w:t>1990 91 92 93 94 95 96 97 98</w:t>
      </w:r>
    </w:p>
    <w:p>
      <w:pPr>
        <w:pStyle w:val="BodyText"/>
        <w:spacing w:before="3"/>
        <w:rPr>
          <w:sz w:val="14"/>
        </w:rPr>
      </w:pPr>
    </w:p>
    <w:p>
      <w:pPr>
        <w:spacing w:line="208" w:lineRule="auto" w:before="0"/>
        <w:ind w:left="434" w:right="707" w:hanging="240"/>
        <w:jc w:val="left"/>
        <w:rPr>
          <w:sz w:val="12"/>
        </w:rPr>
      </w:pPr>
      <w:r>
        <w:rPr>
          <w:color w:val="231F20"/>
          <w:sz w:val="12"/>
        </w:rPr>
        <w:t>(a) Three-month moving averages using volume data; balance of payments basis.</w:t>
      </w:r>
    </w:p>
    <w:p>
      <w:pPr>
        <w:pStyle w:val="BodyText"/>
        <w:rPr>
          <w:sz w:val="12"/>
        </w:rPr>
      </w:pPr>
    </w:p>
    <w:p>
      <w:pPr>
        <w:pStyle w:val="BodyText"/>
        <w:spacing w:before="5"/>
        <w:rPr>
          <w:sz w:val="16"/>
        </w:rPr>
      </w:pPr>
    </w:p>
    <w:p>
      <w:pPr>
        <w:pStyle w:val="Heading7"/>
        <w:spacing w:before="0"/>
        <w:ind w:left="154"/>
      </w:pPr>
      <w:r>
        <w:rPr>
          <w:color w:val="0093C1"/>
        </w:rPr>
        <w:t>Table 2.A</w:t>
      </w:r>
    </w:p>
    <w:p>
      <w:pPr>
        <w:spacing w:before="10"/>
        <w:ind w:left="154" w:right="0" w:firstLine="0"/>
        <w:jc w:val="left"/>
        <w:rPr>
          <w:b/>
          <w:sz w:val="20"/>
        </w:rPr>
      </w:pPr>
      <w:r>
        <w:rPr>
          <w:b/>
          <w:color w:val="0093C1"/>
          <w:sz w:val="20"/>
        </w:rPr>
        <w:t>UK export growth</w:t>
      </w:r>
    </w:p>
    <w:p>
      <w:pPr>
        <w:spacing w:before="106"/>
        <w:ind w:left="154" w:right="0" w:firstLine="0"/>
        <w:jc w:val="left"/>
        <w:rPr>
          <w:sz w:val="14"/>
        </w:rPr>
      </w:pPr>
      <w:r>
        <w:rPr>
          <w:color w:val="231F20"/>
          <w:sz w:val="14"/>
        </w:rPr>
        <w:t>Per cent</w:t>
      </w:r>
    </w:p>
    <w:p>
      <w:pPr>
        <w:pStyle w:val="BodyText"/>
        <w:spacing w:before="10"/>
        <w:rPr>
          <w:sz w:val="10"/>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06"/>
        <w:gridCol w:w="1007"/>
        <w:gridCol w:w="1458"/>
        <w:gridCol w:w="533"/>
      </w:tblGrid>
      <w:tr>
        <w:trPr>
          <w:trHeight w:val="287" w:hRule="atLeast"/>
        </w:trPr>
        <w:tc>
          <w:tcPr>
            <w:tcW w:w="1106" w:type="dxa"/>
          </w:tcPr>
          <w:p>
            <w:pPr>
              <w:pStyle w:val="TableParagraph"/>
              <w:spacing w:line="155" w:lineRule="exact"/>
              <w:ind w:left="50"/>
              <w:rPr>
                <w:sz w:val="14"/>
              </w:rPr>
            </w:pPr>
            <w:r>
              <w:rPr>
                <w:color w:val="231F20"/>
                <w:sz w:val="14"/>
              </w:rPr>
              <w:t>Region</w:t>
            </w:r>
          </w:p>
        </w:tc>
        <w:tc>
          <w:tcPr>
            <w:tcW w:w="1007" w:type="dxa"/>
          </w:tcPr>
          <w:p>
            <w:pPr>
              <w:pStyle w:val="TableParagraph"/>
              <w:spacing w:line="140" w:lineRule="exact" w:before="12"/>
              <w:ind w:left="14" w:right="219" w:hanging="1"/>
              <w:rPr>
                <w:sz w:val="14"/>
              </w:rPr>
            </w:pPr>
            <w:r>
              <w:rPr>
                <w:color w:val="231F20"/>
                <w:sz w:val="14"/>
              </w:rPr>
              <w:t>Share of total UK goods</w:t>
            </w:r>
          </w:p>
        </w:tc>
        <w:tc>
          <w:tcPr>
            <w:tcW w:w="1991" w:type="dxa"/>
            <w:gridSpan w:val="2"/>
          </w:tcPr>
          <w:p>
            <w:pPr>
              <w:pStyle w:val="TableParagraph"/>
              <w:tabs>
                <w:tab w:pos="1937" w:val="left" w:leader="none"/>
              </w:tabs>
              <w:spacing w:line="140" w:lineRule="exact" w:before="12"/>
              <w:ind w:left="87" w:right="51" w:hanging="1"/>
              <w:rPr>
                <w:sz w:val="12"/>
              </w:rPr>
            </w:pPr>
            <w:r>
              <w:rPr>
                <w:color w:val="231F20"/>
                <w:sz w:val="14"/>
              </w:rPr>
              <w:t>Annual growth in goods export </w:t>
            </w:r>
            <w:r>
              <w:rPr>
                <w:color w:val="231F20"/>
                <w:sz w:val="14"/>
                <w:u w:val="single" w:color="231F20"/>
              </w:rPr>
              <w:t>volumes</w:t>
            </w:r>
            <w:r>
              <w:rPr>
                <w:color w:val="231F20"/>
                <w:spacing w:val="-1"/>
                <w:sz w:val="14"/>
                <w:u w:val="single" w:color="231F20"/>
              </w:rPr>
              <w:t> </w:t>
            </w:r>
            <w:r>
              <w:rPr>
                <w:color w:val="231F20"/>
                <w:sz w:val="12"/>
                <w:u w:val="single" w:color="231F20"/>
              </w:rPr>
              <w:t>(a)</w:t>
              <w:tab/>
            </w:r>
          </w:p>
        </w:tc>
      </w:tr>
      <w:tr>
        <w:trPr>
          <w:trHeight w:val="172" w:hRule="atLeast"/>
        </w:trPr>
        <w:tc>
          <w:tcPr>
            <w:tcW w:w="1106" w:type="dxa"/>
          </w:tcPr>
          <w:p>
            <w:pPr>
              <w:pStyle w:val="TableParagraph"/>
              <w:spacing w:line="240" w:lineRule="auto"/>
              <w:rPr>
                <w:sz w:val="10"/>
              </w:rPr>
            </w:pPr>
          </w:p>
        </w:tc>
        <w:tc>
          <w:tcPr>
            <w:tcW w:w="1007" w:type="dxa"/>
          </w:tcPr>
          <w:p>
            <w:pPr>
              <w:pStyle w:val="TableParagraph"/>
              <w:spacing w:line="143" w:lineRule="exact"/>
              <w:ind w:left="14"/>
              <w:rPr>
                <w:sz w:val="14"/>
              </w:rPr>
            </w:pPr>
            <w:r>
              <w:rPr>
                <w:color w:val="231F20"/>
                <w:sz w:val="14"/>
                <w:u w:val="single" w:color="231F20"/>
              </w:rPr>
              <w:t>exports in 1997 </w:t>
            </w:r>
          </w:p>
        </w:tc>
        <w:tc>
          <w:tcPr>
            <w:tcW w:w="1991" w:type="dxa"/>
            <w:gridSpan w:val="2"/>
          </w:tcPr>
          <w:p>
            <w:pPr>
              <w:pStyle w:val="TableParagraph"/>
              <w:tabs>
                <w:tab w:pos="1437" w:val="left" w:leader="none"/>
              </w:tabs>
              <w:spacing w:line="143" w:lineRule="exact"/>
              <w:ind w:left="87"/>
              <w:rPr>
                <w:sz w:val="14"/>
              </w:rPr>
            </w:pPr>
            <w:r>
              <w:rPr>
                <w:color w:val="231F20"/>
                <w:sz w:val="14"/>
                <w:u w:val="single" w:color="231F20"/>
              </w:rPr>
              <w:t>1998 Q3</w:t>
            </w:r>
            <w:r>
              <w:rPr>
                <w:color w:val="231F20"/>
                <w:sz w:val="14"/>
              </w:rPr>
              <w:tab/>
              <w:t>1998 Q4</w:t>
            </w:r>
          </w:p>
        </w:tc>
      </w:tr>
      <w:tr>
        <w:trPr>
          <w:trHeight w:val="238" w:hRule="atLeast"/>
        </w:trPr>
        <w:tc>
          <w:tcPr>
            <w:tcW w:w="1106" w:type="dxa"/>
          </w:tcPr>
          <w:p>
            <w:pPr>
              <w:pStyle w:val="TableParagraph"/>
              <w:spacing w:line="133" w:lineRule="exact" w:before="86"/>
              <w:ind w:left="50"/>
              <w:rPr>
                <w:sz w:val="14"/>
              </w:rPr>
            </w:pPr>
            <w:r>
              <w:rPr>
                <w:color w:val="231F20"/>
                <w:sz w:val="14"/>
              </w:rPr>
              <w:t>European Union</w:t>
            </w:r>
          </w:p>
        </w:tc>
        <w:tc>
          <w:tcPr>
            <w:tcW w:w="1007" w:type="dxa"/>
          </w:tcPr>
          <w:p>
            <w:pPr>
              <w:pStyle w:val="TableParagraph"/>
              <w:spacing w:line="133" w:lineRule="exact" w:before="86"/>
              <w:ind w:left="228"/>
              <w:rPr>
                <w:sz w:val="14"/>
              </w:rPr>
            </w:pPr>
            <w:r>
              <w:rPr>
                <w:color w:val="231F20"/>
                <w:sz w:val="14"/>
              </w:rPr>
              <w:t>55.8</w:t>
            </w:r>
          </w:p>
        </w:tc>
        <w:tc>
          <w:tcPr>
            <w:tcW w:w="1458" w:type="dxa"/>
          </w:tcPr>
          <w:p>
            <w:pPr>
              <w:pStyle w:val="TableParagraph"/>
              <w:spacing w:line="133" w:lineRule="exact" w:before="86"/>
              <w:ind w:left="341"/>
              <w:rPr>
                <w:sz w:val="14"/>
              </w:rPr>
            </w:pPr>
            <w:r>
              <w:rPr>
                <w:color w:val="231F20"/>
                <w:sz w:val="14"/>
              </w:rPr>
              <w:t>7.1</w:t>
            </w:r>
          </w:p>
        </w:tc>
        <w:tc>
          <w:tcPr>
            <w:tcW w:w="533" w:type="dxa"/>
            <w:tcBorders>
              <w:top w:val="single" w:sz="2" w:space="0" w:color="231F20"/>
            </w:tcBorders>
          </w:tcPr>
          <w:p>
            <w:pPr>
              <w:pStyle w:val="TableParagraph"/>
              <w:spacing w:line="133" w:lineRule="exact" w:before="86"/>
              <w:ind w:right="141"/>
              <w:jc w:val="right"/>
              <w:rPr>
                <w:sz w:val="14"/>
              </w:rPr>
            </w:pPr>
            <w:r>
              <w:rPr>
                <w:color w:val="231F20"/>
                <w:sz w:val="14"/>
              </w:rPr>
              <w:t>n.a.</w:t>
            </w:r>
          </w:p>
        </w:tc>
      </w:tr>
      <w:tr>
        <w:trPr>
          <w:trHeight w:val="140" w:hRule="atLeast"/>
        </w:trPr>
        <w:tc>
          <w:tcPr>
            <w:tcW w:w="1106" w:type="dxa"/>
          </w:tcPr>
          <w:p>
            <w:pPr>
              <w:pStyle w:val="TableParagraph"/>
              <w:ind w:left="50"/>
              <w:rPr>
                <w:sz w:val="14"/>
              </w:rPr>
            </w:pPr>
            <w:r>
              <w:rPr>
                <w:color w:val="231F20"/>
                <w:sz w:val="14"/>
              </w:rPr>
              <w:t>North America</w:t>
            </w:r>
          </w:p>
        </w:tc>
        <w:tc>
          <w:tcPr>
            <w:tcW w:w="1007" w:type="dxa"/>
          </w:tcPr>
          <w:p>
            <w:pPr>
              <w:pStyle w:val="TableParagraph"/>
              <w:ind w:left="229"/>
              <w:rPr>
                <w:sz w:val="14"/>
              </w:rPr>
            </w:pPr>
            <w:r>
              <w:rPr>
                <w:color w:val="231F20"/>
                <w:sz w:val="14"/>
              </w:rPr>
              <w:t>13.9</w:t>
            </w:r>
          </w:p>
        </w:tc>
        <w:tc>
          <w:tcPr>
            <w:tcW w:w="1458" w:type="dxa"/>
          </w:tcPr>
          <w:p>
            <w:pPr>
              <w:pStyle w:val="TableParagraph"/>
              <w:ind w:left="342"/>
              <w:rPr>
                <w:sz w:val="14"/>
              </w:rPr>
            </w:pPr>
            <w:r>
              <w:rPr>
                <w:color w:val="231F20"/>
                <w:sz w:val="14"/>
              </w:rPr>
              <w:t>9.2</w:t>
            </w:r>
          </w:p>
        </w:tc>
        <w:tc>
          <w:tcPr>
            <w:tcW w:w="533" w:type="dxa"/>
          </w:tcPr>
          <w:p>
            <w:pPr>
              <w:pStyle w:val="TableParagraph"/>
              <w:ind w:right="141"/>
              <w:jc w:val="right"/>
              <w:rPr>
                <w:sz w:val="14"/>
              </w:rPr>
            </w:pPr>
            <w:r>
              <w:rPr>
                <w:color w:val="231F20"/>
                <w:sz w:val="14"/>
              </w:rPr>
              <w:t>9.1</w:t>
            </w:r>
          </w:p>
        </w:tc>
      </w:tr>
      <w:tr>
        <w:trPr>
          <w:trHeight w:val="140" w:hRule="atLeast"/>
        </w:trPr>
        <w:tc>
          <w:tcPr>
            <w:tcW w:w="1106" w:type="dxa"/>
          </w:tcPr>
          <w:p>
            <w:pPr>
              <w:pStyle w:val="TableParagraph"/>
              <w:ind w:left="50"/>
              <w:rPr>
                <w:sz w:val="14"/>
              </w:rPr>
            </w:pPr>
            <w:r>
              <w:rPr>
                <w:color w:val="231F20"/>
                <w:sz w:val="14"/>
              </w:rPr>
              <w:t>Oil exporters</w:t>
            </w:r>
          </w:p>
        </w:tc>
        <w:tc>
          <w:tcPr>
            <w:tcW w:w="1007" w:type="dxa"/>
          </w:tcPr>
          <w:p>
            <w:pPr>
              <w:pStyle w:val="TableParagraph"/>
              <w:ind w:left="299"/>
              <w:rPr>
                <w:sz w:val="14"/>
              </w:rPr>
            </w:pPr>
            <w:r>
              <w:rPr>
                <w:color w:val="231F20"/>
                <w:sz w:val="14"/>
              </w:rPr>
              <w:t>5.5</w:t>
            </w:r>
          </w:p>
        </w:tc>
        <w:tc>
          <w:tcPr>
            <w:tcW w:w="1458" w:type="dxa"/>
          </w:tcPr>
          <w:p>
            <w:pPr>
              <w:pStyle w:val="TableParagraph"/>
              <w:ind w:left="225"/>
              <w:rPr>
                <w:sz w:val="14"/>
              </w:rPr>
            </w:pPr>
            <w:r>
              <w:rPr>
                <w:color w:val="231F20"/>
                <w:sz w:val="14"/>
              </w:rPr>
              <w:t>-28.2</w:t>
            </w:r>
          </w:p>
        </w:tc>
        <w:tc>
          <w:tcPr>
            <w:tcW w:w="533" w:type="dxa"/>
          </w:tcPr>
          <w:p>
            <w:pPr>
              <w:pStyle w:val="TableParagraph"/>
              <w:ind w:right="141"/>
              <w:jc w:val="right"/>
              <w:rPr>
                <w:sz w:val="14"/>
              </w:rPr>
            </w:pPr>
            <w:r>
              <w:rPr>
                <w:color w:val="231F20"/>
                <w:sz w:val="14"/>
              </w:rPr>
              <w:t>-33.0</w:t>
            </w:r>
          </w:p>
        </w:tc>
      </w:tr>
      <w:tr>
        <w:trPr>
          <w:trHeight w:val="140" w:hRule="atLeast"/>
        </w:trPr>
        <w:tc>
          <w:tcPr>
            <w:tcW w:w="1106" w:type="dxa"/>
          </w:tcPr>
          <w:p>
            <w:pPr>
              <w:pStyle w:val="TableParagraph"/>
              <w:ind w:left="50"/>
              <w:rPr>
                <w:sz w:val="14"/>
              </w:rPr>
            </w:pPr>
            <w:r>
              <w:rPr>
                <w:color w:val="231F20"/>
                <w:sz w:val="14"/>
              </w:rPr>
              <w:t>Rest of the world</w:t>
            </w:r>
          </w:p>
        </w:tc>
        <w:tc>
          <w:tcPr>
            <w:tcW w:w="1007" w:type="dxa"/>
          </w:tcPr>
          <w:p>
            <w:pPr>
              <w:pStyle w:val="TableParagraph"/>
              <w:ind w:left="229"/>
              <w:rPr>
                <w:sz w:val="14"/>
              </w:rPr>
            </w:pPr>
            <w:r>
              <w:rPr>
                <w:color w:val="231F20"/>
                <w:sz w:val="14"/>
              </w:rPr>
              <w:t>24.8</w:t>
            </w:r>
          </w:p>
        </w:tc>
        <w:tc>
          <w:tcPr>
            <w:tcW w:w="1458" w:type="dxa"/>
          </w:tcPr>
          <w:p>
            <w:pPr>
              <w:pStyle w:val="TableParagraph"/>
              <w:ind w:left="225"/>
              <w:rPr>
                <w:sz w:val="14"/>
              </w:rPr>
            </w:pPr>
            <w:r>
              <w:rPr>
                <w:color w:val="231F20"/>
                <w:sz w:val="14"/>
              </w:rPr>
              <w:t>-13.0</w:t>
            </w:r>
          </w:p>
        </w:tc>
        <w:tc>
          <w:tcPr>
            <w:tcW w:w="533" w:type="dxa"/>
          </w:tcPr>
          <w:p>
            <w:pPr>
              <w:pStyle w:val="TableParagraph"/>
              <w:ind w:right="141"/>
              <w:jc w:val="right"/>
              <w:rPr>
                <w:sz w:val="14"/>
              </w:rPr>
            </w:pPr>
            <w:r>
              <w:rPr>
                <w:color w:val="231F20"/>
                <w:sz w:val="14"/>
              </w:rPr>
              <w:t>-13.2</w:t>
            </w:r>
          </w:p>
        </w:tc>
      </w:tr>
      <w:tr>
        <w:trPr>
          <w:trHeight w:val="147" w:hRule="atLeast"/>
        </w:trPr>
        <w:tc>
          <w:tcPr>
            <w:tcW w:w="1106" w:type="dxa"/>
          </w:tcPr>
          <w:p>
            <w:pPr>
              <w:pStyle w:val="TableParagraph"/>
              <w:spacing w:line="128" w:lineRule="exact"/>
              <w:ind w:left="120"/>
              <w:rPr>
                <w:sz w:val="12"/>
              </w:rPr>
            </w:pPr>
            <w:r>
              <w:rPr>
                <w:i/>
                <w:color w:val="231F20"/>
                <w:sz w:val="14"/>
              </w:rPr>
              <w:t>of which, Asia </w:t>
            </w:r>
            <w:r>
              <w:rPr>
                <w:color w:val="231F20"/>
                <w:sz w:val="12"/>
              </w:rPr>
              <w:t>(b)</w:t>
            </w:r>
          </w:p>
        </w:tc>
        <w:tc>
          <w:tcPr>
            <w:tcW w:w="1007" w:type="dxa"/>
          </w:tcPr>
          <w:p>
            <w:pPr>
              <w:pStyle w:val="TableParagraph"/>
              <w:spacing w:line="128" w:lineRule="exact"/>
              <w:ind w:left="299"/>
              <w:rPr>
                <w:i/>
                <w:sz w:val="14"/>
              </w:rPr>
            </w:pPr>
            <w:r>
              <w:rPr>
                <w:i/>
                <w:color w:val="231F20"/>
                <w:sz w:val="14"/>
              </w:rPr>
              <w:t>8.5</w:t>
            </w:r>
          </w:p>
        </w:tc>
        <w:tc>
          <w:tcPr>
            <w:tcW w:w="1458" w:type="dxa"/>
          </w:tcPr>
          <w:p>
            <w:pPr>
              <w:pStyle w:val="TableParagraph"/>
              <w:spacing w:line="128" w:lineRule="exact"/>
              <w:ind w:left="225"/>
              <w:rPr>
                <w:i/>
                <w:sz w:val="14"/>
              </w:rPr>
            </w:pPr>
            <w:r>
              <w:rPr>
                <w:i/>
                <w:color w:val="231F20"/>
                <w:sz w:val="14"/>
              </w:rPr>
              <w:t>-22.8</w:t>
            </w:r>
          </w:p>
        </w:tc>
        <w:tc>
          <w:tcPr>
            <w:tcW w:w="533" w:type="dxa"/>
          </w:tcPr>
          <w:p>
            <w:pPr>
              <w:pStyle w:val="TableParagraph"/>
              <w:spacing w:line="128" w:lineRule="exact"/>
              <w:ind w:right="141"/>
              <w:jc w:val="right"/>
              <w:rPr>
                <w:i/>
                <w:sz w:val="14"/>
              </w:rPr>
            </w:pPr>
            <w:r>
              <w:rPr>
                <w:i/>
                <w:color w:val="231F20"/>
                <w:sz w:val="14"/>
              </w:rPr>
              <w:t>-24.2</w:t>
            </w:r>
          </w:p>
        </w:tc>
      </w:tr>
    </w:tbl>
    <w:p>
      <w:pPr>
        <w:pStyle w:val="ListParagraph"/>
        <w:numPr>
          <w:ilvl w:val="0"/>
          <w:numId w:val="8"/>
        </w:numPr>
        <w:tabs>
          <w:tab w:pos="395" w:val="left" w:leader="none"/>
        </w:tabs>
        <w:spacing w:line="208" w:lineRule="auto" w:before="132" w:after="0"/>
        <w:ind w:left="394" w:right="38" w:hanging="240"/>
        <w:jc w:val="left"/>
        <w:rPr>
          <w:sz w:val="12"/>
        </w:rPr>
      </w:pPr>
      <w:r>
        <w:rPr>
          <w:color w:val="231F20"/>
          <w:sz w:val="12"/>
        </w:rPr>
        <w:t>Figures for exports to Asian countries are on an OTS basis; all other exports are </w:t>
      </w:r>
      <w:r>
        <w:rPr>
          <w:color w:val="231F20"/>
          <w:spacing w:val="-9"/>
          <w:sz w:val="12"/>
        </w:rPr>
        <w:t>on </w:t>
      </w:r>
      <w:r>
        <w:rPr>
          <w:color w:val="231F20"/>
          <w:sz w:val="12"/>
        </w:rPr>
        <w:t>a balance of payments basis. All non-EU export values are deflated by the aggregate price index for exports to non-EU countries.</w:t>
      </w:r>
    </w:p>
    <w:p>
      <w:pPr>
        <w:pStyle w:val="ListParagraph"/>
        <w:numPr>
          <w:ilvl w:val="0"/>
          <w:numId w:val="8"/>
        </w:numPr>
        <w:tabs>
          <w:tab w:pos="395" w:val="left" w:leader="none"/>
        </w:tabs>
        <w:spacing w:line="208" w:lineRule="auto" w:before="0" w:after="0"/>
        <w:ind w:left="394" w:right="227" w:hanging="240"/>
        <w:jc w:val="left"/>
        <w:rPr>
          <w:sz w:val="12"/>
        </w:rPr>
      </w:pPr>
      <w:r>
        <w:rPr>
          <w:color w:val="231F20"/>
          <w:sz w:val="12"/>
        </w:rPr>
        <w:t>Asia comprises Japan, South Korea, Hong Kong, Malaysia, Singapore, </w:t>
      </w:r>
      <w:r>
        <w:rPr>
          <w:color w:val="231F20"/>
          <w:spacing w:val="-3"/>
          <w:sz w:val="12"/>
        </w:rPr>
        <w:t>Taiwan, </w:t>
      </w:r>
      <w:r>
        <w:rPr>
          <w:color w:val="231F20"/>
          <w:sz w:val="12"/>
        </w:rPr>
        <w:t>Thailand, and China.</w:t>
      </w:r>
    </w:p>
    <w:p>
      <w:pPr>
        <w:pStyle w:val="BodyText"/>
        <w:spacing w:line="40" w:lineRule="exact"/>
        <w:ind w:left="134"/>
        <w:rPr>
          <w:sz w:val="4"/>
        </w:rPr>
      </w:pPr>
      <w:r>
        <w:rPr/>
        <w:br w:type="column"/>
      </w:r>
      <w:r>
        <w:rPr>
          <w:position w:val="0"/>
          <w:sz w:val="4"/>
        </w:rPr>
        <w:pict>
          <v:group style="width:274pt;height:2pt;mso-position-horizontal-relative:char;mso-position-vertical-relative:line" coordorigin="0,0" coordsize="5480,40">
            <v:line style="position:absolute" from="0,20" to="5480,20" stroked="true" strokeweight="2pt" strokecolor="#0093c1">
              <v:stroke dashstyle="solid"/>
            </v:line>
          </v:group>
        </w:pict>
      </w:r>
      <w:r>
        <w:rPr>
          <w:position w:val="0"/>
          <w:sz w:val="4"/>
        </w:rPr>
      </w:r>
    </w:p>
    <w:p>
      <w:pPr>
        <w:pStyle w:val="BodyText"/>
        <w:spacing w:before="6"/>
        <w:rPr>
          <w:sz w:val="20"/>
        </w:rPr>
      </w:pPr>
    </w:p>
    <w:p>
      <w:pPr>
        <w:pStyle w:val="Heading4"/>
        <w:spacing w:line="242" w:lineRule="auto"/>
        <w:ind w:left="154" w:right="229"/>
      </w:pPr>
      <w:r>
        <w:rPr>
          <w:color w:val="231F20"/>
        </w:rPr>
        <w:t>The growth rate of UK export volumes for goods and services has slowed markedly since mid 1997, largely reflecting weaker exports of goods to non-EU countries (see Charts 2.1 and 2.2). In particular, the recession in Japan, the financial crisis in East Asia, and the marked fall in the price of oil since January 1997 have caused a sharp contraction in demand among Asian economies and oil-exporting nations (see Table 2.A). Even though these countries are the destination for only about 15% of UK exports, the decline in their demand for UK goods has been large enough to offset the continued growth in exports to other regions.</w:t>
      </w:r>
    </w:p>
    <w:p>
      <w:pPr>
        <w:pStyle w:val="BodyText"/>
        <w:spacing w:before="7"/>
        <w:rPr>
          <w:sz w:val="25"/>
        </w:rPr>
      </w:pPr>
    </w:p>
    <w:p>
      <w:pPr>
        <w:spacing w:line="242" w:lineRule="auto" w:before="0"/>
        <w:ind w:left="154" w:right="274" w:firstLine="0"/>
        <w:jc w:val="left"/>
        <w:rPr>
          <w:sz w:val="24"/>
        </w:rPr>
      </w:pPr>
      <w:r>
        <w:rPr>
          <w:color w:val="231F20"/>
          <w:sz w:val="24"/>
        </w:rPr>
        <w:t>In contrast, activity has so far been sustained in Europe and stronger than expected in North America (the destinations for two thirds of UK exports). Euro-area GDP rose by 2.4% in the year to 1998 Q3, and US GDP increased by 4.1% in the year to 1998 Q4. However, even in these countries, the impact of the Asian downturn and the slowdown in Middle Eastern and South American economies is beginning to be felt.</w:t>
      </w:r>
    </w:p>
    <w:p>
      <w:pPr>
        <w:spacing w:line="242" w:lineRule="auto" w:before="11"/>
        <w:ind w:left="154" w:right="129" w:firstLine="0"/>
        <w:jc w:val="left"/>
        <w:rPr>
          <w:sz w:val="24"/>
        </w:rPr>
      </w:pPr>
      <w:r>
        <w:rPr>
          <w:color w:val="231F20"/>
          <w:sz w:val="24"/>
        </w:rPr>
        <w:t>Business confidence fell last year in both Europe and the United States (see Chart 2.3), and the growth rate of industrial production has also slowed (see Chart 2.4).</w:t>
      </w:r>
    </w:p>
    <w:p>
      <w:pPr>
        <w:spacing w:line="242" w:lineRule="auto" w:before="3"/>
        <w:ind w:left="154" w:right="229" w:firstLine="0"/>
        <w:jc w:val="left"/>
        <w:rPr>
          <w:sz w:val="24"/>
        </w:rPr>
      </w:pPr>
      <w:r>
        <w:rPr>
          <w:color w:val="231F20"/>
          <w:sz w:val="24"/>
        </w:rPr>
        <w:t>Consequently, growth prospects for most industrialised countries have worsened.</w:t>
      </w:r>
    </w:p>
    <w:p>
      <w:pPr>
        <w:pStyle w:val="BodyText"/>
        <w:spacing w:before="7"/>
        <w:rPr>
          <w:sz w:val="24"/>
        </w:rPr>
      </w:pPr>
    </w:p>
    <w:p>
      <w:pPr>
        <w:spacing w:line="242" w:lineRule="auto" w:before="0"/>
        <w:ind w:left="154" w:right="129" w:firstLine="0"/>
        <w:jc w:val="left"/>
        <w:rPr>
          <w:sz w:val="24"/>
        </w:rPr>
      </w:pPr>
      <w:r>
        <w:rPr>
          <w:color w:val="231F20"/>
          <w:sz w:val="24"/>
        </w:rPr>
        <w:t>World trade forecasts have been revised downwards as a result of these developments. Between October and December, the IMF lowered its projections for world trade growth in 1998 and 1999 by a further 0.3 and</w:t>
      </w:r>
    </w:p>
    <w:p>
      <w:pPr>
        <w:pStyle w:val="BodyText"/>
        <w:spacing w:before="7"/>
        <w:rPr>
          <w:sz w:val="22"/>
        </w:rPr>
      </w:pPr>
      <w:r>
        <w:rPr/>
        <w:pict>
          <v:shape style="position:absolute;margin-left:281pt;margin-top:15.072998pt;width:273.75pt;height:.1pt;mso-position-horizontal-relative:page;mso-position-vertical-relative:paragraph;z-index:-15586816;mso-wrap-distance-left:0;mso-wrap-distance-right:0" coordorigin="5620,301" coordsize="5475,0" path="m5620,301l11095,301e" filled="false" stroked="true" strokeweight=".125pt" strokecolor="#231f20">
            <v:path arrowok="t"/>
            <v:stroke dashstyle="solid"/>
            <w10:wrap type="topAndBottom"/>
          </v:shape>
        </w:pict>
      </w:r>
    </w:p>
    <w:p>
      <w:pPr>
        <w:pStyle w:val="ListParagraph"/>
        <w:numPr>
          <w:ilvl w:val="1"/>
          <w:numId w:val="8"/>
        </w:numPr>
        <w:tabs>
          <w:tab w:pos="395" w:val="left" w:leader="none"/>
        </w:tabs>
        <w:spacing w:line="208" w:lineRule="auto" w:before="0" w:after="0"/>
        <w:ind w:left="394" w:right="954" w:hanging="240"/>
        <w:jc w:val="left"/>
        <w:rPr>
          <w:sz w:val="16"/>
        </w:rPr>
      </w:pPr>
      <w:r>
        <w:rPr>
          <w:color w:val="231F20"/>
          <w:sz w:val="16"/>
        </w:rPr>
        <w:t>For a detailed discussion of international economic developments, </w:t>
      </w:r>
      <w:r>
        <w:rPr>
          <w:color w:val="231F20"/>
          <w:spacing w:val="-6"/>
          <w:sz w:val="16"/>
        </w:rPr>
        <w:t>see </w:t>
      </w:r>
      <w:r>
        <w:rPr>
          <w:color w:val="231F20"/>
          <w:sz w:val="16"/>
        </w:rPr>
        <w:t>‘The international environment’ article in the </w:t>
      </w:r>
      <w:r>
        <w:rPr>
          <w:i/>
          <w:color w:val="231F20"/>
          <w:sz w:val="16"/>
        </w:rPr>
        <w:t>Quarterly Bulletin</w:t>
      </w:r>
      <w:r>
        <w:rPr>
          <w:color w:val="231F20"/>
          <w:sz w:val="16"/>
        </w:rPr>
        <w:t>, February 1999, pages 20–32.</w:t>
      </w:r>
    </w:p>
    <w:p>
      <w:pPr>
        <w:spacing w:after="0" w:line="208" w:lineRule="auto"/>
        <w:jc w:val="left"/>
        <w:rPr>
          <w:sz w:val="16"/>
        </w:rPr>
        <w:sectPr>
          <w:type w:val="continuous"/>
          <w:pgSz w:w="11900" w:h="16840"/>
          <w:pgMar w:top="1220" w:bottom="280" w:left="640" w:right="600"/>
          <w:cols w:num="2" w:equalWidth="0">
            <w:col w:w="4447" w:space="378"/>
            <w:col w:w="5835"/>
          </w:cols>
        </w:sectPr>
      </w:pPr>
    </w:p>
    <w:p>
      <w:pPr>
        <w:pStyle w:val="BodyText"/>
        <w:rPr>
          <w:sz w:val="20"/>
        </w:rPr>
      </w:pPr>
    </w:p>
    <w:p>
      <w:pPr>
        <w:spacing w:after="0"/>
        <w:rPr>
          <w:sz w:val="20"/>
        </w:rPr>
        <w:sectPr>
          <w:headerReference w:type="default" r:id="rId51"/>
          <w:headerReference w:type="even" r:id="rId52"/>
          <w:pgSz w:w="11900" w:h="16840"/>
          <w:pgMar w:header="586" w:footer="617" w:top="780" w:bottom="800" w:left="640" w:right="600"/>
        </w:sectPr>
      </w:pPr>
    </w:p>
    <w:p>
      <w:pPr>
        <w:pStyle w:val="BodyText"/>
        <w:spacing w:before="6"/>
        <w:rPr>
          <w:sz w:val="20"/>
        </w:rPr>
      </w:pPr>
    </w:p>
    <w:p>
      <w:pPr>
        <w:pStyle w:val="Heading7"/>
        <w:spacing w:before="0"/>
        <w:ind w:left="174"/>
      </w:pPr>
      <w:r>
        <w:rPr>
          <w:color w:val="0093C1"/>
        </w:rPr>
        <w:t>Chart 2.3</w:t>
      </w:r>
    </w:p>
    <w:p>
      <w:pPr>
        <w:spacing w:before="10"/>
        <w:ind w:left="174" w:right="0" w:firstLine="0"/>
        <w:jc w:val="left"/>
        <w:rPr>
          <w:sz w:val="12"/>
        </w:rPr>
      </w:pPr>
      <w:r>
        <w:rPr>
          <w:b/>
          <w:color w:val="0093C1"/>
          <w:sz w:val="20"/>
        </w:rPr>
        <w:t>Business confidence</w:t>
      </w:r>
      <w:r>
        <w:rPr>
          <w:color w:val="231F20"/>
          <w:position w:val="4"/>
          <w:sz w:val="12"/>
        </w:rPr>
        <w:t>(a)</w:t>
      </w:r>
    </w:p>
    <w:p>
      <w:pPr>
        <w:tabs>
          <w:tab w:pos="3235" w:val="left" w:leader="none"/>
        </w:tabs>
        <w:spacing w:line="123" w:lineRule="exact" w:before="173"/>
        <w:ind w:left="189" w:right="0" w:firstLine="0"/>
        <w:jc w:val="center"/>
        <w:rPr>
          <w:sz w:val="12"/>
        </w:rPr>
      </w:pPr>
      <w:r>
        <w:rPr>
          <w:color w:val="231F20"/>
          <w:sz w:val="12"/>
        </w:rPr>
        <w:t>Index</w:t>
        <w:tab/>
        <w:t>Index</w:t>
      </w:r>
    </w:p>
    <w:p>
      <w:pPr>
        <w:tabs>
          <w:tab w:pos="3625" w:val="left" w:leader="none"/>
        </w:tabs>
        <w:spacing w:line="123" w:lineRule="exact" w:before="0"/>
        <w:ind w:left="162" w:right="0" w:firstLine="0"/>
        <w:jc w:val="center"/>
        <w:rPr>
          <w:sz w:val="12"/>
        </w:rPr>
      </w:pPr>
      <w:r>
        <w:rPr/>
        <w:drawing>
          <wp:anchor distT="0" distB="0" distL="0" distR="0" allowOverlap="1" layoutInCell="1" locked="0" behindDoc="1" simplePos="0" relativeHeight="482185728">
            <wp:simplePos x="0" y="0"/>
            <wp:positionH relativeFrom="page">
              <wp:posOffset>631444</wp:posOffset>
            </wp:positionH>
            <wp:positionV relativeFrom="paragraph">
              <wp:posOffset>31887</wp:posOffset>
            </wp:positionV>
            <wp:extent cx="59270" cy="6350"/>
            <wp:effectExtent l="0" t="0" r="0" b="0"/>
            <wp:wrapNone/>
            <wp:docPr id="3" name="image19.png"/>
            <wp:cNvGraphicFramePr>
              <a:graphicFrameLocks noChangeAspect="1"/>
            </wp:cNvGraphicFramePr>
            <a:graphic>
              <a:graphicData uri="http://schemas.openxmlformats.org/drawingml/2006/picture">
                <pic:pic>
                  <pic:nvPicPr>
                    <pic:cNvPr id="4" name="image19.png"/>
                    <pic:cNvPicPr/>
                  </pic:nvPicPr>
                  <pic:blipFill>
                    <a:blip r:embed="rId53" cstate="print"/>
                    <a:stretch>
                      <a:fillRect/>
                    </a:stretch>
                  </pic:blipFill>
                  <pic:spPr>
                    <a:xfrm>
                      <a:off x="0" y="0"/>
                      <a:ext cx="59270" cy="6350"/>
                    </a:xfrm>
                    <a:prstGeom prst="rect">
                      <a:avLst/>
                    </a:prstGeom>
                  </pic:spPr>
                </pic:pic>
              </a:graphicData>
            </a:graphic>
          </wp:anchor>
        </w:drawing>
      </w:r>
      <w:r>
        <w:rPr/>
        <w:drawing>
          <wp:anchor distT="0" distB="0" distL="0" distR="0" allowOverlap="1" layoutInCell="1" locked="0" behindDoc="1" simplePos="0" relativeHeight="482186240">
            <wp:simplePos x="0" y="0"/>
            <wp:positionH relativeFrom="page">
              <wp:posOffset>2665564</wp:posOffset>
            </wp:positionH>
            <wp:positionV relativeFrom="paragraph">
              <wp:posOffset>32941</wp:posOffset>
            </wp:positionV>
            <wp:extent cx="59258" cy="6350"/>
            <wp:effectExtent l="0" t="0" r="0" b="0"/>
            <wp:wrapNone/>
            <wp:docPr id="5" name="image20.png"/>
            <wp:cNvGraphicFramePr>
              <a:graphicFrameLocks noChangeAspect="1"/>
            </wp:cNvGraphicFramePr>
            <a:graphic>
              <a:graphicData uri="http://schemas.openxmlformats.org/drawingml/2006/picture">
                <pic:pic>
                  <pic:nvPicPr>
                    <pic:cNvPr id="6" name="image20.png"/>
                    <pic:cNvPicPr/>
                  </pic:nvPicPr>
                  <pic:blipFill>
                    <a:blip r:embed="rId54" cstate="print"/>
                    <a:stretch>
                      <a:fillRect/>
                    </a:stretch>
                  </pic:blipFill>
                  <pic:spPr>
                    <a:xfrm>
                      <a:off x="0" y="0"/>
                      <a:ext cx="59258" cy="6350"/>
                    </a:xfrm>
                    <a:prstGeom prst="rect">
                      <a:avLst/>
                    </a:prstGeom>
                  </pic:spPr>
                </pic:pic>
              </a:graphicData>
            </a:graphic>
          </wp:anchor>
        </w:drawing>
      </w:r>
      <w:r>
        <w:rPr>
          <w:sz w:val="12"/>
        </w:rPr>
        <w:t>60</w:t>
        <w:tab/>
        <w:t>65</w:t>
      </w:r>
    </w:p>
    <w:p>
      <w:pPr>
        <w:spacing w:line="242" w:lineRule="auto" w:before="23"/>
        <w:ind w:left="1322" w:right="1651" w:hanging="30"/>
        <w:jc w:val="left"/>
        <w:rPr>
          <w:sz w:val="12"/>
        </w:rPr>
      </w:pPr>
      <w:r>
        <w:rPr/>
        <w:drawing>
          <wp:anchor distT="0" distB="0" distL="0" distR="0" allowOverlap="1" layoutInCell="1" locked="0" behindDoc="1" simplePos="0" relativeHeight="482184704">
            <wp:simplePos x="0" y="0"/>
            <wp:positionH relativeFrom="page">
              <wp:posOffset>618744</wp:posOffset>
            </wp:positionH>
            <wp:positionV relativeFrom="paragraph">
              <wp:posOffset>80518</wp:posOffset>
            </wp:positionV>
            <wp:extent cx="2101850" cy="1504416"/>
            <wp:effectExtent l="0" t="0" r="0" b="0"/>
            <wp:wrapNone/>
            <wp:docPr id="7" name="image21.png"/>
            <wp:cNvGraphicFramePr>
              <a:graphicFrameLocks noChangeAspect="1"/>
            </wp:cNvGraphicFramePr>
            <a:graphic>
              <a:graphicData uri="http://schemas.openxmlformats.org/drawingml/2006/picture">
                <pic:pic>
                  <pic:nvPicPr>
                    <pic:cNvPr id="8" name="image21.png"/>
                    <pic:cNvPicPr/>
                  </pic:nvPicPr>
                  <pic:blipFill>
                    <a:blip r:embed="rId55" cstate="print"/>
                    <a:stretch>
                      <a:fillRect/>
                    </a:stretch>
                  </pic:blipFill>
                  <pic:spPr>
                    <a:xfrm>
                      <a:off x="0" y="0"/>
                      <a:ext cx="2101850" cy="1504416"/>
                    </a:xfrm>
                    <a:prstGeom prst="rect">
                      <a:avLst/>
                    </a:prstGeom>
                  </pic:spPr>
                </pic:pic>
              </a:graphicData>
            </a:graphic>
          </wp:anchor>
        </w:drawing>
      </w:r>
      <w:r>
        <w:rPr>
          <w:sz w:val="12"/>
        </w:rPr>
        <w:t>United Kingdom (right-hand scale)</w:t>
      </w:r>
    </w:p>
    <w:p>
      <w:pPr>
        <w:tabs>
          <w:tab w:pos="3665" w:val="left" w:leader="none"/>
        </w:tabs>
        <w:spacing w:line="126" w:lineRule="exact" w:before="0"/>
        <w:ind w:left="202" w:right="0" w:firstLine="0"/>
        <w:jc w:val="left"/>
        <w:rPr>
          <w:sz w:val="12"/>
        </w:rPr>
      </w:pPr>
      <w:r>
        <w:rPr>
          <w:sz w:val="12"/>
        </w:rPr>
        <w:t>40</w:t>
        <w:tab/>
        <w:t>60</w:t>
      </w:r>
    </w:p>
    <w:p>
      <w:pPr>
        <w:pStyle w:val="BodyText"/>
        <w:rPr>
          <w:sz w:val="12"/>
        </w:rPr>
      </w:pPr>
    </w:p>
    <w:p>
      <w:pPr>
        <w:pStyle w:val="BodyText"/>
        <w:spacing w:before="11"/>
        <w:rPr>
          <w:sz w:val="12"/>
        </w:rPr>
      </w:pPr>
    </w:p>
    <w:p>
      <w:pPr>
        <w:tabs>
          <w:tab w:pos="3665" w:val="left" w:leader="none"/>
        </w:tabs>
        <w:spacing w:before="0"/>
        <w:ind w:left="202" w:right="0" w:firstLine="0"/>
        <w:jc w:val="left"/>
        <w:rPr>
          <w:sz w:val="12"/>
        </w:rPr>
      </w:pPr>
      <w:r>
        <w:rPr>
          <w:sz w:val="12"/>
        </w:rPr>
        <w:t>20</w:t>
        <w:tab/>
        <w:t>55</w:t>
      </w:r>
    </w:p>
    <w:p>
      <w:pPr>
        <w:spacing w:before="58"/>
        <w:ind w:left="316" w:right="0" w:firstLine="0"/>
        <w:jc w:val="left"/>
        <w:rPr>
          <w:sz w:val="16"/>
        </w:rPr>
      </w:pPr>
      <w:r>
        <w:rPr>
          <w:sz w:val="16"/>
        </w:rPr>
        <w:t>+</w:t>
      </w:r>
    </w:p>
    <w:p>
      <w:pPr>
        <w:tabs>
          <w:tab w:pos="3665" w:val="left" w:leader="none"/>
        </w:tabs>
        <w:spacing w:line="118" w:lineRule="exact" w:before="47"/>
        <w:ind w:left="262" w:right="0" w:firstLine="0"/>
        <w:jc w:val="left"/>
        <w:rPr>
          <w:sz w:val="12"/>
        </w:rPr>
      </w:pPr>
      <w:r>
        <w:rPr>
          <w:sz w:val="12"/>
        </w:rPr>
        <w:t>0</w:t>
        <w:tab/>
        <w:t>50</w:t>
      </w:r>
    </w:p>
    <w:p>
      <w:pPr>
        <w:spacing w:line="164" w:lineRule="exact" w:before="0"/>
        <w:ind w:left="327" w:right="0" w:firstLine="0"/>
        <w:jc w:val="left"/>
        <w:rPr>
          <w:sz w:val="16"/>
        </w:rPr>
      </w:pPr>
      <w:r>
        <w:rPr>
          <w:sz w:val="16"/>
        </w:rPr>
        <w:t>_</w:t>
      </w:r>
    </w:p>
    <w:p>
      <w:pPr>
        <w:pStyle w:val="Heading4"/>
        <w:spacing w:line="242" w:lineRule="auto" w:before="227"/>
        <w:ind w:left="174" w:right="387"/>
      </w:pPr>
      <w:r>
        <w:rPr/>
        <w:br w:type="column"/>
      </w:r>
      <w:r>
        <w:rPr>
          <w:color w:val="231F20"/>
        </w:rPr>
        <w:t>0.2 percentage points, to 3.4% and 4.4% respectively (see Chart 2.5 and Table 2.B). These figures are well below the growth rate recorded in 1997. However, because Asian countries account for around 27% of world trade flows, but make up less than 9% of UK exports, the slowdown in the growth rate of UK export markets is unlikely to be as sharp as the slowdown in world trade.</w:t>
      </w:r>
    </w:p>
    <w:p>
      <w:pPr>
        <w:spacing w:after="0" w:line="242" w:lineRule="auto"/>
        <w:sectPr>
          <w:type w:val="continuous"/>
          <w:pgSz w:w="11900" w:h="16840"/>
          <w:pgMar w:top="1220" w:bottom="280" w:left="640" w:right="600"/>
          <w:cols w:num="2" w:equalWidth="0">
            <w:col w:w="3827" w:space="959"/>
            <w:col w:w="5874"/>
          </w:cols>
        </w:sectPr>
      </w:pPr>
    </w:p>
    <w:p>
      <w:pPr>
        <w:pStyle w:val="BodyText"/>
        <w:spacing w:before="7"/>
        <w:rPr>
          <w:sz w:val="12"/>
        </w:rPr>
      </w:pPr>
    </w:p>
    <w:p>
      <w:pPr>
        <w:spacing w:before="0"/>
        <w:ind w:left="202" w:right="0" w:firstLine="0"/>
        <w:jc w:val="left"/>
        <w:rPr>
          <w:sz w:val="12"/>
        </w:rPr>
      </w:pPr>
      <w:r>
        <w:rPr>
          <w:sz w:val="12"/>
        </w:rPr>
        <w:t>20</w:t>
      </w:r>
    </w:p>
    <w:p>
      <w:pPr>
        <w:pStyle w:val="BodyText"/>
        <w:rPr>
          <w:sz w:val="12"/>
        </w:rPr>
      </w:pPr>
    </w:p>
    <w:p>
      <w:pPr>
        <w:pStyle w:val="BodyText"/>
        <w:spacing w:before="2"/>
        <w:rPr>
          <w:sz w:val="13"/>
        </w:rPr>
      </w:pPr>
    </w:p>
    <w:p>
      <w:pPr>
        <w:spacing w:before="0"/>
        <w:ind w:left="202" w:right="0" w:firstLine="0"/>
        <w:jc w:val="left"/>
        <w:rPr>
          <w:sz w:val="12"/>
        </w:rPr>
      </w:pPr>
      <w:r>
        <w:rPr>
          <w:sz w:val="12"/>
        </w:rPr>
        <w:t>40</w:t>
      </w:r>
    </w:p>
    <w:p>
      <w:pPr>
        <w:spacing w:line="242" w:lineRule="auto" w:before="5"/>
        <w:ind w:left="731" w:right="0" w:hanging="30"/>
        <w:jc w:val="left"/>
        <w:rPr>
          <w:sz w:val="12"/>
        </w:rPr>
      </w:pPr>
      <w:r>
        <w:rPr>
          <w:sz w:val="12"/>
        </w:rPr>
        <w:t>United States (right-hand scale)</w:t>
      </w:r>
    </w:p>
    <w:p>
      <w:pPr>
        <w:spacing w:before="3"/>
        <w:ind w:left="202" w:right="0" w:firstLine="0"/>
        <w:jc w:val="left"/>
        <w:rPr>
          <w:sz w:val="12"/>
        </w:rPr>
      </w:pPr>
      <w:r>
        <w:rPr>
          <w:sz w:val="12"/>
        </w:rPr>
        <w:t>60</w:t>
      </w:r>
    </w:p>
    <w:p>
      <w:pPr>
        <w:pStyle w:val="BodyText"/>
        <w:rPr>
          <w:sz w:val="12"/>
        </w:rPr>
      </w:pPr>
      <w:r>
        <w:rPr/>
        <w:br w:type="column"/>
      </w:r>
      <w:r>
        <w:rPr>
          <w:sz w:val="12"/>
        </w:rPr>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spacing w:before="73"/>
        <w:ind w:left="-5" w:right="0" w:firstLine="0"/>
        <w:jc w:val="left"/>
        <w:rPr>
          <w:sz w:val="12"/>
        </w:rPr>
      </w:pPr>
      <w:r>
        <w:rPr>
          <w:sz w:val="12"/>
        </w:rPr>
        <w:t>Euro area</w:t>
      </w:r>
    </w:p>
    <w:p>
      <w:pPr>
        <w:pStyle w:val="BodyText"/>
        <w:spacing w:before="7"/>
        <w:rPr>
          <w:sz w:val="12"/>
        </w:rPr>
      </w:pPr>
      <w:r>
        <w:rPr/>
        <w:br w:type="column"/>
      </w:r>
      <w:r>
        <w:rPr>
          <w:sz w:val="12"/>
        </w:rPr>
      </w:r>
    </w:p>
    <w:p>
      <w:pPr>
        <w:spacing w:before="0"/>
        <w:ind w:left="1546" w:right="0" w:firstLine="0"/>
        <w:jc w:val="left"/>
        <w:rPr>
          <w:sz w:val="12"/>
        </w:rPr>
      </w:pPr>
      <w:r>
        <w:rPr>
          <w:sz w:val="12"/>
        </w:rPr>
        <w:t>45</w:t>
      </w:r>
    </w:p>
    <w:p>
      <w:pPr>
        <w:pStyle w:val="BodyText"/>
        <w:spacing w:before="6"/>
        <w:rPr>
          <w:sz w:val="13"/>
        </w:rPr>
      </w:pPr>
    </w:p>
    <w:p>
      <w:pPr>
        <w:spacing w:line="134" w:lineRule="exact" w:before="0"/>
        <w:ind w:left="-7" w:right="0" w:firstLine="0"/>
        <w:jc w:val="left"/>
        <w:rPr>
          <w:sz w:val="12"/>
        </w:rPr>
      </w:pPr>
      <w:r>
        <w:rPr>
          <w:sz w:val="12"/>
        </w:rPr>
        <w:t>Japan</w:t>
      </w:r>
    </w:p>
    <w:p>
      <w:pPr>
        <w:tabs>
          <w:tab w:pos="1666" w:val="right" w:leader="none"/>
        </w:tabs>
        <w:spacing w:line="144" w:lineRule="exact" w:before="0"/>
        <w:ind w:left="23" w:right="0" w:firstLine="0"/>
        <w:jc w:val="left"/>
        <w:rPr>
          <w:sz w:val="12"/>
        </w:rPr>
      </w:pPr>
      <w:r>
        <w:rPr>
          <w:sz w:val="12"/>
        </w:rPr>
        <w:t>(left-hand scale)</w:t>
        <w:tab/>
      </w:r>
      <w:r>
        <w:rPr>
          <w:position w:val="1"/>
          <w:sz w:val="12"/>
        </w:rPr>
        <w:t>40</w:t>
      </w:r>
    </w:p>
    <w:p>
      <w:pPr>
        <w:spacing w:before="281"/>
        <w:ind w:left="1546" w:right="0" w:firstLine="0"/>
        <w:jc w:val="left"/>
        <w:rPr>
          <w:sz w:val="12"/>
        </w:rPr>
      </w:pPr>
      <w:r>
        <w:rPr>
          <w:sz w:val="12"/>
        </w:rPr>
        <w:t>35</w:t>
      </w:r>
    </w:p>
    <w:p>
      <w:pPr>
        <w:pStyle w:val="Heading4"/>
        <w:spacing w:line="280" w:lineRule="atLeast" w:before="195"/>
        <w:ind w:left="202"/>
        <w:rPr>
          <w:i/>
        </w:rPr>
      </w:pPr>
      <w:r>
        <w:rPr/>
        <w:br w:type="column"/>
      </w:r>
      <w:r>
        <w:rPr>
          <w:color w:val="231F20"/>
        </w:rPr>
        <w:t>Despite the stronger-than-expected growth in the United States, global economic conditions have continued to deteriorate. Consequently, some of the downside risks to external demand identified in the November </w:t>
      </w:r>
      <w:r>
        <w:rPr>
          <w:i/>
          <w:color w:val="231F20"/>
        </w:rPr>
        <w:t>Inflation</w:t>
      </w:r>
    </w:p>
    <w:p>
      <w:pPr>
        <w:spacing w:after="0" w:line="280" w:lineRule="atLeast"/>
        <w:sectPr>
          <w:type w:val="continuous"/>
          <w:pgSz w:w="11900" w:h="16840"/>
          <w:pgMar w:top="1220" w:bottom="280" w:left="640" w:right="600"/>
          <w:cols w:num="4" w:equalWidth="0">
            <w:col w:w="1581" w:space="40"/>
            <w:col w:w="459" w:space="39"/>
            <w:col w:w="1707" w:space="931"/>
            <w:col w:w="5903"/>
          </w:cols>
        </w:sectPr>
      </w:pPr>
    </w:p>
    <w:p>
      <w:pPr>
        <w:spacing w:line="3" w:lineRule="exact" w:before="0"/>
        <w:ind w:left="1626" w:right="1321" w:firstLine="0"/>
        <w:jc w:val="center"/>
        <w:rPr>
          <w:sz w:val="12"/>
        </w:rPr>
      </w:pPr>
      <w:r>
        <w:rPr>
          <w:sz w:val="12"/>
        </w:rPr>
        <w:t>(right-hand scale)</w:t>
      </w:r>
    </w:p>
    <w:p>
      <w:pPr>
        <w:tabs>
          <w:tab w:pos="3665" w:val="left" w:leader="none"/>
        </w:tabs>
        <w:spacing w:line="128" w:lineRule="exact" w:before="108"/>
        <w:ind w:left="202" w:right="0" w:firstLine="0"/>
        <w:jc w:val="left"/>
        <w:rPr>
          <w:sz w:val="12"/>
        </w:rPr>
      </w:pPr>
      <w:r>
        <w:rPr/>
        <w:drawing>
          <wp:anchor distT="0" distB="0" distL="0" distR="0" allowOverlap="1" layoutInCell="1" locked="0" behindDoc="1" simplePos="0" relativeHeight="482185216">
            <wp:simplePos x="0" y="0"/>
            <wp:positionH relativeFrom="page">
              <wp:posOffset>622973</wp:posOffset>
            </wp:positionH>
            <wp:positionV relativeFrom="paragraph">
              <wp:posOffset>69952</wp:posOffset>
            </wp:positionV>
            <wp:extent cx="2093391" cy="42862"/>
            <wp:effectExtent l="0" t="0" r="0" b="0"/>
            <wp:wrapNone/>
            <wp:docPr id="9" name="image22.png"/>
            <wp:cNvGraphicFramePr>
              <a:graphicFrameLocks noChangeAspect="1"/>
            </wp:cNvGraphicFramePr>
            <a:graphic>
              <a:graphicData uri="http://schemas.openxmlformats.org/drawingml/2006/picture">
                <pic:pic>
                  <pic:nvPicPr>
                    <pic:cNvPr id="10" name="image22.png"/>
                    <pic:cNvPicPr/>
                  </pic:nvPicPr>
                  <pic:blipFill>
                    <a:blip r:embed="rId56" cstate="print"/>
                    <a:stretch>
                      <a:fillRect/>
                    </a:stretch>
                  </pic:blipFill>
                  <pic:spPr>
                    <a:xfrm>
                      <a:off x="0" y="0"/>
                      <a:ext cx="2093391" cy="42862"/>
                    </a:xfrm>
                    <a:prstGeom prst="rect">
                      <a:avLst/>
                    </a:prstGeom>
                  </pic:spPr>
                </pic:pic>
              </a:graphicData>
            </a:graphic>
          </wp:anchor>
        </w:drawing>
      </w:r>
      <w:r>
        <w:rPr>
          <w:sz w:val="12"/>
        </w:rPr>
        <w:t>80</w:t>
        <w:tab/>
        <w:t>30</w:t>
      </w:r>
    </w:p>
    <w:p>
      <w:pPr>
        <w:tabs>
          <w:tab w:pos="1221" w:val="left" w:leader="none"/>
          <w:tab w:pos="1551" w:val="left" w:leader="none"/>
          <w:tab w:pos="1884" w:val="left" w:leader="none"/>
          <w:tab w:pos="2216" w:val="left" w:leader="none"/>
          <w:tab w:pos="2551" w:val="left" w:leader="none"/>
          <w:tab w:pos="2881" w:val="left" w:leader="none"/>
          <w:tab w:pos="3214" w:val="left" w:leader="none"/>
        </w:tabs>
        <w:spacing w:line="128" w:lineRule="exact" w:before="0"/>
        <w:ind w:left="474" w:right="0" w:firstLine="0"/>
        <w:jc w:val="left"/>
        <w:rPr>
          <w:sz w:val="12"/>
        </w:rPr>
      </w:pPr>
      <w:r>
        <w:rPr>
          <w:sz w:val="12"/>
        </w:rPr>
        <w:t>1990    </w:t>
      </w:r>
      <w:r>
        <w:rPr>
          <w:spacing w:val="24"/>
          <w:sz w:val="12"/>
        </w:rPr>
        <w:t> </w:t>
      </w:r>
      <w:r>
        <w:rPr>
          <w:sz w:val="12"/>
        </w:rPr>
        <w:t>91</w:t>
        <w:tab/>
        <w:t>92</w:t>
        <w:tab/>
        <w:t>93</w:t>
        <w:tab/>
        <w:t>94</w:t>
        <w:tab/>
        <w:t>95</w:t>
        <w:tab/>
        <w:t>96</w:t>
        <w:tab/>
        <w:t>97</w:t>
        <w:tab/>
        <w:t>98</w:t>
      </w:r>
    </w:p>
    <w:p>
      <w:pPr>
        <w:spacing w:before="35"/>
        <w:ind w:left="154" w:right="0" w:firstLine="0"/>
        <w:jc w:val="left"/>
        <w:rPr>
          <w:sz w:val="12"/>
        </w:rPr>
      </w:pPr>
      <w:r>
        <w:rPr>
          <w:color w:val="231F20"/>
          <w:sz w:val="12"/>
        </w:rPr>
        <w:t>Source: Datastream.</w:t>
      </w:r>
    </w:p>
    <w:p>
      <w:pPr>
        <w:spacing w:before="102"/>
        <w:ind w:left="154" w:right="0" w:firstLine="0"/>
        <w:jc w:val="left"/>
        <w:rPr>
          <w:sz w:val="12"/>
        </w:rPr>
      </w:pPr>
      <w:r>
        <w:rPr>
          <w:color w:val="231F20"/>
          <w:sz w:val="12"/>
        </w:rPr>
        <w:t>(a) Indicators are not directly comparable across countries.</w:t>
      </w:r>
    </w:p>
    <w:p>
      <w:pPr>
        <w:pStyle w:val="BodyText"/>
        <w:rPr>
          <w:sz w:val="12"/>
        </w:rPr>
      </w:pPr>
    </w:p>
    <w:p>
      <w:pPr>
        <w:pStyle w:val="Heading7"/>
        <w:spacing w:before="96"/>
        <w:ind w:left="165"/>
      </w:pPr>
      <w:r>
        <w:rPr>
          <w:color w:val="0093C1"/>
        </w:rPr>
        <w:t>Chart 2.4</w:t>
      </w:r>
    </w:p>
    <w:p>
      <w:pPr>
        <w:spacing w:before="10"/>
        <w:ind w:left="165" w:right="0" w:firstLine="0"/>
        <w:jc w:val="left"/>
        <w:rPr>
          <w:b/>
          <w:sz w:val="20"/>
        </w:rPr>
      </w:pPr>
      <w:r>
        <w:rPr>
          <w:b/>
          <w:color w:val="0093C1"/>
          <w:sz w:val="20"/>
        </w:rPr>
        <w:t>World industrial production</w:t>
      </w:r>
    </w:p>
    <w:p>
      <w:pPr>
        <w:spacing w:line="137" w:lineRule="exact" w:before="89"/>
        <w:ind w:left="1908" w:right="0" w:firstLine="0"/>
        <w:jc w:val="left"/>
        <w:rPr>
          <w:sz w:val="12"/>
        </w:rPr>
      </w:pPr>
      <w:r>
        <w:rPr>
          <w:sz w:val="12"/>
        </w:rPr>
        <w:t>Percentage changes on a year earlier</w:t>
      </w:r>
    </w:p>
    <w:p>
      <w:pPr>
        <w:spacing w:line="137" w:lineRule="exact" w:before="0"/>
        <w:ind w:left="3676" w:right="0" w:firstLine="0"/>
        <w:jc w:val="left"/>
        <w:rPr>
          <w:sz w:val="12"/>
        </w:rPr>
      </w:pPr>
      <w:r>
        <w:rPr/>
        <w:drawing>
          <wp:anchor distT="0" distB="0" distL="0" distR="0" allowOverlap="1" layoutInCell="1" locked="0" behindDoc="0" simplePos="0" relativeHeight="15888896">
            <wp:simplePos x="0" y="0"/>
            <wp:positionH relativeFrom="page">
              <wp:posOffset>558457</wp:posOffset>
            </wp:positionH>
            <wp:positionV relativeFrom="paragraph">
              <wp:posOffset>35544</wp:posOffset>
            </wp:positionV>
            <wp:extent cx="63500" cy="6350"/>
            <wp:effectExtent l="0" t="0" r="0" b="0"/>
            <wp:wrapNone/>
            <wp:docPr id="11" name="image23.png"/>
            <wp:cNvGraphicFramePr>
              <a:graphicFrameLocks noChangeAspect="1"/>
            </wp:cNvGraphicFramePr>
            <a:graphic>
              <a:graphicData uri="http://schemas.openxmlformats.org/drawingml/2006/picture">
                <pic:pic>
                  <pic:nvPicPr>
                    <pic:cNvPr id="12" name="image23.png"/>
                    <pic:cNvPicPr/>
                  </pic:nvPicPr>
                  <pic:blipFill>
                    <a:blip r:embed="rId57" cstate="print"/>
                    <a:stretch>
                      <a:fillRect/>
                    </a:stretch>
                  </pic:blipFill>
                  <pic:spPr>
                    <a:xfrm>
                      <a:off x="0" y="0"/>
                      <a:ext cx="63500" cy="6350"/>
                    </a:xfrm>
                    <a:prstGeom prst="rect">
                      <a:avLst/>
                    </a:prstGeom>
                  </pic:spPr>
                </pic:pic>
              </a:graphicData>
            </a:graphic>
          </wp:anchor>
        </w:drawing>
      </w:r>
      <w:r>
        <w:rPr/>
        <w:drawing>
          <wp:anchor distT="0" distB="0" distL="0" distR="0" allowOverlap="1" layoutInCell="1" locked="0" behindDoc="0" simplePos="0" relativeHeight="15889408">
            <wp:simplePos x="0" y="0"/>
            <wp:positionH relativeFrom="page">
              <wp:posOffset>2661373</wp:posOffset>
            </wp:positionH>
            <wp:positionV relativeFrom="paragraph">
              <wp:posOffset>40840</wp:posOffset>
            </wp:positionV>
            <wp:extent cx="63500" cy="6350"/>
            <wp:effectExtent l="0" t="0" r="0" b="0"/>
            <wp:wrapNone/>
            <wp:docPr id="13" name="image24.png"/>
            <wp:cNvGraphicFramePr>
              <a:graphicFrameLocks noChangeAspect="1"/>
            </wp:cNvGraphicFramePr>
            <a:graphic>
              <a:graphicData uri="http://schemas.openxmlformats.org/drawingml/2006/picture">
                <pic:pic>
                  <pic:nvPicPr>
                    <pic:cNvPr id="14" name="image24.png"/>
                    <pic:cNvPicPr/>
                  </pic:nvPicPr>
                  <pic:blipFill>
                    <a:blip r:embed="rId58" cstate="print"/>
                    <a:stretch>
                      <a:fillRect/>
                    </a:stretch>
                  </pic:blipFill>
                  <pic:spPr>
                    <a:xfrm>
                      <a:off x="0" y="0"/>
                      <a:ext cx="63500" cy="6350"/>
                    </a:xfrm>
                    <a:prstGeom prst="rect">
                      <a:avLst/>
                    </a:prstGeom>
                  </pic:spPr>
                </pic:pic>
              </a:graphicData>
            </a:graphic>
          </wp:anchor>
        </w:drawing>
      </w:r>
      <w:r>
        <w:rPr>
          <w:sz w:val="12"/>
        </w:rPr>
        <w:t>12</w:t>
      </w:r>
    </w:p>
    <w:p>
      <w:pPr>
        <w:pStyle w:val="Heading4"/>
        <w:spacing w:line="242" w:lineRule="auto" w:before="4"/>
        <w:ind w:left="154" w:right="206"/>
        <w:jc w:val="both"/>
      </w:pPr>
      <w:r>
        <w:rPr/>
        <w:br w:type="column"/>
      </w:r>
      <w:r>
        <w:rPr>
          <w:i/>
          <w:color w:val="231F20"/>
        </w:rPr>
        <w:t>Report </w:t>
      </w:r>
      <w:r>
        <w:rPr>
          <w:color w:val="231F20"/>
          <w:spacing w:val="-3"/>
        </w:rPr>
        <w:t>have </w:t>
      </w:r>
      <w:r>
        <w:rPr>
          <w:color w:val="231F20"/>
        </w:rPr>
        <w:t>materialised, and the MPC has revised </w:t>
      </w:r>
      <w:r>
        <w:rPr>
          <w:color w:val="231F20"/>
          <w:spacing w:val="-7"/>
        </w:rPr>
        <w:t>down </w:t>
      </w:r>
      <w:r>
        <w:rPr>
          <w:color w:val="231F20"/>
        </w:rPr>
        <w:t>its expectation for UK export market growth in 1999 and 2000 to around 4%–5%. These projections are about</w:t>
      </w:r>
    </w:p>
    <w:p>
      <w:pPr>
        <w:spacing w:line="242" w:lineRule="auto" w:before="3"/>
        <w:ind w:left="153" w:right="220" w:firstLine="0"/>
        <w:jc w:val="left"/>
        <w:rPr>
          <w:sz w:val="24"/>
        </w:rPr>
      </w:pPr>
      <w:r>
        <w:rPr>
          <w:color w:val="231F20"/>
          <w:sz w:val="24"/>
        </w:rPr>
        <w:t>2 percentage points lower than at the time of the November </w:t>
      </w:r>
      <w:r>
        <w:rPr>
          <w:i/>
          <w:color w:val="231F20"/>
          <w:sz w:val="24"/>
        </w:rPr>
        <w:t>Report</w:t>
      </w:r>
      <w:r>
        <w:rPr>
          <w:color w:val="231F20"/>
          <w:sz w:val="24"/>
        </w:rPr>
        <w:t>. Moreover, given the lagged effects of sterling’s appreciation, UK exports are likely to grow less quickly than (weighted) UK export markets.</w:t>
      </w:r>
    </w:p>
    <w:p>
      <w:pPr>
        <w:spacing w:after="0" w:line="242" w:lineRule="auto"/>
        <w:jc w:val="left"/>
        <w:rPr>
          <w:sz w:val="24"/>
        </w:rPr>
        <w:sectPr>
          <w:type w:val="continuous"/>
          <w:pgSz w:w="11900" w:h="16840"/>
          <w:pgMar w:top="1220" w:bottom="280" w:left="640" w:right="600"/>
          <w:cols w:num="2" w:equalWidth="0">
            <w:col w:w="3837" w:space="969"/>
            <w:col w:w="5854"/>
          </w:cols>
        </w:sectPr>
      </w:pPr>
    </w:p>
    <w:p>
      <w:pPr>
        <w:pStyle w:val="BodyText"/>
        <w:rPr>
          <w:sz w:val="13"/>
        </w:rPr>
      </w:pPr>
    </w:p>
    <w:p>
      <w:pPr>
        <w:spacing w:after="0"/>
        <w:rPr>
          <w:sz w:val="13"/>
        </w:rPr>
        <w:sectPr>
          <w:type w:val="continuous"/>
          <w:pgSz w:w="11900" w:h="16840"/>
          <w:pgMar w:top="1220" w:bottom="280" w:left="640" w:right="600"/>
        </w:sectPr>
      </w:pPr>
    </w:p>
    <w:p>
      <w:pPr>
        <w:pStyle w:val="BodyText"/>
        <w:spacing w:before="9"/>
        <w:rPr>
          <w:sz w:val="12"/>
        </w:rPr>
      </w:pPr>
    </w:p>
    <w:p>
      <w:pPr>
        <w:pStyle w:val="BodyText"/>
        <w:spacing w:line="20" w:lineRule="exact"/>
        <w:ind w:left="249"/>
        <w:rPr>
          <w:sz w:val="2"/>
        </w:rPr>
      </w:pPr>
      <w:r>
        <w:rPr>
          <w:sz w:val="2"/>
        </w:rPr>
        <w:drawing>
          <wp:inline distT="0" distB="0" distL="0" distR="0">
            <wp:extent cx="63817" cy="6381"/>
            <wp:effectExtent l="0" t="0" r="0" b="0"/>
            <wp:docPr id="15" name="image24.png"/>
            <wp:cNvGraphicFramePr>
              <a:graphicFrameLocks noChangeAspect="1"/>
            </wp:cNvGraphicFramePr>
            <a:graphic>
              <a:graphicData uri="http://schemas.openxmlformats.org/drawingml/2006/picture">
                <pic:pic>
                  <pic:nvPicPr>
                    <pic:cNvPr id="16" name="image24.png"/>
                    <pic:cNvPicPr/>
                  </pic:nvPicPr>
                  <pic:blipFill>
                    <a:blip r:embed="rId58" cstate="print"/>
                    <a:stretch>
                      <a:fillRect/>
                    </a:stretch>
                  </pic:blipFill>
                  <pic:spPr>
                    <a:xfrm>
                      <a:off x="0" y="0"/>
                      <a:ext cx="63817" cy="6381"/>
                    </a:xfrm>
                    <a:prstGeom prst="rect">
                      <a:avLst/>
                    </a:prstGeom>
                  </pic:spPr>
                </pic:pic>
              </a:graphicData>
            </a:graphic>
          </wp:inline>
        </w:drawing>
      </w:r>
      <w:r>
        <w:rPr>
          <w:sz w:val="2"/>
        </w:rPr>
      </w:r>
    </w:p>
    <w:p>
      <w:pPr>
        <w:pStyle w:val="BodyText"/>
        <w:rPr>
          <w:sz w:val="12"/>
        </w:rPr>
      </w:pPr>
    </w:p>
    <w:p>
      <w:pPr>
        <w:spacing w:before="82"/>
        <w:ind w:left="412" w:right="0" w:firstLine="0"/>
        <w:jc w:val="left"/>
        <w:rPr>
          <w:sz w:val="12"/>
        </w:rPr>
      </w:pPr>
      <w:r>
        <w:rPr>
          <w:sz w:val="12"/>
        </w:rPr>
        <w:t>United States</w:t>
      </w:r>
    </w:p>
    <w:p>
      <w:pPr>
        <w:pStyle w:val="BodyText"/>
        <w:spacing w:before="7"/>
        <w:rPr>
          <w:sz w:val="10"/>
        </w:rPr>
      </w:pPr>
    </w:p>
    <w:p>
      <w:pPr>
        <w:pStyle w:val="BodyText"/>
        <w:spacing w:line="20" w:lineRule="exact"/>
        <w:ind w:left="242"/>
        <w:rPr>
          <w:sz w:val="2"/>
        </w:rPr>
      </w:pPr>
      <w:r>
        <w:rPr>
          <w:sz w:val="2"/>
        </w:rPr>
        <w:drawing>
          <wp:inline distT="0" distB="0" distL="0" distR="0">
            <wp:extent cx="63817" cy="6381"/>
            <wp:effectExtent l="0" t="0" r="0" b="0"/>
            <wp:docPr id="17" name="image24.png"/>
            <wp:cNvGraphicFramePr>
              <a:graphicFrameLocks noChangeAspect="1"/>
            </wp:cNvGraphicFramePr>
            <a:graphic>
              <a:graphicData uri="http://schemas.openxmlformats.org/drawingml/2006/picture">
                <pic:pic>
                  <pic:nvPicPr>
                    <pic:cNvPr id="18" name="image24.png"/>
                    <pic:cNvPicPr/>
                  </pic:nvPicPr>
                  <pic:blipFill>
                    <a:blip r:embed="rId58" cstate="print"/>
                    <a:stretch>
                      <a:fillRect/>
                    </a:stretch>
                  </pic:blipFill>
                  <pic:spPr>
                    <a:xfrm>
                      <a:off x="0" y="0"/>
                      <a:ext cx="63817" cy="6381"/>
                    </a:xfrm>
                    <a:prstGeom prst="rect">
                      <a:avLst/>
                    </a:prstGeom>
                  </pic:spPr>
                </pic:pic>
              </a:graphicData>
            </a:graphic>
          </wp:inline>
        </w:drawing>
      </w:r>
      <w:r>
        <w:rPr>
          <w:sz w:val="2"/>
        </w:rPr>
      </w:r>
    </w:p>
    <w:p>
      <w:pPr>
        <w:pStyle w:val="BodyText"/>
        <w:rPr>
          <w:sz w:val="20"/>
        </w:rPr>
      </w:pPr>
    </w:p>
    <w:p>
      <w:pPr>
        <w:pStyle w:val="BodyText"/>
        <w:spacing w:before="4"/>
      </w:pPr>
      <w:r>
        <w:rPr/>
        <w:drawing>
          <wp:anchor distT="0" distB="0" distL="0" distR="0" allowOverlap="1" layoutInCell="1" locked="0" behindDoc="0" simplePos="0" relativeHeight="304">
            <wp:simplePos x="0" y="0"/>
            <wp:positionH relativeFrom="page">
              <wp:posOffset>564807</wp:posOffset>
            </wp:positionH>
            <wp:positionV relativeFrom="paragraph">
              <wp:posOffset>158783</wp:posOffset>
            </wp:positionV>
            <wp:extent cx="62865" cy="6286"/>
            <wp:effectExtent l="0" t="0" r="0" b="0"/>
            <wp:wrapTopAndBottom/>
            <wp:docPr id="19" name="image25.png"/>
            <wp:cNvGraphicFramePr>
              <a:graphicFrameLocks noChangeAspect="1"/>
            </wp:cNvGraphicFramePr>
            <a:graphic>
              <a:graphicData uri="http://schemas.openxmlformats.org/drawingml/2006/picture">
                <pic:pic>
                  <pic:nvPicPr>
                    <pic:cNvPr id="20" name="image25.png"/>
                    <pic:cNvPicPr/>
                  </pic:nvPicPr>
                  <pic:blipFill>
                    <a:blip r:embed="rId59" cstate="print"/>
                    <a:stretch>
                      <a:fillRect/>
                    </a:stretch>
                  </pic:blipFill>
                  <pic:spPr>
                    <a:xfrm>
                      <a:off x="0" y="0"/>
                      <a:ext cx="62865" cy="6286"/>
                    </a:xfrm>
                    <a:prstGeom prst="rect">
                      <a:avLst/>
                    </a:prstGeom>
                  </pic:spPr>
                </pic:pic>
              </a:graphicData>
            </a:graphic>
          </wp:anchor>
        </w:drawing>
      </w:r>
    </w:p>
    <w:p>
      <w:pPr>
        <w:pStyle w:val="BodyText"/>
        <w:rPr>
          <w:sz w:val="20"/>
        </w:rPr>
      </w:pPr>
    </w:p>
    <w:p>
      <w:pPr>
        <w:pStyle w:val="BodyText"/>
        <w:spacing w:before="1"/>
        <w:rPr>
          <w:sz w:val="16"/>
        </w:rPr>
      </w:pPr>
      <w:r>
        <w:rPr/>
        <w:drawing>
          <wp:anchor distT="0" distB="0" distL="0" distR="0" allowOverlap="1" layoutInCell="1" locked="0" behindDoc="0" simplePos="0" relativeHeight="305">
            <wp:simplePos x="0" y="0"/>
            <wp:positionH relativeFrom="page">
              <wp:posOffset>560577</wp:posOffset>
            </wp:positionH>
            <wp:positionV relativeFrom="paragraph">
              <wp:posOffset>142531</wp:posOffset>
            </wp:positionV>
            <wp:extent cx="63817" cy="6381"/>
            <wp:effectExtent l="0" t="0" r="0" b="0"/>
            <wp:wrapTopAndBottom/>
            <wp:docPr id="21" name="image24.png"/>
            <wp:cNvGraphicFramePr>
              <a:graphicFrameLocks noChangeAspect="1"/>
            </wp:cNvGraphicFramePr>
            <a:graphic>
              <a:graphicData uri="http://schemas.openxmlformats.org/drawingml/2006/picture">
                <pic:pic>
                  <pic:nvPicPr>
                    <pic:cNvPr id="22" name="image24.png"/>
                    <pic:cNvPicPr/>
                  </pic:nvPicPr>
                  <pic:blipFill>
                    <a:blip r:embed="rId58" cstate="print"/>
                    <a:stretch>
                      <a:fillRect/>
                    </a:stretch>
                  </pic:blipFill>
                  <pic:spPr>
                    <a:xfrm>
                      <a:off x="0" y="0"/>
                      <a:ext cx="63817" cy="6381"/>
                    </a:xfrm>
                    <a:prstGeom prst="rect">
                      <a:avLst/>
                    </a:prstGeom>
                  </pic:spPr>
                </pic:pic>
              </a:graphicData>
            </a:graphic>
          </wp:anchor>
        </w:drawing>
      </w:r>
    </w:p>
    <w:p>
      <w:pPr>
        <w:pStyle w:val="BodyText"/>
        <w:rPr>
          <w:sz w:val="20"/>
        </w:rPr>
      </w:pPr>
    </w:p>
    <w:p>
      <w:pPr>
        <w:pStyle w:val="BodyText"/>
        <w:spacing w:before="7"/>
        <w:rPr>
          <w:sz w:val="16"/>
        </w:rPr>
      </w:pPr>
      <w:r>
        <w:rPr/>
        <w:drawing>
          <wp:anchor distT="0" distB="0" distL="0" distR="0" allowOverlap="1" layoutInCell="1" locked="0" behindDoc="0" simplePos="0" relativeHeight="306">
            <wp:simplePos x="0" y="0"/>
            <wp:positionH relativeFrom="page">
              <wp:posOffset>564807</wp:posOffset>
            </wp:positionH>
            <wp:positionV relativeFrom="paragraph">
              <wp:posOffset>146665</wp:posOffset>
            </wp:positionV>
            <wp:extent cx="63817" cy="6381"/>
            <wp:effectExtent l="0" t="0" r="0" b="0"/>
            <wp:wrapTopAndBottom/>
            <wp:docPr id="23" name="image24.png"/>
            <wp:cNvGraphicFramePr>
              <a:graphicFrameLocks noChangeAspect="1"/>
            </wp:cNvGraphicFramePr>
            <a:graphic>
              <a:graphicData uri="http://schemas.openxmlformats.org/drawingml/2006/picture">
                <pic:pic>
                  <pic:nvPicPr>
                    <pic:cNvPr id="24" name="image24.png"/>
                    <pic:cNvPicPr/>
                  </pic:nvPicPr>
                  <pic:blipFill>
                    <a:blip r:embed="rId58" cstate="print"/>
                    <a:stretch>
                      <a:fillRect/>
                    </a:stretch>
                  </pic:blipFill>
                  <pic:spPr>
                    <a:xfrm>
                      <a:off x="0" y="0"/>
                      <a:ext cx="63817" cy="6381"/>
                    </a:xfrm>
                    <a:prstGeom prst="rect">
                      <a:avLst/>
                    </a:prstGeom>
                  </pic:spPr>
                </pic:pic>
              </a:graphicData>
            </a:graphic>
          </wp:anchor>
        </w:drawing>
      </w:r>
    </w:p>
    <w:p>
      <w:pPr>
        <w:pStyle w:val="BodyText"/>
        <w:rPr>
          <w:sz w:val="20"/>
        </w:rPr>
      </w:pPr>
    </w:p>
    <w:p>
      <w:pPr>
        <w:pStyle w:val="BodyText"/>
        <w:spacing w:before="1"/>
        <w:rPr>
          <w:sz w:val="16"/>
        </w:rPr>
      </w:pPr>
      <w:r>
        <w:rPr/>
        <w:drawing>
          <wp:anchor distT="0" distB="0" distL="0" distR="0" allowOverlap="1" layoutInCell="1" locked="0" behindDoc="0" simplePos="0" relativeHeight="307">
            <wp:simplePos x="0" y="0"/>
            <wp:positionH relativeFrom="page">
              <wp:posOffset>560577</wp:posOffset>
            </wp:positionH>
            <wp:positionV relativeFrom="paragraph">
              <wp:posOffset>142423</wp:posOffset>
            </wp:positionV>
            <wp:extent cx="63817" cy="6381"/>
            <wp:effectExtent l="0" t="0" r="0" b="0"/>
            <wp:wrapTopAndBottom/>
            <wp:docPr id="25" name="image24.png"/>
            <wp:cNvGraphicFramePr>
              <a:graphicFrameLocks noChangeAspect="1"/>
            </wp:cNvGraphicFramePr>
            <a:graphic>
              <a:graphicData uri="http://schemas.openxmlformats.org/drawingml/2006/picture">
                <pic:pic>
                  <pic:nvPicPr>
                    <pic:cNvPr id="26" name="image24.png"/>
                    <pic:cNvPicPr/>
                  </pic:nvPicPr>
                  <pic:blipFill>
                    <a:blip r:embed="rId58" cstate="print"/>
                    <a:stretch>
                      <a:fillRect/>
                    </a:stretch>
                  </pic:blipFill>
                  <pic:spPr>
                    <a:xfrm>
                      <a:off x="0" y="0"/>
                      <a:ext cx="63817" cy="6381"/>
                    </a:xfrm>
                    <a:prstGeom prst="rect">
                      <a:avLst/>
                    </a:prstGeom>
                  </pic:spPr>
                </pic:pic>
              </a:graphicData>
            </a:graphic>
          </wp:anchor>
        </w:drawing>
      </w:r>
    </w:p>
    <w:p>
      <w:pPr>
        <w:pStyle w:val="BodyText"/>
        <w:rPr>
          <w:sz w:val="12"/>
        </w:rPr>
      </w:pPr>
      <w:r>
        <w:rPr/>
        <w:br w:type="column"/>
      </w:r>
      <w:r>
        <w:rPr>
          <w:sz w:val="12"/>
        </w:rPr>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8"/>
        <w:rPr>
          <w:sz w:val="15"/>
        </w:rPr>
      </w:pPr>
    </w:p>
    <w:p>
      <w:pPr>
        <w:spacing w:before="0"/>
        <w:ind w:left="242" w:right="0" w:firstLine="0"/>
        <w:jc w:val="left"/>
        <w:rPr>
          <w:sz w:val="12"/>
        </w:rPr>
      </w:pPr>
      <w:r>
        <w:rPr>
          <w:sz w:val="12"/>
        </w:rPr>
        <w:t>EU (a)</w:t>
      </w:r>
    </w:p>
    <w:p>
      <w:pPr>
        <w:spacing w:before="95"/>
        <w:ind w:left="0" w:right="38" w:firstLine="0"/>
        <w:jc w:val="right"/>
        <w:rPr>
          <w:sz w:val="12"/>
        </w:rPr>
      </w:pPr>
      <w:r>
        <w:rPr/>
        <w:br w:type="column"/>
      </w:r>
      <w:r>
        <w:rPr>
          <w:sz w:val="12"/>
        </w:rPr>
        <w:t>8</w:t>
      </w:r>
    </w:p>
    <w:p>
      <w:pPr>
        <w:pStyle w:val="BodyText"/>
        <w:rPr>
          <w:sz w:val="12"/>
        </w:rPr>
      </w:pPr>
    </w:p>
    <w:p>
      <w:pPr>
        <w:pStyle w:val="BodyText"/>
        <w:rPr>
          <w:sz w:val="12"/>
        </w:rPr>
      </w:pPr>
    </w:p>
    <w:p>
      <w:pPr>
        <w:spacing w:before="84"/>
        <w:ind w:left="0" w:right="38" w:firstLine="0"/>
        <w:jc w:val="right"/>
        <w:rPr>
          <w:sz w:val="12"/>
        </w:rPr>
      </w:pPr>
      <w:r>
        <w:rPr/>
        <w:pict>
          <v:group style="position:absolute;margin-left:54.264999pt;margin-top:-17.659122pt;width:160.8pt;height:125.25pt;mso-position-horizontal-relative:page;mso-position-vertical-relative:paragraph;z-index:-21129728" coordorigin="1085,-353" coordsize="3216,2505">
            <v:shape style="position:absolute;left:1085;top:-300;width:3216;height:2451" type="#_x0000_t75" stroked="false">
              <v:imagedata r:id="rId60" o:title=""/>
            </v:shape>
            <v:shape style="position:absolute;left:4201;top:-354;width:100;height:10" type="#_x0000_t75" stroked="false">
              <v:imagedata r:id="rId58" o:title=""/>
            </v:shape>
            <v:shape style="position:absolute;left:4194;top:2133;width:100;height:10" type="#_x0000_t75" stroked="false">
              <v:imagedata r:id="rId57" o:title=""/>
            </v:shape>
            <w10:wrap type="none"/>
          </v:group>
        </w:pict>
      </w:r>
      <w:r>
        <w:rPr>
          <w:sz w:val="12"/>
        </w:rPr>
        <w:t>4</w:t>
      </w:r>
    </w:p>
    <w:p>
      <w:pPr>
        <w:spacing w:before="95"/>
        <w:ind w:left="1701" w:right="0" w:firstLine="0"/>
        <w:jc w:val="left"/>
        <w:rPr>
          <w:sz w:val="16"/>
        </w:rPr>
      </w:pPr>
      <w:r>
        <w:rPr>
          <w:color w:val="231F20"/>
          <w:sz w:val="16"/>
        </w:rPr>
        <w:t>+</w:t>
      </w:r>
    </w:p>
    <w:p>
      <w:pPr>
        <w:spacing w:before="80"/>
        <w:ind w:left="0" w:right="38" w:firstLine="0"/>
        <w:jc w:val="right"/>
        <w:rPr>
          <w:sz w:val="12"/>
        </w:rPr>
      </w:pPr>
      <w:r>
        <w:rPr>
          <w:sz w:val="12"/>
        </w:rPr>
        <w:t>0</w:t>
      </w:r>
    </w:p>
    <w:p>
      <w:pPr>
        <w:spacing w:before="45"/>
        <w:ind w:left="1695" w:right="0" w:firstLine="0"/>
        <w:jc w:val="left"/>
        <w:rPr>
          <w:sz w:val="16"/>
        </w:rPr>
      </w:pPr>
      <w:r>
        <w:rPr>
          <w:color w:val="231F20"/>
          <w:sz w:val="16"/>
        </w:rPr>
        <w:t>_</w:t>
      </w:r>
    </w:p>
    <w:p>
      <w:pPr>
        <w:tabs>
          <w:tab w:pos="1811" w:val="right" w:leader="none"/>
        </w:tabs>
        <w:spacing w:before="130"/>
        <w:ind w:left="202" w:right="0" w:firstLine="0"/>
        <w:jc w:val="center"/>
        <w:rPr>
          <w:sz w:val="12"/>
        </w:rPr>
      </w:pPr>
      <w:r>
        <w:rPr>
          <w:sz w:val="12"/>
        </w:rPr>
        <w:t>United Kingdom</w:t>
        <w:tab/>
      </w:r>
      <w:r>
        <w:rPr>
          <w:position w:val="5"/>
          <w:sz w:val="12"/>
        </w:rPr>
        <w:t>4</w:t>
      </w:r>
    </w:p>
    <w:p>
      <w:pPr>
        <w:pStyle w:val="BodyText"/>
      </w:pPr>
    </w:p>
    <w:p>
      <w:pPr>
        <w:spacing w:before="103"/>
        <w:ind w:left="0" w:right="38" w:firstLine="0"/>
        <w:jc w:val="right"/>
        <w:rPr>
          <w:sz w:val="12"/>
        </w:rPr>
      </w:pPr>
      <w:r>
        <w:rPr>
          <w:sz w:val="12"/>
        </w:rPr>
        <w:t>8</w:t>
      </w:r>
    </w:p>
    <w:p>
      <w:pPr>
        <w:spacing w:before="92"/>
        <w:ind w:left="270" w:right="0" w:firstLine="0"/>
        <w:jc w:val="center"/>
        <w:rPr>
          <w:sz w:val="12"/>
        </w:rPr>
      </w:pPr>
      <w:r>
        <w:rPr>
          <w:sz w:val="12"/>
        </w:rPr>
        <w:t>Japan</w:t>
      </w:r>
    </w:p>
    <w:p>
      <w:pPr>
        <w:pStyle w:val="BodyText"/>
        <w:spacing w:before="3"/>
        <w:rPr>
          <w:sz w:val="11"/>
        </w:rPr>
      </w:pPr>
    </w:p>
    <w:p>
      <w:pPr>
        <w:spacing w:line="84" w:lineRule="exact" w:before="0"/>
        <w:ind w:left="1731" w:right="0" w:firstLine="0"/>
        <w:jc w:val="left"/>
        <w:rPr>
          <w:sz w:val="12"/>
        </w:rPr>
      </w:pPr>
      <w:r>
        <w:rPr>
          <w:sz w:val="12"/>
        </w:rPr>
        <w:t>12</w:t>
      </w:r>
    </w:p>
    <w:p>
      <w:pPr>
        <w:pStyle w:val="Heading4"/>
        <w:spacing w:line="242" w:lineRule="auto" w:before="136"/>
        <w:ind w:left="242" w:right="309"/>
      </w:pPr>
      <w:r>
        <w:rPr/>
        <w:br w:type="column"/>
      </w:r>
      <w:r>
        <w:rPr>
          <w:color w:val="231F20"/>
          <w:spacing w:val="-4"/>
        </w:rPr>
        <w:t>Taking </w:t>
      </w:r>
      <w:r>
        <w:rPr>
          <w:color w:val="231F20"/>
        </w:rPr>
        <w:t>exports and imports together, net trade detracted from GDP growth in 1998 Q3—the sixth time this has happened in the past </w:t>
      </w:r>
      <w:r>
        <w:rPr>
          <w:color w:val="231F20"/>
          <w:spacing w:val="-3"/>
        </w:rPr>
        <w:t>seven </w:t>
      </w:r>
      <w:r>
        <w:rPr>
          <w:color w:val="231F20"/>
        </w:rPr>
        <w:t>quarters. This reflected </w:t>
      </w:r>
      <w:r>
        <w:rPr>
          <w:color w:val="231F20"/>
          <w:spacing w:val="-4"/>
        </w:rPr>
        <w:t>both </w:t>
      </w:r>
      <w:r>
        <w:rPr>
          <w:color w:val="231F20"/>
        </w:rPr>
        <w:t>relative demand developments and the competitiveness effects associated with sterling’s appreciation (see Chart 2.6). Given the slowdown in the domestic economy, demand growth in the major six overseas countries could well exceed that in the United</w:t>
      </w:r>
      <w:r>
        <w:rPr>
          <w:color w:val="231F20"/>
          <w:spacing w:val="-4"/>
        </w:rPr>
        <w:t> </w:t>
      </w:r>
      <w:r>
        <w:rPr>
          <w:color w:val="231F20"/>
        </w:rPr>
        <w:t>Kingdom</w:t>
      </w:r>
    </w:p>
    <w:p>
      <w:pPr>
        <w:spacing w:before="10"/>
        <w:ind w:left="242" w:right="0" w:firstLine="0"/>
        <w:jc w:val="left"/>
        <w:rPr>
          <w:sz w:val="24"/>
        </w:rPr>
      </w:pPr>
      <w:r>
        <w:rPr>
          <w:color w:val="231F20"/>
          <w:sz w:val="24"/>
        </w:rPr>
        <w:t>this year, and so start to support net trade. But without a</w:t>
      </w:r>
    </w:p>
    <w:p>
      <w:pPr>
        <w:spacing w:after="0"/>
        <w:jc w:val="left"/>
        <w:rPr>
          <w:sz w:val="24"/>
        </w:rPr>
        <w:sectPr>
          <w:type w:val="continuous"/>
          <w:pgSz w:w="11900" w:h="16840"/>
          <w:pgMar w:top="1220" w:bottom="280" w:left="640" w:right="600"/>
          <w:cols w:num="4" w:equalWidth="0">
            <w:col w:w="1097" w:space="131"/>
            <w:col w:w="606" w:space="110"/>
            <w:col w:w="1892" w:space="881"/>
            <w:col w:w="5943"/>
          </w:cols>
        </w:sectPr>
      </w:pPr>
    </w:p>
    <w:p>
      <w:pPr>
        <w:tabs>
          <w:tab w:pos="966" w:val="left" w:leader="none"/>
          <w:tab w:pos="1481" w:val="left" w:leader="none"/>
          <w:tab w:pos="1994" w:val="left" w:leader="none"/>
          <w:tab w:pos="2511" w:val="left" w:leader="none"/>
          <w:tab w:pos="3026" w:val="left" w:leader="none"/>
        </w:tabs>
        <w:spacing w:before="17"/>
        <w:ind w:left="371" w:right="0" w:firstLine="0"/>
        <w:jc w:val="left"/>
        <w:rPr>
          <w:sz w:val="12"/>
        </w:rPr>
      </w:pPr>
      <w:r>
        <w:rPr>
          <w:sz w:val="12"/>
        </w:rPr>
        <w:t>1993</w:t>
        <w:tab/>
        <w:t>94</w:t>
        <w:tab/>
        <w:t>95</w:t>
        <w:tab/>
        <w:t>96</w:t>
        <w:tab/>
        <w:t>97</w:t>
        <w:tab/>
        <w:t>98</w:t>
      </w:r>
    </w:p>
    <w:p>
      <w:pPr>
        <w:pStyle w:val="BodyText"/>
        <w:spacing w:before="2"/>
        <w:rPr>
          <w:sz w:val="12"/>
        </w:rPr>
      </w:pPr>
    </w:p>
    <w:p>
      <w:pPr>
        <w:spacing w:line="208" w:lineRule="auto" w:before="0"/>
        <w:ind w:left="399" w:right="0" w:hanging="240"/>
        <w:jc w:val="left"/>
        <w:rPr>
          <w:sz w:val="12"/>
        </w:rPr>
      </w:pPr>
      <w:r>
        <w:rPr>
          <w:color w:val="231F20"/>
          <w:sz w:val="12"/>
        </w:rPr>
        <w:t>(a) EU aggregate derived from a UK trade-weighted average of Germany, France, Italy, the Netherlands, Finland, Portugal, Spain, Belgium and Luxembourg.</w:t>
      </w:r>
    </w:p>
    <w:p>
      <w:pPr>
        <w:pStyle w:val="BodyText"/>
        <w:rPr>
          <w:sz w:val="12"/>
        </w:rPr>
      </w:pPr>
    </w:p>
    <w:p>
      <w:pPr>
        <w:pStyle w:val="BodyText"/>
        <w:spacing w:before="5"/>
        <w:rPr>
          <w:sz w:val="9"/>
        </w:rPr>
      </w:pPr>
    </w:p>
    <w:p>
      <w:pPr>
        <w:pStyle w:val="Heading7"/>
        <w:spacing w:before="0"/>
        <w:ind w:left="150"/>
      </w:pPr>
      <w:r>
        <w:rPr>
          <w:color w:val="0093C1"/>
        </w:rPr>
        <w:t>Chart 2.5</w:t>
      </w:r>
    </w:p>
    <w:p>
      <w:pPr>
        <w:spacing w:before="10"/>
        <w:ind w:left="150" w:right="0" w:firstLine="0"/>
        <w:jc w:val="left"/>
        <w:rPr>
          <w:b/>
          <w:sz w:val="20"/>
        </w:rPr>
      </w:pPr>
      <w:r>
        <w:rPr>
          <w:b/>
          <w:color w:val="0093C1"/>
          <w:sz w:val="20"/>
        </w:rPr>
        <w:t>World GDP and trade growth</w:t>
      </w:r>
    </w:p>
    <w:p>
      <w:pPr>
        <w:spacing w:line="122" w:lineRule="exact" w:before="150"/>
        <w:ind w:left="1850" w:right="0" w:firstLine="0"/>
        <w:jc w:val="left"/>
        <w:rPr>
          <w:sz w:val="12"/>
        </w:rPr>
      </w:pPr>
      <w:r>
        <w:rPr>
          <w:sz w:val="12"/>
        </w:rPr>
        <w:t>Percentage changes on a year earlier</w:t>
      </w:r>
    </w:p>
    <w:p>
      <w:pPr>
        <w:spacing w:line="122" w:lineRule="exact" w:before="0"/>
        <w:ind w:left="3612" w:right="0" w:firstLine="0"/>
        <w:jc w:val="left"/>
        <w:rPr>
          <w:sz w:val="12"/>
        </w:rPr>
      </w:pPr>
      <w:r>
        <w:rPr/>
        <w:drawing>
          <wp:anchor distT="0" distB="0" distL="0" distR="0" allowOverlap="1" layoutInCell="1" locked="0" behindDoc="1" simplePos="0" relativeHeight="482188288">
            <wp:simplePos x="0" y="0"/>
            <wp:positionH relativeFrom="page">
              <wp:posOffset>556158</wp:posOffset>
            </wp:positionH>
            <wp:positionV relativeFrom="paragraph">
              <wp:posOffset>30527</wp:posOffset>
            </wp:positionV>
            <wp:extent cx="2142058" cy="1948395"/>
            <wp:effectExtent l="0" t="0" r="0" b="0"/>
            <wp:wrapNone/>
            <wp:docPr id="27" name="image27.png"/>
            <wp:cNvGraphicFramePr>
              <a:graphicFrameLocks noChangeAspect="1"/>
            </wp:cNvGraphicFramePr>
            <a:graphic>
              <a:graphicData uri="http://schemas.openxmlformats.org/drawingml/2006/picture">
                <pic:pic>
                  <pic:nvPicPr>
                    <pic:cNvPr id="28" name="image27.png"/>
                    <pic:cNvPicPr/>
                  </pic:nvPicPr>
                  <pic:blipFill>
                    <a:blip r:embed="rId61" cstate="print"/>
                    <a:stretch>
                      <a:fillRect/>
                    </a:stretch>
                  </pic:blipFill>
                  <pic:spPr>
                    <a:xfrm>
                      <a:off x="0" y="0"/>
                      <a:ext cx="2142058" cy="1948395"/>
                    </a:xfrm>
                    <a:prstGeom prst="rect">
                      <a:avLst/>
                    </a:prstGeom>
                  </pic:spPr>
                </pic:pic>
              </a:graphicData>
            </a:graphic>
          </wp:anchor>
        </w:drawing>
      </w:r>
      <w:r>
        <w:rPr>
          <w:sz w:val="12"/>
        </w:rPr>
        <w:t>14</w:t>
      </w:r>
    </w:p>
    <w:p>
      <w:pPr>
        <w:pStyle w:val="Heading4"/>
        <w:spacing w:line="259" w:lineRule="exact"/>
        <w:ind w:left="150"/>
      </w:pPr>
      <w:r>
        <w:rPr/>
        <w:br w:type="column"/>
      </w:r>
      <w:r>
        <w:rPr>
          <w:color w:val="231F20"/>
        </w:rPr>
        <w:t>recovery in demand in Asia and the oil-exporting</w:t>
      </w:r>
    </w:p>
    <w:p>
      <w:pPr>
        <w:spacing w:line="242" w:lineRule="auto" w:before="4"/>
        <w:ind w:left="150" w:right="0" w:firstLine="0"/>
        <w:jc w:val="left"/>
        <w:rPr>
          <w:sz w:val="24"/>
        </w:rPr>
      </w:pPr>
      <w:r>
        <w:rPr>
          <w:color w:val="231F20"/>
          <w:sz w:val="24"/>
        </w:rPr>
        <w:t>nations, it seems unlikely that the United Kingdom’s overall trade position will improve significantly.</w:t>
      </w:r>
    </w:p>
    <w:p>
      <w:pPr>
        <w:pStyle w:val="BodyText"/>
        <w:spacing w:before="6"/>
        <w:rPr>
          <w:sz w:val="24"/>
        </w:rPr>
      </w:pPr>
    </w:p>
    <w:p>
      <w:pPr>
        <w:spacing w:line="242" w:lineRule="auto" w:before="0"/>
        <w:ind w:left="150" w:right="188" w:firstLine="0"/>
        <w:jc w:val="left"/>
        <w:rPr>
          <w:sz w:val="24"/>
        </w:rPr>
      </w:pPr>
      <w:r>
        <w:rPr>
          <w:color w:val="231F20"/>
          <w:sz w:val="24"/>
        </w:rPr>
        <w:t>Competitiveness effects are also likely to limit the extent of any turnaround in the UK trade position. The real sterling effective exchange rate appreciated by around</w:t>
      </w:r>
    </w:p>
    <w:p>
      <w:pPr>
        <w:spacing w:after="0" w:line="242" w:lineRule="auto"/>
        <w:jc w:val="left"/>
        <w:rPr>
          <w:sz w:val="24"/>
        </w:rPr>
        <w:sectPr>
          <w:type w:val="continuous"/>
          <w:pgSz w:w="11900" w:h="16840"/>
          <w:pgMar w:top="1220" w:bottom="280" w:left="640" w:right="600"/>
          <w:cols w:num="2" w:equalWidth="0">
            <w:col w:w="3825" w:space="985"/>
            <w:col w:w="5850"/>
          </w:cols>
        </w:sectPr>
      </w:pPr>
    </w:p>
    <w:p>
      <w:pPr>
        <w:pStyle w:val="BodyText"/>
        <w:rPr>
          <w:sz w:val="12"/>
        </w:rPr>
      </w:pPr>
    </w:p>
    <w:p>
      <w:pPr>
        <w:pStyle w:val="BodyText"/>
        <w:rPr>
          <w:sz w:val="12"/>
        </w:rPr>
      </w:pPr>
    </w:p>
    <w:p>
      <w:pPr>
        <w:pStyle w:val="BodyText"/>
        <w:spacing w:before="4"/>
        <w:rPr>
          <w:sz w:val="12"/>
        </w:rPr>
      </w:pPr>
    </w:p>
    <w:p>
      <w:pPr>
        <w:spacing w:before="0"/>
        <w:ind w:left="427" w:right="0" w:firstLine="0"/>
        <w:jc w:val="left"/>
        <w:rPr>
          <w:sz w:val="12"/>
        </w:rPr>
      </w:pPr>
      <w:r>
        <w:rPr>
          <w:sz w:val="12"/>
        </w:rPr>
        <w:t>World trade</w:t>
      </w:r>
    </w:p>
    <w:p>
      <w:pPr>
        <w:tabs>
          <w:tab w:pos="1847" w:val="left" w:leader="none"/>
          <w:tab w:pos="2451" w:val="right" w:leader="none"/>
        </w:tabs>
        <w:spacing w:before="51"/>
        <w:ind w:left="663" w:right="0" w:firstLine="0"/>
        <w:jc w:val="left"/>
        <w:rPr>
          <w:sz w:val="12"/>
        </w:rPr>
      </w:pPr>
      <w:r>
        <w:rPr/>
        <w:br w:type="column"/>
      </w:r>
      <w:r>
        <w:rPr>
          <w:sz w:val="12"/>
        </w:rPr>
        <w:t>IMF projections</w:t>
      </w:r>
      <w:r>
        <w:rPr>
          <w:sz w:val="12"/>
          <w:u w:val="single"/>
        </w:rPr>
        <w:tab/>
      </w:r>
      <w:r>
        <w:rPr>
          <w:sz w:val="12"/>
        </w:rPr>
        <w:tab/>
      </w:r>
      <w:r>
        <w:rPr>
          <w:position w:val="1"/>
          <w:sz w:val="12"/>
        </w:rPr>
        <w:t>12</w:t>
      </w:r>
    </w:p>
    <w:p>
      <w:pPr>
        <w:pStyle w:val="BodyText"/>
        <w:spacing w:before="6"/>
        <w:rPr>
          <w:sz w:val="20"/>
        </w:rPr>
      </w:pPr>
    </w:p>
    <w:p>
      <w:pPr>
        <w:spacing w:before="1"/>
        <w:ind w:left="0" w:right="38" w:firstLine="0"/>
        <w:jc w:val="right"/>
        <w:rPr>
          <w:sz w:val="12"/>
        </w:rPr>
      </w:pPr>
      <w:r>
        <w:rPr>
          <w:sz w:val="12"/>
        </w:rPr>
        <w:t>10</w:t>
      </w:r>
    </w:p>
    <w:p>
      <w:pPr>
        <w:pStyle w:val="BodyText"/>
        <w:rPr>
          <w:sz w:val="12"/>
        </w:rPr>
      </w:pPr>
    </w:p>
    <w:p>
      <w:pPr>
        <w:spacing w:before="89"/>
        <w:ind w:left="0" w:right="38" w:firstLine="0"/>
        <w:jc w:val="right"/>
        <w:rPr>
          <w:sz w:val="12"/>
        </w:rPr>
      </w:pPr>
      <w:r>
        <w:rPr>
          <w:sz w:val="12"/>
        </w:rPr>
        <w:t>8</w:t>
      </w:r>
    </w:p>
    <w:p>
      <w:pPr>
        <w:pStyle w:val="BodyText"/>
        <w:rPr>
          <w:sz w:val="12"/>
        </w:rPr>
      </w:pPr>
    </w:p>
    <w:p>
      <w:pPr>
        <w:spacing w:before="89"/>
        <w:ind w:left="0" w:right="38" w:firstLine="0"/>
        <w:jc w:val="right"/>
        <w:rPr>
          <w:sz w:val="12"/>
        </w:rPr>
      </w:pPr>
      <w:r>
        <w:rPr>
          <w:sz w:val="12"/>
        </w:rPr>
        <w:t>6</w:t>
      </w:r>
    </w:p>
    <w:p>
      <w:pPr>
        <w:pStyle w:val="BodyText"/>
        <w:rPr>
          <w:sz w:val="12"/>
        </w:rPr>
      </w:pPr>
    </w:p>
    <w:p>
      <w:pPr>
        <w:spacing w:before="89"/>
        <w:ind w:left="0" w:right="38" w:firstLine="0"/>
        <w:jc w:val="right"/>
        <w:rPr>
          <w:sz w:val="12"/>
        </w:rPr>
      </w:pPr>
      <w:r>
        <w:rPr>
          <w:sz w:val="12"/>
        </w:rPr>
        <w:t>4</w:t>
      </w:r>
    </w:p>
    <w:p>
      <w:pPr>
        <w:pStyle w:val="BodyText"/>
        <w:rPr>
          <w:sz w:val="12"/>
        </w:rPr>
      </w:pPr>
    </w:p>
    <w:p>
      <w:pPr>
        <w:tabs>
          <w:tab w:pos="2391" w:val="left" w:leader="none"/>
        </w:tabs>
        <w:spacing w:line="185" w:lineRule="exact" w:before="102"/>
        <w:ind w:left="427" w:right="0" w:firstLine="0"/>
        <w:jc w:val="left"/>
        <w:rPr>
          <w:sz w:val="12"/>
        </w:rPr>
      </w:pPr>
      <w:r>
        <w:rPr>
          <w:sz w:val="12"/>
        </w:rPr>
        <w:t>World GDP</w:t>
        <w:tab/>
      </w:r>
      <w:r>
        <w:rPr>
          <w:position w:val="6"/>
          <w:sz w:val="12"/>
        </w:rPr>
        <w:t>2</w:t>
      </w:r>
    </w:p>
    <w:p>
      <w:pPr>
        <w:spacing w:line="166" w:lineRule="exact" w:before="0"/>
        <w:ind w:left="2277" w:right="0" w:firstLine="0"/>
        <w:jc w:val="left"/>
        <w:rPr>
          <w:sz w:val="16"/>
        </w:rPr>
      </w:pPr>
      <w:r>
        <w:rPr>
          <w:sz w:val="16"/>
        </w:rPr>
        <w:t>+</w:t>
      </w:r>
    </w:p>
    <w:p>
      <w:pPr>
        <w:spacing w:line="128" w:lineRule="exact" w:before="0"/>
        <w:ind w:left="0" w:right="38" w:firstLine="0"/>
        <w:jc w:val="right"/>
        <w:rPr>
          <w:sz w:val="12"/>
        </w:rPr>
      </w:pPr>
      <w:r>
        <w:rPr>
          <w:sz w:val="12"/>
        </w:rPr>
        <w:t>0</w:t>
      </w:r>
    </w:p>
    <w:p>
      <w:pPr>
        <w:spacing w:line="179" w:lineRule="exact" w:before="0"/>
        <w:ind w:left="2277" w:right="0" w:firstLine="0"/>
        <w:jc w:val="left"/>
        <w:rPr>
          <w:sz w:val="16"/>
        </w:rPr>
      </w:pPr>
      <w:r>
        <w:rPr>
          <w:sz w:val="16"/>
        </w:rPr>
        <w:t>–</w:t>
      </w:r>
    </w:p>
    <w:p>
      <w:pPr>
        <w:spacing w:before="73"/>
        <w:ind w:left="0" w:right="38" w:firstLine="0"/>
        <w:jc w:val="right"/>
        <w:rPr>
          <w:sz w:val="12"/>
        </w:rPr>
      </w:pPr>
      <w:r>
        <w:rPr>
          <w:sz w:val="12"/>
        </w:rPr>
        <w:t>2</w:t>
      </w:r>
    </w:p>
    <w:p>
      <w:pPr>
        <w:pStyle w:val="Heading4"/>
        <w:spacing w:line="242" w:lineRule="auto" w:before="4"/>
        <w:ind w:left="427"/>
      </w:pPr>
      <w:r>
        <w:rPr/>
        <w:br w:type="column"/>
      </w:r>
      <w:r>
        <w:rPr>
          <w:color w:val="231F20"/>
        </w:rPr>
        <w:t>one third (depending on which price deflator is used) between the beginning of 1996 and mid 1998. This was sterling’s largest real appreciation since the early 1980s, and only a small part of it has since been unwound.</w:t>
      </w:r>
    </w:p>
    <w:p>
      <w:pPr>
        <w:spacing w:line="242" w:lineRule="auto" w:before="5"/>
        <w:ind w:left="427" w:right="355" w:firstLine="0"/>
        <w:jc w:val="left"/>
        <w:rPr>
          <w:sz w:val="24"/>
        </w:rPr>
      </w:pPr>
      <w:r>
        <w:rPr>
          <w:color w:val="231F20"/>
          <w:sz w:val="24"/>
        </w:rPr>
        <w:t>Given the size of this competitiveness loss, the deterioration in the net trade position in the six quarters to 1998 Q3 was smaller than anticipated. This was mainly because of weaker-than-expected import penetration.</w:t>
      </w:r>
    </w:p>
    <w:p>
      <w:pPr>
        <w:spacing w:after="0" w:line="242" w:lineRule="auto"/>
        <w:jc w:val="left"/>
        <w:rPr>
          <w:sz w:val="24"/>
        </w:rPr>
        <w:sectPr>
          <w:type w:val="continuous"/>
          <w:pgSz w:w="11900" w:h="16840"/>
          <w:pgMar w:top="1220" w:bottom="280" w:left="640" w:right="600"/>
          <w:cols w:num="3" w:equalWidth="0">
            <w:col w:w="1044" w:space="236"/>
            <w:col w:w="2492" w:space="760"/>
            <w:col w:w="6128"/>
          </w:cols>
        </w:sectPr>
      </w:pPr>
    </w:p>
    <w:p>
      <w:pPr>
        <w:tabs>
          <w:tab w:pos="907" w:val="left" w:leader="none"/>
          <w:tab w:pos="1439" w:val="left" w:leader="none"/>
          <w:tab w:pos="1950" w:val="left" w:leader="none"/>
          <w:tab w:pos="2477" w:val="left" w:leader="none"/>
          <w:tab w:pos="3022" w:val="left" w:leader="none"/>
        </w:tabs>
        <w:spacing w:before="71"/>
        <w:ind w:left="282" w:right="0" w:firstLine="0"/>
        <w:jc w:val="left"/>
        <w:rPr>
          <w:sz w:val="12"/>
        </w:rPr>
      </w:pPr>
      <w:r>
        <w:rPr>
          <w:sz w:val="12"/>
        </w:rPr>
        <w:t>1976</w:t>
        <w:tab/>
        <w:t>80</w:t>
        <w:tab/>
        <w:t>84</w:t>
        <w:tab/>
        <w:t>88</w:t>
        <w:tab/>
        <w:t>92</w:t>
        <w:tab/>
        <w:t>96</w:t>
      </w:r>
    </w:p>
    <w:p>
      <w:pPr>
        <w:pStyle w:val="BodyText"/>
        <w:spacing w:before="10"/>
        <w:rPr>
          <w:sz w:val="10"/>
        </w:rPr>
      </w:pPr>
    </w:p>
    <w:p>
      <w:pPr>
        <w:spacing w:before="0"/>
        <w:ind w:left="180" w:right="0" w:firstLine="0"/>
        <w:jc w:val="left"/>
        <w:rPr>
          <w:sz w:val="12"/>
        </w:rPr>
      </w:pPr>
      <w:r>
        <w:rPr>
          <w:color w:val="231F20"/>
          <w:sz w:val="12"/>
        </w:rPr>
        <w:t>Source: IMF.</w:t>
      </w:r>
    </w:p>
    <w:p>
      <w:pPr>
        <w:pStyle w:val="Heading4"/>
        <w:spacing w:line="242" w:lineRule="auto" w:before="26"/>
        <w:ind w:left="180" w:right="222"/>
      </w:pPr>
      <w:r>
        <w:rPr/>
        <w:br w:type="column"/>
      </w:r>
      <w:r>
        <w:rPr>
          <w:color w:val="231F20"/>
        </w:rPr>
        <w:t>So it remains likely that net trade will make another negative contribution to growth this year. The risks to this central projection are more balanced than at the time of the November </w:t>
      </w:r>
      <w:r>
        <w:rPr>
          <w:i/>
          <w:color w:val="231F20"/>
        </w:rPr>
        <w:t>Report </w:t>
      </w:r>
      <w:r>
        <w:rPr>
          <w:color w:val="231F20"/>
        </w:rPr>
        <w:t>but probably still lie marginally</w:t>
      </w:r>
    </w:p>
    <w:p>
      <w:pPr>
        <w:spacing w:after="0" w:line="242" w:lineRule="auto"/>
        <w:sectPr>
          <w:type w:val="continuous"/>
          <w:pgSz w:w="11900" w:h="16840"/>
          <w:pgMar w:top="1220" w:bottom="280" w:left="640" w:right="600"/>
          <w:cols w:num="2" w:equalWidth="0">
            <w:col w:w="3183" w:space="1597"/>
            <w:col w:w="5880"/>
          </w:cols>
        </w:sectPr>
      </w:pPr>
    </w:p>
    <w:p>
      <w:pPr>
        <w:pStyle w:val="BodyText"/>
        <w:rPr>
          <w:sz w:val="20"/>
        </w:rPr>
      </w:pPr>
    </w:p>
    <w:p>
      <w:pPr>
        <w:spacing w:after="0"/>
        <w:rPr>
          <w:sz w:val="20"/>
        </w:rPr>
        <w:sectPr>
          <w:footerReference w:type="even" r:id="rId62"/>
          <w:footerReference w:type="default" r:id="rId63"/>
          <w:pgSz w:w="11900" w:h="16840"/>
          <w:pgMar w:footer="597" w:header="586" w:top="780" w:bottom="780" w:left="640" w:right="600"/>
          <w:pgNumType w:start="16"/>
        </w:sectPr>
      </w:pPr>
    </w:p>
    <w:p>
      <w:pPr>
        <w:pStyle w:val="BodyText"/>
        <w:spacing w:before="6"/>
        <w:rPr>
          <w:sz w:val="20"/>
        </w:rPr>
      </w:pPr>
    </w:p>
    <w:p>
      <w:pPr>
        <w:pStyle w:val="Heading7"/>
        <w:spacing w:before="0"/>
      </w:pPr>
      <w:bookmarkStart w:name="Domestic demand" w:id="35"/>
      <w:bookmarkEnd w:id="35"/>
      <w:r>
        <w:rPr>
          <w:b w:val="0"/>
        </w:rPr>
      </w:r>
      <w:bookmarkStart w:name="Consumption" w:id="36"/>
      <w:bookmarkEnd w:id="36"/>
      <w:r>
        <w:rPr>
          <w:b w:val="0"/>
        </w:rPr>
      </w:r>
      <w:bookmarkStart w:name="_bookmark12" w:id="37"/>
      <w:bookmarkEnd w:id="37"/>
      <w:r>
        <w:rPr>
          <w:b w:val="0"/>
        </w:rPr>
      </w:r>
      <w:r>
        <w:rPr>
          <w:color w:val="0093C1"/>
        </w:rPr>
        <w:t>Table 2.B</w:t>
      </w:r>
    </w:p>
    <w:p>
      <w:pPr>
        <w:spacing w:before="10"/>
        <w:ind w:left="180" w:right="0" w:firstLine="0"/>
        <w:jc w:val="left"/>
        <w:rPr>
          <w:sz w:val="12"/>
        </w:rPr>
      </w:pPr>
      <w:r>
        <w:rPr>
          <w:b/>
          <w:color w:val="0093C1"/>
          <w:sz w:val="20"/>
        </w:rPr>
        <w:t>Successive IMF world growth projections</w:t>
      </w:r>
      <w:r>
        <w:rPr>
          <w:color w:val="231F20"/>
          <w:position w:val="4"/>
          <w:sz w:val="12"/>
        </w:rPr>
        <w:t>(a)</w:t>
      </w:r>
    </w:p>
    <w:p>
      <w:pPr>
        <w:tabs>
          <w:tab w:pos="1369" w:val="left" w:leader="none"/>
          <w:tab w:pos="1609" w:val="left" w:leader="none"/>
          <w:tab w:pos="2989" w:val="left" w:leader="none"/>
        </w:tabs>
        <w:spacing w:before="106"/>
        <w:ind w:left="0" w:right="38" w:firstLine="0"/>
        <w:jc w:val="right"/>
        <w:rPr>
          <w:sz w:val="14"/>
        </w:rPr>
      </w:pPr>
      <w:r>
        <w:rPr>
          <w:color w:val="231F20"/>
          <w:sz w:val="14"/>
          <w:u w:val="single" w:color="231F20"/>
        </w:rPr>
        <w:t>1998</w:t>
        <w:tab/>
      </w:r>
      <w:r>
        <w:rPr>
          <w:color w:val="231F20"/>
          <w:sz w:val="14"/>
        </w:rPr>
        <w:tab/>
      </w:r>
      <w:r>
        <w:rPr>
          <w:color w:val="231F20"/>
          <w:sz w:val="14"/>
          <w:u w:val="single" w:color="231F20"/>
        </w:rPr>
        <w:t>1999</w:t>
        <w:tab/>
      </w:r>
    </w:p>
    <w:p>
      <w:pPr>
        <w:tabs>
          <w:tab w:pos="1309" w:val="left" w:leader="none"/>
          <w:tab w:pos="1919" w:val="left" w:leader="none"/>
          <w:tab w:pos="2940" w:val="left" w:leader="none"/>
          <w:tab w:pos="3570" w:val="left" w:leader="none"/>
        </w:tabs>
        <w:spacing w:before="59"/>
        <w:ind w:left="0" w:right="58" w:firstLine="0"/>
        <w:jc w:val="right"/>
        <w:rPr>
          <w:sz w:val="14"/>
        </w:rPr>
      </w:pPr>
      <w:r>
        <w:rPr>
          <w:i/>
          <w:color w:val="231F20"/>
          <w:sz w:val="14"/>
        </w:rPr>
        <w:t>WEO</w:t>
      </w:r>
      <w:r>
        <w:rPr>
          <w:i/>
          <w:color w:val="231F20"/>
          <w:spacing w:val="-1"/>
          <w:sz w:val="14"/>
        </w:rPr>
        <w:t> </w:t>
      </w:r>
      <w:r>
        <w:rPr>
          <w:color w:val="231F20"/>
          <w:sz w:val="14"/>
        </w:rPr>
        <w:t>issued in:</w:t>
        <w:tab/>
      </w:r>
      <w:r>
        <w:rPr>
          <w:color w:val="231F20"/>
          <w:sz w:val="14"/>
          <w:u w:val="single" w:color="231F20"/>
        </w:rPr>
        <w:t>GDP</w:t>
      </w:r>
      <w:r>
        <w:rPr>
          <w:color w:val="231F20"/>
          <w:sz w:val="14"/>
        </w:rPr>
        <w:tab/>
      </w:r>
      <w:r>
        <w:rPr>
          <w:color w:val="231F20"/>
          <w:sz w:val="14"/>
          <w:u w:val="single" w:color="231F20"/>
        </w:rPr>
        <w:t>World trade</w:t>
      </w:r>
      <w:r>
        <w:rPr>
          <w:color w:val="231F20"/>
          <w:sz w:val="14"/>
        </w:rPr>
        <w:tab/>
      </w:r>
      <w:r>
        <w:rPr>
          <w:color w:val="231F20"/>
          <w:sz w:val="14"/>
          <w:u w:val="single" w:color="231F20"/>
        </w:rPr>
        <w:t>GDP</w:t>
      </w:r>
      <w:r>
        <w:rPr>
          <w:color w:val="231F20"/>
          <w:sz w:val="14"/>
        </w:rPr>
        <w:tab/>
        <w:t>W</w:t>
      </w:r>
      <w:r>
        <w:rPr>
          <w:color w:val="231F20"/>
          <w:sz w:val="14"/>
          <w:u w:val="single" w:color="231F20"/>
        </w:rPr>
        <w:t>orld trade</w:t>
      </w:r>
      <w:r>
        <w:rPr>
          <w:color w:val="231F20"/>
          <w:spacing w:val="12"/>
          <w:sz w:val="14"/>
          <w:u w:val="single" w:color="231F20"/>
        </w:rPr>
        <w:t> </w:t>
      </w:r>
    </w:p>
    <w:p>
      <w:pPr>
        <w:tabs>
          <w:tab w:pos="1524" w:val="left" w:leader="none"/>
          <w:tab w:pos="2324" w:val="left" w:leader="none"/>
          <w:tab w:pos="3225" w:val="left" w:leader="none"/>
          <w:tab w:pos="4057" w:val="left" w:leader="none"/>
        </w:tabs>
        <w:spacing w:line="150" w:lineRule="exact" w:before="119"/>
        <w:ind w:left="179" w:right="0" w:firstLine="0"/>
        <w:jc w:val="left"/>
        <w:rPr>
          <w:sz w:val="14"/>
        </w:rPr>
      </w:pPr>
      <w:r>
        <w:rPr>
          <w:color w:val="231F20"/>
          <w:sz w:val="14"/>
        </w:rPr>
        <w:t>October 1997</w:t>
        <w:tab/>
        <w:t>4.3</w:t>
        <w:tab/>
        <w:t>6.8</w:t>
        <w:tab/>
        <w:t>4.4</w:t>
        <w:tab/>
        <w:t>n.a.</w:t>
      </w:r>
    </w:p>
    <w:p>
      <w:pPr>
        <w:tabs>
          <w:tab w:pos="1524" w:val="left" w:leader="none"/>
          <w:tab w:pos="2324" w:val="left" w:leader="none"/>
          <w:tab w:pos="3224" w:val="left" w:leader="none"/>
          <w:tab w:pos="4057" w:val="left" w:leader="none"/>
        </w:tabs>
        <w:spacing w:line="140" w:lineRule="exact" w:before="0"/>
        <w:ind w:left="179" w:right="0" w:firstLine="0"/>
        <w:jc w:val="left"/>
        <w:rPr>
          <w:sz w:val="14"/>
        </w:rPr>
      </w:pPr>
      <w:r>
        <w:rPr>
          <w:color w:val="231F20"/>
          <w:sz w:val="14"/>
        </w:rPr>
        <w:t>December 1997</w:t>
        <w:tab/>
        <w:t>3.5</w:t>
        <w:tab/>
        <w:t>6.2</w:t>
        <w:tab/>
        <w:t>4.1</w:t>
        <w:tab/>
        <w:t>n.a.</w:t>
      </w:r>
    </w:p>
    <w:p>
      <w:pPr>
        <w:tabs>
          <w:tab w:pos="1524" w:val="left" w:leader="none"/>
          <w:tab w:pos="2324" w:val="left" w:leader="none"/>
          <w:tab w:pos="3224" w:val="left" w:leader="none"/>
          <w:tab w:pos="4259" w:val="right" w:leader="none"/>
        </w:tabs>
        <w:spacing w:line="140" w:lineRule="exact" w:before="0"/>
        <w:ind w:left="179" w:right="0" w:firstLine="0"/>
        <w:jc w:val="left"/>
        <w:rPr>
          <w:sz w:val="14"/>
        </w:rPr>
      </w:pPr>
      <w:r>
        <w:rPr>
          <w:color w:val="231F20"/>
          <w:sz w:val="14"/>
        </w:rPr>
        <w:t>May 1998</w:t>
        <w:tab/>
        <w:t>3.1</w:t>
        <w:tab/>
        <w:t>6.4</w:t>
        <w:tab/>
        <w:t>3.7</w:t>
        <w:tab/>
        <w:t>6.1</w:t>
      </w:r>
    </w:p>
    <w:p>
      <w:pPr>
        <w:tabs>
          <w:tab w:pos="1524" w:val="left" w:leader="none"/>
          <w:tab w:pos="2324" w:val="left" w:leader="none"/>
          <w:tab w:pos="3225" w:val="left" w:leader="none"/>
          <w:tab w:pos="4260" w:val="right" w:leader="none"/>
        </w:tabs>
        <w:spacing w:line="140" w:lineRule="exact" w:before="0"/>
        <w:ind w:left="179" w:right="0" w:firstLine="0"/>
        <w:jc w:val="left"/>
        <w:rPr>
          <w:sz w:val="14"/>
        </w:rPr>
      </w:pPr>
      <w:r>
        <w:rPr>
          <w:color w:val="231F20"/>
          <w:sz w:val="14"/>
        </w:rPr>
        <w:t>October 1998</w:t>
        <w:tab/>
        <w:t>2.0</w:t>
        <w:tab/>
        <w:t>3.7</w:t>
        <w:tab/>
        <w:t>2.5</w:t>
        <w:tab/>
        <w:t>4.6</w:t>
      </w:r>
    </w:p>
    <w:p>
      <w:pPr>
        <w:tabs>
          <w:tab w:pos="1524" w:val="left" w:leader="none"/>
          <w:tab w:pos="2324" w:val="left" w:leader="none"/>
          <w:tab w:pos="3224" w:val="left" w:leader="none"/>
          <w:tab w:pos="4259" w:val="right" w:leader="none"/>
        </w:tabs>
        <w:spacing w:line="150" w:lineRule="exact" w:before="0"/>
        <w:ind w:left="179" w:right="0" w:firstLine="0"/>
        <w:jc w:val="left"/>
        <w:rPr>
          <w:sz w:val="14"/>
        </w:rPr>
      </w:pPr>
      <w:r>
        <w:rPr>
          <w:color w:val="231F20"/>
          <w:sz w:val="14"/>
        </w:rPr>
        <w:t>December 1998</w:t>
        <w:tab/>
        <w:t>2.2</w:t>
        <w:tab/>
        <w:t>3.4</w:t>
        <w:tab/>
        <w:t>2.2</w:t>
        <w:tab/>
        <w:t>4.4</w:t>
      </w:r>
    </w:p>
    <w:p>
      <w:pPr>
        <w:spacing w:before="118"/>
        <w:ind w:left="180" w:right="0" w:firstLine="0"/>
        <w:jc w:val="left"/>
        <w:rPr>
          <w:sz w:val="12"/>
        </w:rPr>
      </w:pPr>
      <w:r>
        <w:rPr>
          <w:color w:val="231F20"/>
          <w:sz w:val="12"/>
        </w:rPr>
        <w:t>(a) Year-on-year percentage changes.</w:t>
      </w:r>
    </w:p>
    <w:p>
      <w:pPr>
        <w:pStyle w:val="BodyText"/>
        <w:rPr>
          <w:sz w:val="12"/>
        </w:rPr>
      </w:pPr>
    </w:p>
    <w:p>
      <w:pPr>
        <w:pStyle w:val="BodyText"/>
        <w:rPr>
          <w:sz w:val="12"/>
        </w:rPr>
      </w:pPr>
    </w:p>
    <w:p>
      <w:pPr>
        <w:pStyle w:val="BodyText"/>
        <w:rPr>
          <w:sz w:val="12"/>
        </w:rPr>
      </w:pPr>
    </w:p>
    <w:p>
      <w:pPr>
        <w:pStyle w:val="BodyText"/>
        <w:spacing w:before="9"/>
        <w:rPr>
          <w:sz w:val="16"/>
        </w:rPr>
      </w:pPr>
    </w:p>
    <w:p>
      <w:pPr>
        <w:pStyle w:val="Heading7"/>
        <w:spacing w:before="1"/>
        <w:ind w:left="175"/>
      </w:pPr>
      <w:r>
        <w:rPr>
          <w:color w:val="0093C1"/>
        </w:rPr>
        <w:t>Chart 2.6</w:t>
      </w:r>
    </w:p>
    <w:p>
      <w:pPr>
        <w:spacing w:before="10"/>
        <w:ind w:left="175" w:right="0" w:firstLine="0"/>
        <w:jc w:val="left"/>
        <w:rPr>
          <w:b/>
          <w:sz w:val="20"/>
        </w:rPr>
      </w:pPr>
      <w:r>
        <w:rPr>
          <w:b/>
          <w:color w:val="0093C1"/>
          <w:sz w:val="20"/>
        </w:rPr>
        <w:t>Major influences on the trade balance</w:t>
      </w:r>
    </w:p>
    <w:p>
      <w:pPr>
        <w:tabs>
          <w:tab w:pos="3608" w:val="left" w:leader="none"/>
        </w:tabs>
        <w:spacing w:before="67"/>
        <w:ind w:left="3099" w:right="0" w:firstLine="0"/>
        <w:jc w:val="left"/>
        <w:rPr>
          <w:sz w:val="12"/>
        </w:rPr>
      </w:pPr>
      <w:r>
        <w:rPr/>
        <w:pict>
          <v:group style="position:absolute;margin-left:43.387001pt;margin-top:15.783553pt;width:167.5pt;height:65.45pt;mso-position-horizontal-relative:page;mso-position-vertical-relative:paragraph;z-index:15892480" coordorigin="868,316" coordsize="3350,1309">
            <v:shape style="position:absolute;left:1024;top:325;width:2940;height:1163" coordorigin="1025,326" coordsize="2940,1163" path="m1025,757l1044,494,1083,663,1123,626,1162,626,1201,644,1240,476,1279,419,1319,326,1358,438,1397,607,1436,532,1515,644,1573,532,1613,682,1652,757,1691,719,1730,776,1769,738,1809,888,1848,813,1887,869,1926,850,1965,626,2005,663,2044,738,2083,738,2103,813,2142,832,2181,794,2220,663,2259,850,2299,907,2338,982,2377,1075,2455,1225,2495,1488,2534,1394,2573,1375,2612,1375,2632,1244,2671,1263,2710,1244,2749,1207,2789,1075,2828,1113,2867,963,2906,963,2945,1057,2985,1075,3024,1132,3063,1169,3102,1132,3181,1094,3200,1113,3239,1094,3279,1038,3318,1019,3357,888,3396,944,3435,738,3475,907,3514,850,3553,832,3592,944,3631,888,3671,907,3710,869,3749,869,3769,944,3808,907,3847,1038,3886,1075,3925,1094,3965,1150e" filled="false" stroked="true" strokeweight="1.0pt" strokecolor="#0093c0">
              <v:path arrowok="t"/>
              <v:stroke dashstyle="solid"/>
            </v:shape>
            <v:shape style="position:absolute;left:1024;top:363;width:2901;height:1106" coordorigin="1025,363" coordsize="2901,1106" path="m1025,1207l1044,588,1083,1038,1123,907,1162,963,1201,1469,1240,1094,1279,1413,1319,1469,1358,1357,1397,1225,1436,869,1475,532,1515,457,1534,476,1573,476,1613,363,1652,626,1691,719,1730,794,1769,1094,1809,1075,1848,1188,1887,1094,1926,869,1965,607,2005,663,2044,757,2083,701,2103,757,2142,513,2181,382,2220,532,2259,588,2299,513,2338,663,2377,607,2416,644,2455,719,2495,719,2534,944,2573,888,2612,1057,2632,1113,2671,982,2710,1038,2749,1169,2789,1150,2828,1319,2867,1413,2906,1244,2945,1225,2985,1169,3024,1057,3063,963,3102,907,3141,644,3200,532,3239,494,3279,551,3357,513,3435,551,3475,607,3514,738,3553,757,3631,869,3671,832,3710,888,3749,832,3769,663,3808,682,3847,569,3886,607,3925,663e" filled="false" stroked="true" strokeweight="1pt" strokecolor="#952e40">
              <v:path arrowok="t"/>
              <v:stroke dashstyle="solid"/>
            </v:shape>
            <v:shape style="position:absolute;left:867;top:344;width:3254;height:1275" coordorigin="868,344" coordsize="3254,1275" path="m966,925l868,925m966,1057l868,1057m966,1207l868,1207m966,1338l868,1338m966,1488l868,1488m966,644l868,644m966,494l868,494m966,344l868,344m4121,925l4023,925m4121,1057l4023,1057m4121,1207l4023,1207m4121,1338l4023,1338m4121,1488l4023,1488m4121,644l4023,644m4121,494l4023,494m4121,344l4023,344m966,1619l868,1619m4121,1619l4023,1619m1005,1619l3965,1619m1005,1619l1005,1582m1319,1619l1319,1579m1475,1619l1475,1579m1613,1619l1613,1579m1769,1619l1769,1579m2083,1619l2083,1579m2220,1619l2220,1579m2377,1619l2377,1579m2534,1619l2534,1579m2828,1619l2828,1579m2985,1619l2985,1579m3122,1619l3122,1579m3279,1619l3279,1579m3592,1619l3592,1579m3729,1619l3729,1579m3886,1619l3886,1579m1162,1553l1162,1619m1926,1553l1926,1619m2671,1553l2671,1619m3435,1553l3435,1619e" filled="false" stroked="true" strokeweight=".5pt" strokecolor="#000000">
              <v:path arrowok="t"/>
              <v:stroke dashstyle="solid"/>
            </v:shape>
            <v:shape style="position:absolute;left:2249;top:340;width:993;height:133" type="#_x0000_t202" filled="false" stroked="false">
              <v:textbox inset="0,0,0,0">
                <w:txbxContent>
                  <w:p>
                    <w:pPr>
                      <w:spacing w:line="133" w:lineRule="exact" w:before="0"/>
                      <w:ind w:left="0" w:right="0" w:firstLine="0"/>
                      <w:jc w:val="left"/>
                      <w:rPr>
                        <w:sz w:val="12"/>
                      </w:rPr>
                    </w:pPr>
                    <w:r>
                      <w:rPr>
                        <w:sz w:val="12"/>
                      </w:rPr>
                      <w:t>Relative demand (a)</w:t>
                    </w:r>
                  </w:p>
                </w:txbxContent>
              </v:textbox>
              <w10:wrap type="none"/>
            </v:shape>
            <v:shape style="position:absolute;left:867;top:586;width:3350;height:178" type="#_x0000_t202" filled="false" stroked="false">
              <v:textbox inset="0,0,0,0">
                <w:txbxContent>
                  <w:p>
                    <w:pPr>
                      <w:tabs>
                        <w:tab w:pos="3096" w:val="left" w:leader="none"/>
                      </w:tabs>
                      <w:spacing w:line="177" w:lineRule="exact" w:before="0"/>
                      <w:ind w:left="0" w:right="0" w:firstLine="0"/>
                      <w:jc w:val="left"/>
                      <w:rPr>
                        <w:sz w:val="16"/>
                      </w:rPr>
                    </w:pPr>
                    <w:r>
                      <w:rPr>
                        <w:sz w:val="16"/>
                        <w:u w:val="single"/>
                      </w:rPr>
                      <w:t> </w:t>
                      <w:tab/>
                    </w:r>
                    <w:r>
                      <w:rPr>
                        <w:spacing w:val="18"/>
                        <w:sz w:val="16"/>
                      </w:rPr>
                      <w:t> </w:t>
                    </w:r>
                    <w:r>
                      <w:rPr>
                        <w:sz w:val="16"/>
                        <w:u w:val="single"/>
                      </w:rPr>
                      <w:t> </w:t>
                    </w:r>
                    <w:r>
                      <w:rPr>
                        <w:spacing w:val="18"/>
                        <w:sz w:val="16"/>
                        <w:u w:val="single"/>
                      </w:rPr>
                      <w:t> </w:t>
                    </w:r>
                    <w:r>
                      <w:rPr>
                        <w:spacing w:val="-13"/>
                        <w:sz w:val="16"/>
                      </w:rPr>
                      <w:t>+</w:t>
                    </w:r>
                  </w:p>
                </w:txbxContent>
              </v:textbox>
              <w10:wrap type="none"/>
            </v:shape>
            <v:shape style="position:absolute;left:4117;top:698;width:100;height:178" type="#_x0000_t202" filled="false" stroked="false">
              <v:textbox inset="0,0,0,0">
                <w:txbxContent>
                  <w:p>
                    <w:pPr>
                      <w:spacing w:line="177" w:lineRule="exact" w:before="0"/>
                      <w:ind w:left="0" w:right="0" w:firstLine="0"/>
                      <w:jc w:val="left"/>
                      <w:rPr>
                        <w:sz w:val="16"/>
                      </w:rPr>
                    </w:pPr>
                    <w:r>
                      <w:rPr>
                        <w:sz w:val="16"/>
                      </w:rPr>
                      <w:t>_</w:t>
                    </w:r>
                  </w:p>
                </w:txbxContent>
              </v:textbox>
              <w10:wrap type="none"/>
            </v:shape>
            <v:shape style="position:absolute;left:1485;top:1246;width:989;height:263" type="#_x0000_t202" filled="false" stroked="false">
              <v:textbox inset="0,0,0,0">
                <w:txbxContent>
                  <w:p>
                    <w:pPr>
                      <w:spacing w:line="225" w:lineRule="auto" w:before="1"/>
                      <w:ind w:left="162" w:right="0" w:hanging="163"/>
                      <w:jc w:val="left"/>
                      <w:rPr>
                        <w:sz w:val="12"/>
                      </w:rPr>
                    </w:pPr>
                    <w:r>
                      <w:rPr>
                        <w:sz w:val="12"/>
                      </w:rPr>
                      <w:t>Goods and services trade balance (b)</w:t>
                    </w:r>
                  </w:p>
                </w:txbxContent>
              </v:textbox>
              <w10:wrap type="none"/>
            </v:shape>
            <w10:wrap type="none"/>
          </v:group>
        </w:pict>
      </w:r>
      <w:r>
        <w:rPr/>
        <w:pict>
          <v:line style="position:absolute;mso-position-horizontal-relative:page;mso-position-vertical-relative:paragraph;z-index:15892992" from="48.287001pt,10.659553pt" to="43.387001pt,10.659553pt" stroked="true" strokeweight=".5pt" strokecolor="#000000">
            <v:stroke dashstyle="solid"/>
            <w10:wrap type="none"/>
          </v:line>
        </w:pict>
      </w:r>
      <w:r>
        <w:rPr>
          <w:sz w:val="12"/>
        </w:rPr>
        <w:t>Per ce</w:t>
      </w:r>
      <w:r>
        <w:rPr>
          <w:sz w:val="12"/>
          <w:u w:val="single"/>
        </w:rPr>
        <w:t>n</w:t>
      </w:r>
      <w:r>
        <w:rPr>
          <w:sz w:val="12"/>
        </w:rPr>
        <w:t>t</w:t>
        <w:tab/>
      </w:r>
      <w:r>
        <w:rPr>
          <w:position w:val="-6"/>
          <w:sz w:val="12"/>
        </w:rPr>
        <w:t>4</w:t>
      </w:r>
    </w:p>
    <w:p>
      <w:pPr>
        <w:spacing w:before="139"/>
        <w:ind w:left="0" w:right="859" w:firstLine="0"/>
        <w:jc w:val="right"/>
        <w:rPr>
          <w:sz w:val="12"/>
        </w:rPr>
      </w:pPr>
      <w:r>
        <w:rPr>
          <w:sz w:val="12"/>
        </w:rPr>
        <w:t>2</w:t>
      </w:r>
    </w:p>
    <w:p>
      <w:pPr>
        <w:pStyle w:val="BodyText"/>
        <w:spacing w:before="5"/>
        <w:rPr>
          <w:sz w:val="12"/>
        </w:rPr>
      </w:pPr>
    </w:p>
    <w:p>
      <w:pPr>
        <w:spacing w:before="0"/>
        <w:ind w:left="0" w:right="859" w:firstLine="0"/>
        <w:jc w:val="right"/>
        <w:rPr>
          <w:sz w:val="12"/>
        </w:rPr>
      </w:pPr>
      <w:r>
        <w:rPr>
          <w:sz w:val="12"/>
        </w:rPr>
        <w:t>0</w:t>
      </w:r>
    </w:p>
    <w:p>
      <w:pPr>
        <w:pStyle w:val="BodyText"/>
        <w:spacing w:before="5"/>
        <w:rPr>
          <w:sz w:val="12"/>
        </w:rPr>
      </w:pPr>
    </w:p>
    <w:p>
      <w:pPr>
        <w:spacing w:before="0"/>
        <w:ind w:left="0" w:right="859" w:firstLine="0"/>
        <w:jc w:val="right"/>
        <w:rPr>
          <w:sz w:val="12"/>
        </w:rPr>
      </w:pPr>
      <w:r>
        <w:rPr>
          <w:sz w:val="12"/>
        </w:rPr>
        <w:t>2</w:t>
      </w:r>
    </w:p>
    <w:p>
      <w:pPr>
        <w:pStyle w:val="BodyText"/>
        <w:spacing w:before="5"/>
        <w:rPr>
          <w:sz w:val="12"/>
        </w:rPr>
      </w:pPr>
    </w:p>
    <w:p>
      <w:pPr>
        <w:spacing w:before="1"/>
        <w:ind w:left="0" w:right="859" w:firstLine="0"/>
        <w:jc w:val="right"/>
        <w:rPr>
          <w:sz w:val="12"/>
        </w:rPr>
      </w:pPr>
      <w:r>
        <w:rPr>
          <w:sz w:val="12"/>
        </w:rPr>
        <w:t>4</w:t>
      </w:r>
    </w:p>
    <w:p>
      <w:pPr>
        <w:pStyle w:val="BodyText"/>
        <w:spacing w:before="4"/>
        <w:rPr>
          <w:sz w:val="12"/>
        </w:rPr>
      </w:pPr>
    </w:p>
    <w:p>
      <w:pPr>
        <w:spacing w:line="120" w:lineRule="exact" w:before="1"/>
        <w:ind w:left="3608" w:right="0" w:firstLine="0"/>
        <w:jc w:val="left"/>
        <w:rPr>
          <w:sz w:val="12"/>
        </w:rPr>
      </w:pPr>
      <w:r>
        <w:rPr>
          <w:sz w:val="12"/>
        </w:rPr>
        <w:t>6</w:t>
      </w:r>
    </w:p>
    <w:p>
      <w:pPr>
        <w:tabs>
          <w:tab w:pos="1217" w:val="left" w:leader="none"/>
          <w:tab w:pos="1981" w:val="left" w:leader="none"/>
          <w:tab w:pos="2746" w:val="left" w:leader="none"/>
        </w:tabs>
        <w:spacing w:line="102" w:lineRule="exact" w:before="0"/>
        <w:ind w:left="433" w:right="0" w:firstLine="0"/>
        <w:jc w:val="left"/>
        <w:rPr>
          <w:sz w:val="12"/>
        </w:rPr>
      </w:pPr>
      <w:r>
        <w:rPr>
          <w:sz w:val="12"/>
        </w:rPr>
        <w:t>1980</w:t>
        <w:tab/>
        <w:t>85</w:t>
        <w:tab/>
        <w:t>90</w:t>
        <w:tab/>
        <w:t>95</w:t>
      </w:r>
    </w:p>
    <w:p>
      <w:pPr>
        <w:spacing w:line="199" w:lineRule="auto" w:before="0"/>
        <w:ind w:left="2901" w:right="0" w:firstLine="0"/>
        <w:jc w:val="left"/>
        <w:rPr>
          <w:sz w:val="12"/>
        </w:rPr>
      </w:pPr>
      <w:r>
        <w:rPr/>
        <w:pict>
          <v:line style="position:absolute;mso-position-horizontal-relative:page;mso-position-vertical-relative:paragraph;z-index:15894528" from="48.287001pt,8.088284pt" to="43.387001pt,8.088284pt" stroked="true" strokeweight=".5pt" strokecolor="#000000">
            <v:stroke dashstyle="solid"/>
            <w10:wrap type="none"/>
          </v:line>
        </w:pict>
      </w:r>
      <w:r>
        <w:rPr/>
        <w:pict>
          <v:line style="position:absolute;mso-position-horizontal-relative:page;mso-position-vertical-relative:paragraph;z-index:15895040" from="204.125006pt,8.088284pt" to="199.225006pt,8.088284pt" stroked="true" strokeweight=".5pt" strokecolor="#000000">
            <v:stroke dashstyle="solid"/>
            <w10:wrap type="none"/>
          </v:line>
        </w:pict>
      </w:r>
      <w:r>
        <w:rPr>
          <w:sz w:val="12"/>
        </w:rPr>
        <w:t>1990 = 100</w:t>
      </w:r>
      <w:r>
        <w:rPr>
          <w:spacing w:val="9"/>
          <w:sz w:val="12"/>
        </w:rPr>
        <w:t> </w:t>
      </w:r>
      <w:r>
        <w:rPr>
          <w:position w:val="-7"/>
          <w:sz w:val="12"/>
        </w:rPr>
        <w:t>140</w:t>
      </w:r>
    </w:p>
    <w:p>
      <w:pPr>
        <w:spacing w:before="90"/>
        <w:ind w:left="0" w:right="859" w:firstLine="0"/>
        <w:jc w:val="right"/>
        <w:rPr>
          <w:sz w:val="12"/>
        </w:rPr>
      </w:pPr>
      <w:r>
        <w:rPr/>
        <w:pict>
          <v:group style="position:absolute;margin-left:43.387001pt;margin-top:4.59049pt;width:160.75pt;height:63.65pt;mso-position-horizontal-relative:page;mso-position-vertical-relative:paragraph;z-index:15894016" coordorigin="868,92" coordsize="3215,1273">
            <v:shape style="position:absolute;left:1000;top:103;width:2960;height:1125" coordorigin="1000,103" coordsize="2960,1125" path="m1000,1228l1020,1190,1020,1134,1040,1040,1040,1003,1059,965,1079,890,1079,909,1098,928,1118,928,1118,909,1138,872,1138,759,1157,684,1177,647,1177,572,1196,534,1216,534,1236,478,1255,459,1255,422,1275,366,1275,328,1294,159,1314,103,1314,216,1334,234,1353,234,1353,309,1373,366,1392,384,1392,516,1412,534,1432,478,1432,459,1451,441,1451,422,1471,459,1490,478,1490,497,1510,459,1549,459,1569,422,1569,497,1588,628,1588,759,1608,797,1628,853,1628,722,1647,647,1667,628,1686,590,1706,628,1726,590,1726,647,1765,722,1765,759,1784,778,1784,759,1824,797,1824,778,1843,797,1863,853,1863,872,1882,909,1902,965,1922,890,1922,778,1961,703,1961,609,1980,684,2000,684,2000,722,2039,759,2039,853,2059,928,2078,909,2078,853,2098,834,2098,853,2118,928,2137,1022,2137,1040,2157,1134,2176,1115,2176,1097,2196,1078,2216,1040,2216,965,2235,928,2235,947,2235,909,2255,928,2274,909,2274,928,2294,890,2314,872,2314,815,2333,815,2353,853,2353,890,2372,797,2372,740,2392,722,2412,778,2412,797,2431,759,2431,797,2470,722,2490,759,2510,778,2510,815,2529,797,2549,815,2549,890,2568,872,2568,890,2588,909,2608,947,2608,1003,2627,1040,2647,984,2647,947,2666,1003,2686,1003,2686,984,2706,909,2725,815,2725,778,2745,815,2745,797,2764,815,2784,815,2784,778,2804,759,2823,797,2843,815,2862,853,2862,834,2882,834,2882,815,2902,834,2921,834,2921,815,2960,815,2960,834,2980,815,3000,778,3019,797,3019,815,3039,890,3058,1097,3058,1153,3078,1097,3078,1059,3098,1153,3117,1115,3117,1059,3156,1059,3156,1022,3196,1022,3215,1003,3235,1003,3235,1022,3254,1078,3294,1078,3294,1059,3313,1078,3333,1078,3333,1059,3352,1022,3372,1003,3372,1040,3392,1097,3392,1172,3411,1190,3470,1209,3470,1172,3509,1172,3509,1190,3529,1209,3529,1228,3548,1209,3568,1209,3568,1190,3588,1172,3607,1134,3607,1115,3627,1134,3646,1097,3646,1022,3666,928,3666,872,3705,797,3705,778,3725,722,3744,722,3744,665,3764,553,3784,590,3784,628,3803,590,3823,516,3823,478,3842,459,3842,441,3862,366,3882,347,3882,441,3901,384,3921,366,3921,384,3940,403,3960,459e" filled="false" stroked="true" strokeweight="1pt" strokecolor="#008256">
              <v:path arrowok="t"/>
              <v:stroke dashstyle="solid"/>
            </v:shape>
            <v:shape style="position:absolute;left:867;top:178;width:3215;height:1181" coordorigin="868,178" coordsize="3215,1181" path="m966,1115l868,1115m966,890l868,890m966,647l868,647m966,422l868,422m966,178l868,178m966,1359l868,1359m1000,1359l3940,1359m1000,1359l1000,1313m1294,1359l1294,1313m1451,1359l1451,1313m1588,1359l1588,1313m1745,1359l1745,1313m2039,1359l2039,1313m2196,1359l2196,1313m2353,1359l2353,1313m2490,1359l2490,1313m2784,1359l2784,1313m2941,1359l2941,1313m3078,1359l3078,1313m3235,1359l3235,1313m3529,1359l3529,1313m3686,1359l3686,1313m3842,1359l3842,1313m1138,1295l1138,1359m1902,1295l1902,1359m2647,1295l2647,1359m3392,1295l3392,1359m4083,1359l3985,1359m4083,1115l3985,1115m4083,890l3985,890m4083,647l3985,647m4083,422l3985,422m4083,178l3985,178e" filled="false" stroked="true" strokeweight=".5pt" strokecolor="#000000">
              <v:path arrowok="t"/>
              <v:stroke dashstyle="solid"/>
            </v:shape>
            <v:shape style="position:absolute;left:867;top:91;width:3215;height:1273" type="#_x0000_t202" filled="false" stroked="false">
              <v:textbox inset="0,0,0,0">
                <w:txbxContent>
                  <w:p>
                    <w:pPr>
                      <w:spacing w:line="133" w:lineRule="exact" w:before="0"/>
                      <w:ind w:left="525" w:right="0" w:firstLine="0"/>
                      <w:jc w:val="left"/>
                      <w:rPr>
                        <w:sz w:val="12"/>
                      </w:rPr>
                    </w:pPr>
                    <w:r>
                      <w:rPr>
                        <w:sz w:val="12"/>
                      </w:rPr>
                      <w:t>Real effective exchange rate (c)</w:t>
                    </w:r>
                  </w:p>
                </w:txbxContent>
              </v:textbox>
              <w10:wrap type="none"/>
            </v:shape>
            <w10:wrap type="none"/>
          </v:group>
        </w:pict>
      </w:r>
      <w:r>
        <w:rPr>
          <w:sz w:val="12"/>
        </w:rPr>
        <w:t>130</w:t>
      </w:r>
    </w:p>
    <w:p>
      <w:pPr>
        <w:spacing w:before="105"/>
        <w:ind w:left="0" w:right="859" w:firstLine="0"/>
        <w:jc w:val="right"/>
        <w:rPr>
          <w:sz w:val="12"/>
        </w:rPr>
      </w:pPr>
      <w:r>
        <w:rPr>
          <w:sz w:val="12"/>
        </w:rPr>
        <w:t>120</w:t>
      </w:r>
    </w:p>
    <w:p>
      <w:pPr>
        <w:spacing w:before="87"/>
        <w:ind w:left="0" w:right="859" w:firstLine="0"/>
        <w:jc w:val="right"/>
        <w:rPr>
          <w:sz w:val="12"/>
        </w:rPr>
      </w:pPr>
      <w:r>
        <w:rPr>
          <w:sz w:val="12"/>
        </w:rPr>
        <w:t>110</w:t>
      </w:r>
    </w:p>
    <w:p>
      <w:pPr>
        <w:spacing w:before="106"/>
        <w:ind w:left="0" w:right="859" w:firstLine="0"/>
        <w:jc w:val="right"/>
        <w:rPr>
          <w:sz w:val="12"/>
        </w:rPr>
      </w:pPr>
      <w:r>
        <w:rPr>
          <w:sz w:val="12"/>
        </w:rPr>
        <w:t>100</w:t>
      </w:r>
    </w:p>
    <w:p>
      <w:pPr>
        <w:spacing w:before="87"/>
        <w:ind w:left="0" w:right="859" w:firstLine="0"/>
        <w:jc w:val="right"/>
        <w:rPr>
          <w:sz w:val="12"/>
        </w:rPr>
      </w:pPr>
      <w:r>
        <w:rPr>
          <w:sz w:val="12"/>
        </w:rPr>
        <w:t>90</w:t>
      </w:r>
    </w:p>
    <w:p>
      <w:pPr>
        <w:spacing w:line="124" w:lineRule="exact" w:before="105"/>
        <w:ind w:left="3548" w:right="0" w:firstLine="0"/>
        <w:jc w:val="left"/>
        <w:rPr>
          <w:sz w:val="12"/>
        </w:rPr>
      </w:pPr>
      <w:r>
        <w:rPr>
          <w:sz w:val="12"/>
        </w:rPr>
        <w:t>80</w:t>
      </w:r>
    </w:p>
    <w:p>
      <w:pPr>
        <w:tabs>
          <w:tab w:pos="1203" w:val="left" w:leader="none"/>
          <w:tab w:pos="1948" w:val="left" w:leader="none"/>
          <w:tab w:pos="2692" w:val="left" w:leader="none"/>
        </w:tabs>
        <w:spacing w:line="124" w:lineRule="exact" w:before="0"/>
        <w:ind w:left="399" w:right="0" w:firstLine="0"/>
        <w:jc w:val="left"/>
        <w:rPr>
          <w:sz w:val="12"/>
        </w:rPr>
      </w:pPr>
      <w:r>
        <w:rPr>
          <w:sz w:val="12"/>
        </w:rPr>
        <w:t>1980</w:t>
        <w:tab/>
        <w:t>85</w:t>
        <w:tab/>
        <w:t>90</w:t>
        <w:tab/>
        <w:t>95</w:t>
      </w:r>
    </w:p>
    <w:p>
      <w:pPr>
        <w:pStyle w:val="BodyText"/>
        <w:spacing w:before="9"/>
        <w:rPr>
          <w:sz w:val="10"/>
        </w:rPr>
      </w:pPr>
    </w:p>
    <w:p>
      <w:pPr>
        <w:pStyle w:val="ListParagraph"/>
        <w:numPr>
          <w:ilvl w:val="0"/>
          <w:numId w:val="9"/>
        </w:numPr>
        <w:tabs>
          <w:tab w:pos="415" w:val="left" w:leader="none"/>
        </w:tabs>
        <w:spacing w:line="129" w:lineRule="exact" w:before="1" w:after="0"/>
        <w:ind w:left="414" w:right="0" w:hanging="240"/>
        <w:jc w:val="left"/>
        <w:rPr>
          <w:sz w:val="12"/>
        </w:rPr>
      </w:pPr>
      <w:r>
        <w:rPr>
          <w:color w:val="231F20"/>
          <w:sz w:val="12"/>
        </w:rPr>
        <w:t>Difference between GDP growth in the United Kingdom and rest of G7.</w:t>
      </w:r>
    </w:p>
    <w:p>
      <w:pPr>
        <w:pStyle w:val="ListParagraph"/>
        <w:numPr>
          <w:ilvl w:val="0"/>
          <w:numId w:val="9"/>
        </w:numPr>
        <w:tabs>
          <w:tab w:pos="416" w:val="left" w:leader="none"/>
        </w:tabs>
        <w:spacing w:line="120" w:lineRule="exact" w:before="0" w:after="0"/>
        <w:ind w:left="415" w:right="0" w:hanging="241"/>
        <w:jc w:val="left"/>
        <w:rPr>
          <w:sz w:val="12"/>
        </w:rPr>
      </w:pPr>
      <w:r>
        <w:rPr>
          <w:color w:val="231F20"/>
          <w:sz w:val="12"/>
        </w:rPr>
        <w:t>As a percentage of GDP.</w:t>
      </w:r>
    </w:p>
    <w:p>
      <w:pPr>
        <w:pStyle w:val="ListParagraph"/>
        <w:numPr>
          <w:ilvl w:val="0"/>
          <w:numId w:val="9"/>
        </w:numPr>
        <w:tabs>
          <w:tab w:pos="415" w:val="left" w:leader="none"/>
        </w:tabs>
        <w:spacing w:line="208" w:lineRule="auto" w:before="5" w:after="0"/>
        <w:ind w:left="415" w:right="680" w:hanging="240"/>
        <w:jc w:val="left"/>
        <w:rPr>
          <w:sz w:val="12"/>
        </w:rPr>
      </w:pPr>
      <w:r>
        <w:rPr>
          <w:color w:val="231F20"/>
          <w:sz w:val="12"/>
        </w:rPr>
        <w:t>Calculated using relative normalised unit labour costs in </w:t>
      </w:r>
      <w:r>
        <w:rPr>
          <w:color w:val="231F20"/>
          <w:spacing w:val="-2"/>
          <w:sz w:val="12"/>
        </w:rPr>
        <w:t>manufacturing </w:t>
      </w:r>
      <w:r>
        <w:rPr>
          <w:color w:val="231F20"/>
          <w:sz w:val="12"/>
        </w:rPr>
        <w:t>and the nominal effective exchange rate index.</w:t>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7"/>
        <w:rPr>
          <w:sz w:val="16"/>
        </w:rPr>
      </w:pPr>
    </w:p>
    <w:p>
      <w:pPr>
        <w:pStyle w:val="Heading7"/>
        <w:spacing w:before="0"/>
        <w:ind w:left="175"/>
      </w:pPr>
      <w:r>
        <w:rPr>
          <w:color w:val="0093C1"/>
        </w:rPr>
        <w:t>Table 2.C</w:t>
      </w:r>
    </w:p>
    <w:p>
      <w:pPr>
        <w:spacing w:before="10"/>
        <w:ind w:left="175" w:right="0" w:firstLine="0"/>
        <w:jc w:val="left"/>
        <w:rPr>
          <w:sz w:val="12"/>
        </w:rPr>
      </w:pPr>
      <w:r>
        <w:rPr>
          <w:b/>
          <w:color w:val="0093C1"/>
          <w:sz w:val="20"/>
        </w:rPr>
        <w:t>Quarterly growth rate of GDP</w:t>
      </w:r>
      <w:r>
        <w:rPr>
          <w:color w:val="231F20"/>
          <w:position w:val="4"/>
          <w:sz w:val="12"/>
        </w:rPr>
        <w:t>(a)</w:t>
      </w:r>
    </w:p>
    <w:p>
      <w:pPr>
        <w:spacing w:before="106"/>
        <w:ind w:left="175" w:right="0" w:firstLine="0"/>
        <w:jc w:val="left"/>
        <w:rPr>
          <w:sz w:val="14"/>
        </w:rPr>
      </w:pPr>
      <w:r>
        <w:rPr>
          <w:color w:val="231F20"/>
          <w:sz w:val="14"/>
        </w:rPr>
        <w:t>Percentage change</w:t>
      </w:r>
    </w:p>
    <w:p>
      <w:pPr>
        <w:tabs>
          <w:tab w:pos="3999" w:val="left" w:leader="none"/>
        </w:tabs>
        <w:spacing w:before="119"/>
        <w:ind w:left="2254" w:right="0" w:firstLine="0"/>
        <w:jc w:val="left"/>
        <w:rPr>
          <w:sz w:val="14"/>
        </w:rPr>
      </w:pPr>
      <w:r>
        <w:rPr>
          <w:color w:val="231F20"/>
          <w:sz w:val="14"/>
          <w:u w:val="single" w:color="231F20"/>
        </w:rPr>
        <w:t>1998</w:t>
        <w:tab/>
      </w:r>
    </w:p>
    <w:p>
      <w:pPr>
        <w:tabs>
          <w:tab w:pos="2629" w:val="left" w:leader="none"/>
          <w:tab w:pos="2914" w:val="left" w:leader="none"/>
          <w:tab w:pos="3624" w:val="left" w:leader="none"/>
        </w:tabs>
        <w:spacing w:before="39"/>
        <w:ind w:left="2254" w:right="0" w:firstLine="0"/>
        <w:jc w:val="left"/>
        <w:rPr>
          <w:sz w:val="14"/>
        </w:rPr>
      </w:pPr>
      <w:r>
        <w:rPr>
          <w:color w:val="231F20"/>
          <w:sz w:val="14"/>
          <w:u w:val="single" w:color="231F20"/>
        </w:rPr>
        <w:t>Q1</w:t>
        <w:tab/>
      </w:r>
      <w:r>
        <w:rPr>
          <w:color w:val="231F20"/>
          <w:sz w:val="14"/>
        </w:rPr>
        <w:tab/>
      </w:r>
      <w:r>
        <w:rPr>
          <w:color w:val="231F20"/>
          <w:sz w:val="14"/>
          <w:u w:val="single" w:color="231F20"/>
        </w:rPr>
        <w:t>Q2</w:t>
      </w:r>
      <w:r>
        <w:rPr>
          <w:color w:val="231F20"/>
          <w:sz w:val="14"/>
        </w:rPr>
        <w:tab/>
      </w:r>
      <w:r>
        <w:rPr>
          <w:color w:val="231F20"/>
          <w:sz w:val="14"/>
          <w:u w:val="single" w:color="231F20"/>
        </w:rPr>
        <w:t>Q3</w:t>
      </w:r>
      <w:r>
        <w:rPr>
          <w:color w:val="231F20"/>
          <w:spacing w:val="-16"/>
          <w:sz w:val="14"/>
          <w:u w:val="single" w:color="231F20"/>
        </w:rPr>
        <w:t> </w:t>
      </w:r>
    </w:p>
    <w:p>
      <w:pPr>
        <w:spacing w:before="39"/>
        <w:ind w:left="175" w:right="0" w:firstLine="0"/>
        <w:jc w:val="left"/>
        <w:rPr>
          <w:sz w:val="14"/>
        </w:rPr>
      </w:pPr>
      <w:r>
        <w:rPr>
          <w:color w:val="231F20"/>
          <w:sz w:val="14"/>
        </w:rPr>
        <w:t>Consumption:</w:t>
      </w:r>
    </w:p>
    <w:tbl>
      <w:tblPr>
        <w:tblW w:w="0" w:type="auto"/>
        <w:jc w:val="left"/>
        <w:tblInd w:w="1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79"/>
        <w:gridCol w:w="601"/>
        <w:gridCol w:w="695"/>
        <w:gridCol w:w="506"/>
      </w:tblGrid>
      <w:tr>
        <w:trPr>
          <w:trHeight w:val="147" w:hRule="atLeast"/>
        </w:trPr>
        <w:tc>
          <w:tcPr>
            <w:tcW w:w="1979" w:type="dxa"/>
          </w:tcPr>
          <w:p>
            <w:pPr>
              <w:pStyle w:val="TableParagraph"/>
              <w:spacing w:line="128" w:lineRule="exact"/>
              <w:ind w:left="155"/>
              <w:rPr>
                <w:i/>
                <w:sz w:val="14"/>
              </w:rPr>
            </w:pPr>
            <w:r>
              <w:rPr>
                <w:i/>
                <w:color w:val="231F20"/>
                <w:sz w:val="14"/>
              </w:rPr>
              <w:t>Households</w:t>
            </w:r>
          </w:p>
        </w:tc>
        <w:tc>
          <w:tcPr>
            <w:tcW w:w="601" w:type="dxa"/>
          </w:tcPr>
          <w:p>
            <w:pPr>
              <w:pStyle w:val="TableParagraph"/>
              <w:spacing w:line="128" w:lineRule="exact"/>
              <w:ind w:left="186"/>
              <w:rPr>
                <w:i/>
                <w:sz w:val="14"/>
              </w:rPr>
            </w:pPr>
            <w:r>
              <w:rPr>
                <w:i/>
                <w:color w:val="231F20"/>
                <w:sz w:val="14"/>
              </w:rPr>
              <w:t>0.5</w:t>
            </w:r>
          </w:p>
        </w:tc>
        <w:tc>
          <w:tcPr>
            <w:tcW w:w="695" w:type="dxa"/>
          </w:tcPr>
          <w:p>
            <w:pPr>
              <w:pStyle w:val="TableParagraph"/>
              <w:spacing w:line="128" w:lineRule="exact"/>
              <w:ind w:right="232"/>
              <w:jc w:val="right"/>
              <w:rPr>
                <w:i/>
                <w:sz w:val="14"/>
              </w:rPr>
            </w:pPr>
            <w:r>
              <w:rPr>
                <w:i/>
                <w:color w:val="231F20"/>
                <w:sz w:val="14"/>
              </w:rPr>
              <w:t>0.5</w:t>
            </w:r>
          </w:p>
        </w:tc>
        <w:tc>
          <w:tcPr>
            <w:tcW w:w="506" w:type="dxa"/>
          </w:tcPr>
          <w:p>
            <w:pPr>
              <w:pStyle w:val="TableParagraph"/>
              <w:spacing w:line="128" w:lineRule="exact"/>
              <w:ind w:right="48"/>
              <w:jc w:val="right"/>
              <w:rPr>
                <w:i/>
                <w:sz w:val="14"/>
              </w:rPr>
            </w:pPr>
            <w:r>
              <w:rPr>
                <w:i/>
                <w:color w:val="231F20"/>
                <w:sz w:val="14"/>
              </w:rPr>
              <w:t>0.3</w:t>
            </w:r>
          </w:p>
        </w:tc>
      </w:tr>
      <w:tr>
        <w:trPr>
          <w:trHeight w:val="140" w:hRule="atLeast"/>
        </w:trPr>
        <w:tc>
          <w:tcPr>
            <w:tcW w:w="1979" w:type="dxa"/>
          </w:tcPr>
          <w:p>
            <w:pPr>
              <w:pStyle w:val="TableParagraph"/>
              <w:ind w:left="155"/>
              <w:rPr>
                <w:i/>
                <w:sz w:val="14"/>
              </w:rPr>
            </w:pPr>
            <w:r>
              <w:rPr>
                <w:i/>
                <w:color w:val="231F20"/>
                <w:sz w:val="14"/>
              </w:rPr>
              <w:t>Non profit making institutions</w:t>
            </w:r>
          </w:p>
        </w:tc>
        <w:tc>
          <w:tcPr>
            <w:tcW w:w="601" w:type="dxa"/>
          </w:tcPr>
          <w:p>
            <w:pPr>
              <w:pStyle w:val="TableParagraph"/>
              <w:spacing w:line="240" w:lineRule="auto"/>
              <w:rPr>
                <w:sz w:val="8"/>
              </w:rPr>
            </w:pPr>
          </w:p>
        </w:tc>
        <w:tc>
          <w:tcPr>
            <w:tcW w:w="695" w:type="dxa"/>
          </w:tcPr>
          <w:p>
            <w:pPr>
              <w:pStyle w:val="TableParagraph"/>
              <w:spacing w:line="240" w:lineRule="auto"/>
              <w:rPr>
                <w:sz w:val="8"/>
              </w:rPr>
            </w:pPr>
          </w:p>
        </w:tc>
        <w:tc>
          <w:tcPr>
            <w:tcW w:w="506" w:type="dxa"/>
          </w:tcPr>
          <w:p>
            <w:pPr>
              <w:pStyle w:val="TableParagraph"/>
              <w:spacing w:line="240" w:lineRule="auto"/>
              <w:rPr>
                <w:sz w:val="8"/>
              </w:rPr>
            </w:pPr>
          </w:p>
        </w:tc>
      </w:tr>
      <w:tr>
        <w:trPr>
          <w:trHeight w:val="140" w:hRule="atLeast"/>
        </w:trPr>
        <w:tc>
          <w:tcPr>
            <w:tcW w:w="1979" w:type="dxa"/>
          </w:tcPr>
          <w:p>
            <w:pPr>
              <w:pStyle w:val="TableParagraph"/>
              <w:ind w:left="190"/>
              <w:rPr>
                <w:i/>
                <w:sz w:val="14"/>
              </w:rPr>
            </w:pPr>
            <w:r>
              <w:rPr>
                <w:i/>
                <w:color w:val="231F20"/>
                <w:sz w:val="14"/>
              </w:rPr>
              <w:t>serving households</w:t>
            </w:r>
          </w:p>
        </w:tc>
        <w:tc>
          <w:tcPr>
            <w:tcW w:w="601" w:type="dxa"/>
          </w:tcPr>
          <w:p>
            <w:pPr>
              <w:pStyle w:val="TableParagraph"/>
              <w:ind w:left="186"/>
              <w:rPr>
                <w:i/>
                <w:sz w:val="14"/>
              </w:rPr>
            </w:pPr>
            <w:r>
              <w:rPr>
                <w:i/>
                <w:color w:val="231F20"/>
                <w:sz w:val="14"/>
              </w:rPr>
              <w:t>0.1</w:t>
            </w:r>
          </w:p>
        </w:tc>
        <w:tc>
          <w:tcPr>
            <w:tcW w:w="695" w:type="dxa"/>
          </w:tcPr>
          <w:p>
            <w:pPr>
              <w:pStyle w:val="TableParagraph"/>
              <w:ind w:right="232"/>
              <w:jc w:val="right"/>
              <w:rPr>
                <w:i/>
                <w:sz w:val="14"/>
              </w:rPr>
            </w:pPr>
            <w:r>
              <w:rPr>
                <w:i/>
                <w:color w:val="231F20"/>
                <w:sz w:val="14"/>
              </w:rPr>
              <w:t>0.4</w:t>
            </w:r>
          </w:p>
        </w:tc>
        <w:tc>
          <w:tcPr>
            <w:tcW w:w="506" w:type="dxa"/>
          </w:tcPr>
          <w:p>
            <w:pPr>
              <w:pStyle w:val="TableParagraph"/>
              <w:ind w:right="48"/>
              <w:jc w:val="right"/>
              <w:rPr>
                <w:i/>
                <w:sz w:val="14"/>
              </w:rPr>
            </w:pPr>
            <w:r>
              <w:rPr>
                <w:i/>
                <w:color w:val="231F20"/>
                <w:sz w:val="14"/>
              </w:rPr>
              <w:t>0.2</w:t>
            </w:r>
          </w:p>
        </w:tc>
      </w:tr>
      <w:tr>
        <w:trPr>
          <w:trHeight w:val="140" w:hRule="atLeast"/>
        </w:trPr>
        <w:tc>
          <w:tcPr>
            <w:tcW w:w="1979" w:type="dxa"/>
          </w:tcPr>
          <w:p>
            <w:pPr>
              <w:pStyle w:val="TableParagraph"/>
              <w:ind w:left="155"/>
              <w:rPr>
                <w:i/>
                <w:sz w:val="14"/>
              </w:rPr>
            </w:pPr>
            <w:r>
              <w:rPr>
                <w:i/>
                <w:color w:val="231F20"/>
                <w:sz w:val="14"/>
              </w:rPr>
              <w:t>Government</w:t>
            </w:r>
          </w:p>
        </w:tc>
        <w:tc>
          <w:tcPr>
            <w:tcW w:w="601" w:type="dxa"/>
          </w:tcPr>
          <w:p>
            <w:pPr>
              <w:pStyle w:val="TableParagraph"/>
              <w:ind w:left="186"/>
              <w:rPr>
                <w:i/>
                <w:sz w:val="14"/>
              </w:rPr>
            </w:pPr>
            <w:r>
              <w:rPr>
                <w:i/>
                <w:color w:val="231F20"/>
                <w:sz w:val="14"/>
              </w:rPr>
              <w:t>0.9</w:t>
            </w:r>
          </w:p>
        </w:tc>
        <w:tc>
          <w:tcPr>
            <w:tcW w:w="695" w:type="dxa"/>
          </w:tcPr>
          <w:p>
            <w:pPr>
              <w:pStyle w:val="TableParagraph"/>
              <w:ind w:right="232"/>
              <w:jc w:val="right"/>
              <w:rPr>
                <w:i/>
                <w:sz w:val="14"/>
              </w:rPr>
            </w:pPr>
            <w:r>
              <w:rPr>
                <w:i/>
                <w:color w:val="231F20"/>
                <w:sz w:val="14"/>
              </w:rPr>
              <w:t>0.4</w:t>
            </w:r>
          </w:p>
        </w:tc>
        <w:tc>
          <w:tcPr>
            <w:tcW w:w="506" w:type="dxa"/>
          </w:tcPr>
          <w:p>
            <w:pPr>
              <w:pStyle w:val="TableParagraph"/>
              <w:ind w:right="48"/>
              <w:jc w:val="right"/>
              <w:rPr>
                <w:i/>
                <w:sz w:val="14"/>
              </w:rPr>
            </w:pPr>
            <w:r>
              <w:rPr>
                <w:i/>
                <w:color w:val="231F20"/>
                <w:sz w:val="14"/>
              </w:rPr>
              <w:t>0.2</w:t>
            </w:r>
          </w:p>
        </w:tc>
      </w:tr>
      <w:tr>
        <w:trPr>
          <w:trHeight w:val="140" w:hRule="atLeast"/>
        </w:trPr>
        <w:tc>
          <w:tcPr>
            <w:tcW w:w="1979" w:type="dxa"/>
          </w:tcPr>
          <w:p>
            <w:pPr>
              <w:pStyle w:val="TableParagraph"/>
              <w:ind w:left="50"/>
              <w:rPr>
                <w:sz w:val="14"/>
              </w:rPr>
            </w:pPr>
            <w:r>
              <w:rPr>
                <w:color w:val="231F20"/>
                <w:sz w:val="14"/>
              </w:rPr>
              <w:t>Investment</w:t>
            </w:r>
          </w:p>
        </w:tc>
        <w:tc>
          <w:tcPr>
            <w:tcW w:w="601" w:type="dxa"/>
          </w:tcPr>
          <w:p>
            <w:pPr>
              <w:pStyle w:val="TableParagraph"/>
              <w:ind w:left="186"/>
              <w:rPr>
                <w:sz w:val="14"/>
              </w:rPr>
            </w:pPr>
            <w:r>
              <w:rPr>
                <w:color w:val="231F20"/>
                <w:sz w:val="14"/>
              </w:rPr>
              <w:t>1.9</w:t>
            </w:r>
          </w:p>
        </w:tc>
        <w:tc>
          <w:tcPr>
            <w:tcW w:w="695" w:type="dxa"/>
          </w:tcPr>
          <w:p>
            <w:pPr>
              <w:pStyle w:val="TableParagraph"/>
              <w:ind w:right="232"/>
              <w:jc w:val="right"/>
              <w:rPr>
                <w:sz w:val="14"/>
              </w:rPr>
            </w:pPr>
            <w:r>
              <w:rPr>
                <w:color w:val="231F20"/>
                <w:sz w:val="14"/>
              </w:rPr>
              <w:t>0.0</w:t>
            </w:r>
          </w:p>
        </w:tc>
        <w:tc>
          <w:tcPr>
            <w:tcW w:w="506" w:type="dxa"/>
          </w:tcPr>
          <w:p>
            <w:pPr>
              <w:pStyle w:val="TableParagraph"/>
              <w:ind w:right="48"/>
              <w:jc w:val="right"/>
              <w:rPr>
                <w:sz w:val="14"/>
              </w:rPr>
            </w:pPr>
            <w:r>
              <w:rPr>
                <w:color w:val="231F20"/>
                <w:sz w:val="14"/>
              </w:rPr>
              <w:t>1.1</w:t>
            </w:r>
          </w:p>
        </w:tc>
      </w:tr>
      <w:tr>
        <w:trPr>
          <w:trHeight w:val="139" w:hRule="atLeast"/>
        </w:trPr>
        <w:tc>
          <w:tcPr>
            <w:tcW w:w="1979" w:type="dxa"/>
          </w:tcPr>
          <w:p>
            <w:pPr>
              <w:pStyle w:val="TableParagraph"/>
              <w:ind w:left="50"/>
              <w:rPr>
                <w:sz w:val="14"/>
              </w:rPr>
            </w:pPr>
            <w:r>
              <w:rPr>
                <w:color w:val="231F20"/>
                <w:sz w:val="14"/>
              </w:rPr>
              <w:t>Final domestic demand</w:t>
            </w:r>
          </w:p>
        </w:tc>
        <w:tc>
          <w:tcPr>
            <w:tcW w:w="601" w:type="dxa"/>
          </w:tcPr>
          <w:p>
            <w:pPr>
              <w:pStyle w:val="TableParagraph"/>
              <w:ind w:left="186"/>
              <w:rPr>
                <w:sz w:val="14"/>
              </w:rPr>
            </w:pPr>
            <w:r>
              <w:rPr>
                <w:color w:val="231F20"/>
                <w:sz w:val="14"/>
              </w:rPr>
              <w:t>0.9</w:t>
            </w:r>
          </w:p>
        </w:tc>
        <w:tc>
          <w:tcPr>
            <w:tcW w:w="695" w:type="dxa"/>
          </w:tcPr>
          <w:p>
            <w:pPr>
              <w:pStyle w:val="TableParagraph"/>
              <w:ind w:right="232"/>
              <w:jc w:val="right"/>
              <w:rPr>
                <w:sz w:val="14"/>
              </w:rPr>
            </w:pPr>
            <w:r>
              <w:rPr>
                <w:color w:val="231F20"/>
                <w:sz w:val="14"/>
              </w:rPr>
              <w:t>0.3</w:t>
            </w:r>
          </w:p>
        </w:tc>
        <w:tc>
          <w:tcPr>
            <w:tcW w:w="506" w:type="dxa"/>
          </w:tcPr>
          <w:p>
            <w:pPr>
              <w:pStyle w:val="TableParagraph"/>
              <w:ind w:right="48"/>
              <w:jc w:val="right"/>
              <w:rPr>
                <w:sz w:val="14"/>
              </w:rPr>
            </w:pPr>
            <w:r>
              <w:rPr>
                <w:color w:val="231F20"/>
                <w:sz w:val="14"/>
              </w:rPr>
              <w:t>0.6</w:t>
            </w:r>
          </w:p>
        </w:tc>
      </w:tr>
      <w:tr>
        <w:trPr>
          <w:trHeight w:val="140" w:hRule="atLeast"/>
        </w:trPr>
        <w:tc>
          <w:tcPr>
            <w:tcW w:w="1979" w:type="dxa"/>
          </w:tcPr>
          <w:p>
            <w:pPr>
              <w:pStyle w:val="TableParagraph"/>
              <w:ind w:left="50"/>
              <w:rPr>
                <w:sz w:val="12"/>
              </w:rPr>
            </w:pPr>
            <w:r>
              <w:rPr>
                <w:color w:val="231F20"/>
                <w:sz w:val="14"/>
              </w:rPr>
              <w:t>Change in inventories </w:t>
            </w:r>
            <w:r>
              <w:rPr>
                <w:color w:val="231F20"/>
                <w:sz w:val="12"/>
              </w:rPr>
              <w:t>(b)(c)</w:t>
            </w:r>
          </w:p>
        </w:tc>
        <w:tc>
          <w:tcPr>
            <w:tcW w:w="601" w:type="dxa"/>
          </w:tcPr>
          <w:p>
            <w:pPr>
              <w:pStyle w:val="TableParagraph"/>
              <w:ind w:left="139"/>
              <w:rPr>
                <w:sz w:val="14"/>
              </w:rPr>
            </w:pPr>
            <w:r>
              <w:rPr>
                <w:color w:val="231F20"/>
                <w:sz w:val="14"/>
              </w:rPr>
              <w:t>-0.3</w:t>
            </w:r>
          </w:p>
        </w:tc>
        <w:tc>
          <w:tcPr>
            <w:tcW w:w="695" w:type="dxa"/>
          </w:tcPr>
          <w:p>
            <w:pPr>
              <w:pStyle w:val="TableParagraph"/>
              <w:ind w:right="232"/>
              <w:jc w:val="right"/>
              <w:rPr>
                <w:sz w:val="14"/>
              </w:rPr>
            </w:pPr>
            <w:r>
              <w:rPr>
                <w:color w:val="231F20"/>
                <w:sz w:val="14"/>
              </w:rPr>
              <w:t>0.2</w:t>
            </w:r>
          </w:p>
        </w:tc>
        <w:tc>
          <w:tcPr>
            <w:tcW w:w="506" w:type="dxa"/>
          </w:tcPr>
          <w:p>
            <w:pPr>
              <w:pStyle w:val="TableParagraph"/>
              <w:ind w:right="48"/>
              <w:jc w:val="right"/>
              <w:rPr>
                <w:sz w:val="14"/>
              </w:rPr>
            </w:pPr>
            <w:r>
              <w:rPr>
                <w:color w:val="231F20"/>
                <w:sz w:val="14"/>
              </w:rPr>
              <w:t>0.2</w:t>
            </w:r>
          </w:p>
        </w:tc>
      </w:tr>
      <w:tr>
        <w:trPr>
          <w:trHeight w:val="139" w:hRule="atLeast"/>
        </w:trPr>
        <w:tc>
          <w:tcPr>
            <w:tcW w:w="1979" w:type="dxa"/>
          </w:tcPr>
          <w:p>
            <w:pPr>
              <w:pStyle w:val="TableParagraph"/>
              <w:ind w:left="50"/>
              <w:rPr>
                <w:b/>
                <w:sz w:val="14"/>
              </w:rPr>
            </w:pPr>
            <w:r>
              <w:rPr>
                <w:b/>
                <w:color w:val="231F20"/>
                <w:sz w:val="14"/>
              </w:rPr>
              <w:t>Domestic demand</w:t>
            </w:r>
          </w:p>
        </w:tc>
        <w:tc>
          <w:tcPr>
            <w:tcW w:w="601" w:type="dxa"/>
          </w:tcPr>
          <w:p>
            <w:pPr>
              <w:pStyle w:val="TableParagraph"/>
              <w:ind w:left="186"/>
              <w:rPr>
                <w:b/>
                <w:sz w:val="14"/>
              </w:rPr>
            </w:pPr>
            <w:r>
              <w:rPr>
                <w:b/>
                <w:color w:val="231F20"/>
                <w:sz w:val="14"/>
              </w:rPr>
              <w:t>0.6</w:t>
            </w:r>
          </w:p>
        </w:tc>
        <w:tc>
          <w:tcPr>
            <w:tcW w:w="695" w:type="dxa"/>
          </w:tcPr>
          <w:p>
            <w:pPr>
              <w:pStyle w:val="TableParagraph"/>
              <w:ind w:right="232"/>
              <w:jc w:val="right"/>
              <w:rPr>
                <w:b/>
                <w:sz w:val="14"/>
              </w:rPr>
            </w:pPr>
            <w:r>
              <w:rPr>
                <w:b/>
                <w:color w:val="231F20"/>
                <w:sz w:val="14"/>
              </w:rPr>
              <w:t>0.5</w:t>
            </w:r>
          </w:p>
        </w:tc>
        <w:tc>
          <w:tcPr>
            <w:tcW w:w="506" w:type="dxa"/>
          </w:tcPr>
          <w:p>
            <w:pPr>
              <w:pStyle w:val="TableParagraph"/>
              <w:ind w:right="48"/>
              <w:jc w:val="right"/>
              <w:rPr>
                <w:b/>
                <w:sz w:val="14"/>
              </w:rPr>
            </w:pPr>
            <w:r>
              <w:rPr>
                <w:b/>
                <w:color w:val="231F20"/>
                <w:sz w:val="14"/>
              </w:rPr>
              <w:t>0.8</w:t>
            </w:r>
          </w:p>
        </w:tc>
      </w:tr>
      <w:tr>
        <w:trPr>
          <w:trHeight w:val="140" w:hRule="atLeast"/>
        </w:trPr>
        <w:tc>
          <w:tcPr>
            <w:tcW w:w="1979" w:type="dxa"/>
          </w:tcPr>
          <w:p>
            <w:pPr>
              <w:pStyle w:val="TableParagraph"/>
              <w:ind w:left="50"/>
              <w:rPr>
                <w:sz w:val="12"/>
              </w:rPr>
            </w:pPr>
            <w:r>
              <w:rPr>
                <w:color w:val="231F20"/>
                <w:sz w:val="14"/>
              </w:rPr>
              <w:t>Net trade </w:t>
            </w:r>
            <w:r>
              <w:rPr>
                <w:color w:val="231F20"/>
                <w:sz w:val="12"/>
              </w:rPr>
              <w:t>(b)</w:t>
            </w:r>
          </w:p>
        </w:tc>
        <w:tc>
          <w:tcPr>
            <w:tcW w:w="601" w:type="dxa"/>
          </w:tcPr>
          <w:p>
            <w:pPr>
              <w:pStyle w:val="TableParagraph"/>
              <w:ind w:left="139"/>
              <w:rPr>
                <w:sz w:val="14"/>
              </w:rPr>
            </w:pPr>
            <w:r>
              <w:rPr>
                <w:color w:val="231F20"/>
                <w:sz w:val="14"/>
              </w:rPr>
              <w:t>-0.3</w:t>
            </w:r>
          </w:p>
        </w:tc>
        <w:tc>
          <w:tcPr>
            <w:tcW w:w="695" w:type="dxa"/>
          </w:tcPr>
          <w:p>
            <w:pPr>
              <w:pStyle w:val="TableParagraph"/>
              <w:ind w:right="232"/>
              <w:jc w:val="right"/>
              <w:rPr>
                <w:sz w:val="14"/>
              </w:rPr>
            </w:pPr>
            <w:r>
              <w:rPr>
                <w:color w:val="231F20"/>
                <w:sz w:val="14"/>
              </w:rPr>
              <w:t>-0.1</w:t>
            </w:r>
          </w:p>
        </w:tc>
        <w:tc>
          <w:tcPr>
            <w:tcW w:w="506" w:type="dxa"/>
          </w:tcPr>
          <w:p>
            <w:pPr>
              <w:pStyle w:val="TableParagraph"/>
              <w:ind w:right="48"/>
              <w:jc w:val="right"/>
              <w:rPr>
                <w:sz w:val="14"/>
              </w:rPr>
            </w:pPr>
            <w:r>
              <w:rPr>
                <w:color w:val="231F20"/>
                <w:sz w:val="14"/>
              </w:rPr>
              <w:t>-0.5</w:t>
            </w:r>
          </w:p>
        </w:tc>
      </w:tr>
      <w:tr>
        <w:trPr>
          <w:trHeight w:val="403" w:hRule="atLeast"/>
        </w:trPr>
        <w:tc>
          <w:tcPr>
            <w:tcW w:w="1979" w:type="dxa"/>
          </w:tcPr>
          <w:p>
            <w:pPr>
              <w:pStyle w:val="TableParagraph"/>
              <w:spacing w:line="133" w:lineRule="exact"/>
              <w:ind w:left="50"/>
              <w:rPr>
                <w:b/>
                <w:sz w:val="14"/>
              </w:rPr>
            </w:pPr>
            <w:r>
              <w:rPr>
                <w:b/>
                <w:color w:val="231F20"/>
                <w:sz w:val="14"/>
              </w:rPr>
              <w:t>GDP at market prices</w:t>
            </w:r>
          </w:p>
          <w:p>
            <w:pPr>
              <w:pStyle w:val="TableParagraph"/>
              <w:spacing w:line="133" w:lineRule="exact" w:before="117"/>
              <w:ind w:left="50"/>
              <w:rPr>
                <w:sz w:val="12"/>
              </w:rPr>
            </w:pPr>
            <w:r>
              <w:rPr>
                <w:color w:val="231F20"/>
                <w:sz w:val="12"/>
              </w:rPr>
              <w:t>(a)    Constant 1995</w:t>
            </w:r>
            <w:r>
              <w:rPr>
                <w:color w:val="231F20"/>
                <w:spacing w:val="-14"/>
                <w:sz w:val="12"/>
              </w:rPr>
              <w:t> </w:t>
            </w:r>
            <w:r>
              <w:rPr>
                <w:color w:val="231F20"/>
                <w:sz w:val="12"/>
              </w:rPr>
              <w:t>prices.</w:t>
            </w:r>
          </w:p>
        </w:tc>
        <w:tc>
          <w:tcPr>
            <w:tcW w:w="601" w:type="dxa"/>
          </w:tcPr>
          <w:p>
            <w:pPr>
              <w:pStyle w:val="TableParagraph"/>
              <w:spacing w:line="133" w:lineRule="exact"/>
              <w:ind w:left="186"/>
              <w:rPr>
                <w:b/>
                <w:sz w:val="14"/>
              </w:rPr>
            </w:pPr>
            <w:r>
              <w:rPr>
                <w:b/>
                <w:color w:val="231F20"/>
                <w:sz w:val="14"/>
              </w:rPr>
              <w:t>0.5</w:t>
            </w:r>
          </w:p>
        </w:tc>
        <w:tc>
          <w:tcPr>
            <w:tcW w:w="695" w:type="dxa"/>
          </w:tcPr>
          <w:p>
            <w:pPr>
              <w:pStyle w:val="TableParagraph"/>
              <w:spacing w:line="133" w:lineRule="exact"/>
              <w:ind w:right="232"/>
              <w:jc w:val="right"/>
              <w:rPr>
                <w:b/>
                <w:sz w:val="14"/>
              </w:rPr>
            </w:pPr>
            <w:r>
              <w:rPr>
                <w:b/>
                <w:color w:val="231F20"/>
                <w:sz w:val="14"/>
              </w:rPr>
              <w:t>0.5</w:t>
            </w:r>
          </w:p>
        </w:tc>
        <w:tc>
          <w:tcPr>
            <w:tcW w:w="506" w:type="dxa"/>
          </w:tcPr>
          <w:p>
            <w:pPr>
              <w:pStyle w:val="TableParagraph"/>
              <w:spacing w:line="133" w:lineRule="exact"/>
              <w:ind w:right="48"/>
              <w:jc w:val="right"/>
              <w:rPr>
                <w:b/>
                <w:sz w:val="14"/>
              </w:rPr>
            </w:pPr>
            <w:r>
              <w:rPr>
                <w:b/>
                <w:color w:val="231F20"/>
                <w:sz w:val="14"/>
              </w:rPr>
              <w:t>0.4</w:t>
            </w:r>
          </w:p>
        </w:tc>
      </w:tr>
    </w:tbl>
    <w:p>
      <w:pPr>
        <w:pStyle w:val="ListParagraph"/>
        <w:numPr>
          <w:ilvl w:val="0"/>
          <w:numId w:val="10"/>
        </w:numPr>
        <w:tabs>
          <w:tab w:pos="416" w:val="left" w:leader="none"/>
        </w:tabs>
        <w:spacing w:line="96" w:lineRule="exact" w:before="0" w:after="0"/>
        <w:ind w:left="415" w:right="0" w:hanging="241"/>
        <w:jc w:val="left"/>
        <w:rPr>
          <w:sz w:val="12"/>
        </w:rPr>
      </w:pPr>
      <w:r>
        <w:rPr>
          <w:color w:val="231F20"/>
          <w:sz w:val="12"/>
        </w:rPr>
        <w:t>Contribution to quarterly growth.</w:t>
      </w:r>
    </w:p>
    <w:p>
      <w:pPr>
        <w:pStyle w:val="ListParagraph"/>
        <w:numPr>
          <w:ilvl w:val="0"/>
          <w:numId w:val="10"/>
        </w:numPr>
        <w:tabs>
          <w:tab w:pos="415" w:val="left" w:leader="none"/>
        </w:tabs>
        <w:spacing w:line="129" w:lineRule="exact" w:before="0" w:after="0"/>
        <w:ind w:left="414" w:right="0" w:hanging="240"/>
        <w:jc w:val="left"/>
        <w:rPr>
          <w:sz w:val="12"/>
        </w:rPr>
      </w:pPr>
      <w:r>
        <w:rPr>
          <w:color w:val="231F20"/>
          <w:sz w:val="12"/>
        </w:rPr>
        <w:t>Including quarterly alignment adjustment.</w:t>
      </w:r>
    </w:p>
    <w:p>
      <w:pPr>
        <w:pStyle w:val="Heading4"/>
        <w:spacing w:line="242" w:lineRule="auto" w:before="227"/>
        <w:ind w:left="175" w:right="200"/>
      </w:pPr>
      <w:r>
        <w:rPr/>
        <w:br w:type="column"/>
      </w:r>
      <w:r>
        <w:rPr>
          <w:color w:val="231F20"/>
        </w:rPr>
        <w:t>on the downside. First, import penetration may rise, partly as a result of continued weak import prices— excess world capacity for a number of commodities and traded goods is likely to persist in 1999. Second, given the continued weakness of the Japanese economy, the emerging market nations in Asia are likely to try to expand their exports to Europe and North America, which would increase the competition faced by internationally exposed UK firms. And third, the Brazilian authorities’ decision to float the real is likely to </w:t>
      </w:r>
      <w:r>
        <w:rPr>
          <w:color w:val="231F20"/>
          <w:spacing w:val="-3"/>
        </w:rPr>
        <w:t>have </w:t>
      </w:r>
      <w:r>
        <w:rPr>
          <w:color w:val="231F20"/>
        </w:rPr>
        <w:t>further unsettled international investor</w:t>
      </w:r>
      <w:r>
        <w:rPr>
          <w:color w:val="231F20"/>
          <w:spacing w:val="-22"/>
        </w:rPr>
        <w:t> </w:t>
      </w:r>
      <w:r>
        <w:rPr>
          <w:color w:val="231F20"/>
        </w:rPr>
        <w:t>sentiment. Depending on the degree of contagion, this may cause another fall in capital flows to emerging market economies, forcing these countries to adjust their current account balances by reducing imports and expanding exports. The counterpart will be larger current account deficits (or smaller surpluses) in advanced economies, including the United Kingdom.</w:t>
      </w:r>
    </w:p>
    <w:p>
      <w:pPr>
        <w:pStyle w:val="BodyText"/>
        <w:spacing w:before="3"/>
        <w:rPr>
          <w:sz w:val="28"/>
        </w:rPr>
      </w:pPr>
    </w:p>
    <w:p>
      <w:pPr>
        <w:pStyle w:val="Heading2"/>
        <w:numPr>
          <w:ilvl w:val="1"/>
          <w:numId w:val="11"/>
        </w:numPr>
        <w:tabs>
          <w:tab w:pos="3316" w:val="left" w:leader="none"/>
          <w:tab w:pos="3317" w:val="left" w:leader="none"/>
        </w:tabs>
        <w:spacing w:line="240" w:lineRule="auto" w:before="0" w:after="0"/>
        <w:ind w:left="3316" w:right="0" w:hanging="3142"/>
        <w:jc w:val="left"/>
        <w:rPr>
          <w:u w:val="none"/>
        </w:rPr>
      </w:pPr>
      <w:r>
        <w:rPr>
          <w:color w:val="009483"/>
          <w:u w:val="thick" w:color="0093C1"/>
        </w:rPr>
        <w:t>Domestic demand</w:t>
      </w:r>
      <w:r>
        <w:rPr>
          <w:color w:val="009483"/>
          <w:spacing w:val="-11"/>
          <w:u w:val="thick" w:color="0093C1"/>
        </w:rPr>
        <w:t> </w:t>
      </w:r>
    </w:p>
    <w:p>
      <w:pPr>
        <w:pStyle w:val="BodyText"/>
        <w:rPr>
          <w:b/>
          <w:sz w:val="24"/>
        </w:rPr>
      </w:pPr>
    </w:p>
    <w:p>
      <w:pPr>
        <w:spacing w:line="242" w:lineRule="auto" w:before="0"/>
        <w:ind w:left="175" w:right="228" w:firstLine="0"/>
        <w:jc w:val="left"/>
        <w:rPr>
          <w:sz w:val="24"/>
        </w:rPr>
      </w:pPr>
      <w:r>
        <w:rPr>
          <w:color w:val="231F20"/>
          <w:sz w:val="24"/>
        </w:rPr>
        <w:t>Despite slower private and government consumption growth, domestic demand increased by 0.8% in</w:t>
      </w:r>
    </w:p>
    <w:p>
      <w:pPr>
        <w:spacing w:line="242" w:lineRule="auto" w:before="2"/>
        <w:ind w:left="175" w:right="228" w:firstLine="0"/>
        <w:jc w:val="left"/>
        <w:rPr>
          <w:sz w:val="24"/>
        </w:rPr>
      </w:pPr>
      <w:r>
        <w:rPr>
          <w:color w:val="231F20"/>
          <w:sz w:val="24"/>
        </w:rPr>
        <w:t>1998 Q3, up from 0.5% in the second quarter. This was mainly because of stronger investment (see Table 2.C). In the year to 1998 Q3, domestic demand increased by 3.7%, well above trend. However, the level of domestic demand in the first half of 1998 was revised down by 0.5%.</w:t>
      </w:r>
    </w:p>
    <w:p>
      <w:pPr>
        <w:pStyle w:val="BodyText"/>
        <w:spacing w:before="6"/>
        <w:rPr>
          <w:sz w:val="28"/>
        </w:rPr>
      </w:pPr>
    </w:p>
    <w:p>
      <w:pPr>
        <w:pStyle w:val="Heading5"/>
        <w:ind w:left="175"/>
        <w:rPr>
          <w:i/>
        </w:rPr>
      </w:pPr>
      <w:r>
        <w:rPr>
          <w:i/>
          <w:color w:val="009483"/>
        </w:rPr>
        <w:t>Consumption</w:t>
      </w:r>
    </w:p>
    <w:p>
      <w:pPr>
        <w:spacing w:line="242" w:lineRule="auto" w:before="164"/>
        <w:ind w:left="175" w:right="202" w:firstLine="0"/>
        <w:jc w:val="left"/>
        <w:rPr>
          <w:sz w:val="24"/>
        </w:rPr>
      </w:pPr>
      <w:r>
        <w:rPr>
          <w:color w:val="231F20"/>
          <w:sz w:val="24"/>
        </w:rPr>
        <w:t>Household consumption growth has weakened since the November </w:t>
      </w:r>
      <w:r>
        <w:rPr>
          <w:i/>
          <w:color w:val="231F20"/>
          <w:sz w:val="24"/>
        </w:rPr>
        <w:t>Report</w:t>
      </w:r>
      <w:r>
        <w:rPr>
          <w:color w:val="231F20"/>
          <w:sz w:val="24"/>
        </w:rPr>
        <w:t>—the quarterly growth rate slowed to 0.3% in 1998 Q3, lowering the annual rate of increase to 2.6%. In addition, the ONS has revised down the profile of consumption back to the start of 1997 (see Chart 2.7). Although the latest annual growth rate is close to the long-run average (see Chart 2.8), the slowdown in 1998 was sharper than the MPC had expected, given the continued strong increases in pre-tax income from employment (up by around 4% in real terms in the year to 1998 Q3) and the large rise in households’ real wealth in recent years.</w:t>
      </w:r>
    </w:p>
    <w:p>
      <w:pPr>
        <w:pStyle w:val="BodyText"/>
        <w:spacing w:before="8"/>
        <w:rPr>
          <w:sz w:val="25"/>
        </w:rPr>
      </w:pPr>
    </w:p>
    <w:p>
      <w:pPr>
        <w:spacing w:line="242" w:lineRule="auto" w:before="0"/>
        <w:ind w:left="175" w:right="255" w:firstLine="0"/>
        <w:jc w:val="left"/>
        <w:rPr>
          <w:sz w:val="24"/>
        </w:rPr>
      </w:pPr>
      <w:r>
        <w:rPr>
          <w:color w:val="231F20"/>
          <w:sz w:val="24"/>
        </w:rPr>
        <w:t>In Q4, retail sales volumes fell by 0.2%, suggesting that total household consumption growth may have continued to slow in the last three months of the year.</w:t>
      </w:r>
    </w:p>
    <w:p>
      <w:pPr>
        <w:spacing w:line="242" w:lineRule="auto" w:before="4"/>
        <w:ind w:left="175" w:right="0" w:firstLine="0"/>
        <w:jc w:val="left"/>
        <w:rPr>
          <w:sz w:val="24"/>
        </w:rPr>
      </w:pPr>
      <w:r>
        <w:rPr>
          <w:color w:val="231F20"/>
          <w:sz w:val="24"/>
        </w:rPr>
        <w:t>Surveys by the British Retail Consortium and the CBI found that retail sales growth declined markedly towards the end of the year. And both the M</w:t>
      </w:r>
      <w:r>
        <w:rPr>
          <w:color w:val="231F20"/>
          <w:sz w:val="20"/>
        </w:rPr>
        <w:t>ORI </w:t>
      </w:r>
      <w:r>
        <w:rPr>
          <w:color w:val="231F20"/>
          <w:sz w:val="24"/>
        </w:rPr>
        <w:t>and GfK</w:t>
      </w:r>
    </w:p>
    <w:p>
      <w:pPr>
        <w:spacing w:after="0" w:line="242" w:lineRule="auto"/>
        <w:jc w:val="left"/>
        <w:rPr>
          <w:sz w:val="24"/>
        </w:rPr>
        <w:sectPr>
          <w:type w:val="continuous"/>
          <w:pgSz w:w="11900" w:h="16840"/>
          <w:pgMar w:top="1220" w:bottom="280" w:left="640" w:right="600"/>
          <w:cols w:num="2" w:equalWidth="0">
            <w:col w:w="4530" w:space="274"/>
            <w:col w:w="5856"/>
          </w:cols>
        </w:sectPr>
      </w:pPr>
    </w:p>
    <w:p>
      <w:pPr>
        <w:pStyle w:val="BodyText"/>
        <w:rPr>
          <w:sz w:val="20"/>
        </w:rPr>
      </w:pPr>
    </w:p>
    <w:p>
      <w:pPr>
        <w:spacing w:after="0"/>
        <w:rPr>
          <w:sz w:val="20"/>
        </w:rPr>
        <w:sectPr>
          <w:headerReference w:type="default" r:id="rId64"/>
          <w:headerReference w:type="even" r:id="rId65"/>
          <w:pgSz w:w="11900" w:h="16840"/>
          <w:pgMar w:header="586" w:footer="617" w:top="780" w:bottom="800" w:left="640" w:right="600"/>
        </w:sectPr>
      </w:pPr>
    </w:p>
    <w:p>
      <w:pPr>
        <w:pStyle w:val="BodyText"/>
        <w:spacing w:before="8"/>
        <w:rPr>
          <w:sz w:val="22"/>
        </w:rPr>
      </w:pPr>
    </w:p>
    <w:p>
      <w:pPr>
        <w:pStyle w:val="Heading7"/>
        <w:spacing w:before="0"/>
      </w:pPr>
      <w:r>
        <w:rPr>
          <w:color w:val="0093C1"/>
        </w:rPr>
        <w:t>Chart 2.7</w:t>
      </w:r>
    </w:p>
    <w:p>
      <w:pPr>
        <w:spacing w:before="10"/>
        <w:ind w:left="180" w:right="0" w:firstLine="0"/>
        <w:jc w:val="left"/>
        <w:rPr>
          <w:sz w:val="12"/>
        </w:rPr>
      </w:pPr>
      <w:r>
        <w:rPr>
          <w:b/>
          <w:color w:val="0093C1"/>
          <w:sz w:val="20"/>
        </w:rPr>
        <w:t>Changes to consumption data</w:t>
      </w:r>
      <w:r>
        <w:rPr>
          <w:color w:val="231F20"/>
          <w:position w:val="4"/>
          <w:sz w:val="12"/>
        </w:rPr>
        <w:t>(a)</w:t>
      </w:r>
    </w:p>
    <w:p>
      <w:pPr>
        <w:spacing w:line="122" w:lineRule="exact" w:before="68"/>
        <w:ind w:left="2790" w:right="0" w:firstLine="0"/>
        <w:jc w:val="left"/>
        <w:rPr>
          <w:sz w:val="12"/>
        </w:rPr>
      </w:pPr>
      <w:r>
        <w:rPr>
          <w:sz w:val="12"/>
        </w:rPr>
        <w:t>1996 Q4 = 100</w:t>
      </w:r>
    </w:p>
    <w:p>
      <w:pPr>
        <w:spacing w:line="122" w:lineRule="exact" w:before="0"/>
        <w:ind w:left="3533" w:right="0" w:firstLine="0"/>
        <w:jc w:val="left"/>
        <w:rPr>
          <w:sz w:val="12"/>
        </w:rPr>
      </w:pPr>
      <w:r>
        <w:rPr/>
        <w:pict>
          <v:line style="position:absolute;mso-position-horizontal-relative:page;mso-position-vertical-relative:paragraph;z-index:15898624" from="207.667007pt,3.235344pt" to="202.667007pt,3.235344pt" stroked="true" strokeweight=".5pt" strokecolor="#000000">
            <v:stroke dashstyle="solid"/>
            <w10:wrap type="none"/>
          </v:line>
        </w:pict>
      </w:r>
      <w:r>
        <w:rPr/>
        <w:pict>
          <v:line style="position:absolute;mso-position-horizontal-relative:page;mso-position-vertical-relative:paragraph;z-index:15899136" from="47.667pt,2.819344pt" to="42.667pt,2.819344pt" stroked="true" strokeweight=".5pt" strokecolor="#000000">
            <v:stroke dashstyle="solid"/>
            <w10:wrap type="none"/>
          </v:line>
        </w:pict>
      </w:r>
      <w:r>
        <w:rPr>
          <w:sz w:val="12"/>
        </w:rPr>
        <w:t>107</w:t>
      </w:r>
    </w:p>
    <w:p>
      <w:pPr>
        <w:pStyle w:val="BodyText"/>
        <w:rPr>
          <w:sz w:val="12"/>
        </w:rPr>
      </w:pPr>
    </w:p>
    <w:p>
      <w:pPr>
        <w:pStyle w:val="BodyText"/>
        <w:spacing w:before="11"/>
        <w:rPr>
          <w:sz w:val="12"/>
        </w:rPr>
      </w:pPr>
    </w:p>
    <w:p>
      <w:pPr>
        <w:spacing w:before="0"/>
        <w:ind w:left="0" w:right="38" w:firstLine="0"/>
        <w:jc w:val="right"/>
        <w:rPr>
          <w:sz w:val="12"/>
        </w:rPr>
      </w:pPr>
      <w:r>
        <w:rPr/>
        <w:pict>
          <v:group style="position:absolute;margin-left:42.667pt;margin-top:3.497687pt;width:165pt;height:128.25pt;mso-position-horizontal-relative:page;mso-position-vertical-relative:paragraph;z-index:15898112" coordorigin="853,70" coordsize="3300,2565">
            <v:shape style="position:absolute;left:1010;top:99;width:2135;height:2525" coordorigin="1010,100" coordsize="2135,2525" path="m1010,2625l1438,2200m1438,2200l1863,1412m1863,1412l2290,1112m2290,1112l2715,482m2715,482l3145,100e" filled="false" stroked="true" strokeweight="1pt" strokecolor="#faab54">
              <v:path arrowok="t"/>
              <v:stroke dashstyle="solid"/>
            </v:shape>
            <v:shape style="position:absolute;left:1010;top:247;width:2560;height:2378" coordorigin="1010,247" coordsize="2560,2378" path="m1010,2625l1438,2162m1438,2162l1863,1415m1863,1415l2290,1265m2290,1265l2715,622m2715,622l3145,405m3145,405l3570,247e" filled="false" stroked="true" strokeweight="1pt" strokecolor="#ed1b2d">
              <v:path arrowok="t"/>
              <v:stroke dashstyle="solid"/>
            </v:shape>
            <v:shape style="position:absolute;left:1010;top:284;width:2988;height:2340" coordorigin="1010,285" coordsize="2988,2340" path="m1010,2625l1438,2190m1438,2190l1863,1615m1863,1615l2290,1382m2290,1382l2715,867m2715,867l3145,657m3145,657l3570,435m3570,435l3998,285e" filled="false" stroked="true" strokeweight="1pt" strokecolor="#0066a5">
              <v:path arrowok="t"/>
              <v:stroke dashstyle="solid"/>
            </v:shape>
            <v:shape style="position:absolute;left:2650;top:829;width:2;height:1074" coordorigin="2650,830" coordsize="0,1074" path="m2650,830l2650,1903e" filled="true" fillcolor="#ffffff" stroked="false">
              <v:path arrowok="t"/>
              <v:fill type="solid"/>
            </v:shape>
            <v:line style="position:absolute" from="2650,1903" to="2650,830" stroked="true" strokeweight=".5pt" strokecolor="#000000">
              <v:stroke dashstyle="solid"/>
            </v:line>
            <v:shape style="position:absolute;left:2624;top:761;width:51;height:85" coordorigin="2625,762" coordsize="51,85" path="m2650,762l2625,846,2675,846,2654,781,2651,771,2650,762xe" filled="true" fillcolor="#000000" stroked="false">
              <v:path arrowok="t"/>
              <v:fill type="solid"/>
            </v:shape>
            <v:shape style="position:absolute;left:853;top:497;width:3300;height:2132" coordorigin="853,498" coordsize="3300,2132" path="m4153,506l4053,506m4153,933l4053,933m4153,1353l4053,1353m4153,1786l4053,1786m4153,2200l4053,2200m4153,2626l4053,2626m953,498l853,498m953,925l853,925m953,1345l853,1345m953,1778l853,1778m953,2191l853,2191m953,2618l853,2618m1003,2630l3997,2630m1430,2443l1430,2630m3143,2433l3143,2620m1863,2550l1863,2630m1003,2550l1003,2630m2283,2550l2283,2630m2717,2550l2717,2630m3570,2550l3570,2630m3997,2550l3997,2630e" filled="false" stroked="true" strokeweight=".5pt" strokecolor="#000000">
              <v:path arrowok="t"/>
              <v:stroke dashstyle="solid"/>
            </v:shape>
            <v:shape style="position:absolute;left:2435;top:69;width:560;height:133" type="#_x0000_t202" filled="false" stroked="false">
              <v:textbox inset="0,0,0,0">
                <w:txbxContent>
                  <w:p>
                    <w:pPr>
                      <w:spacing w:line="133" w:lineRule="exact" w:before="0"/>
                      <w:ind w:left="0" w:right="0" w:firstLine="0"/>
                      <w:jc w:val="left"/>
                      <w:rPr>
                        <w:sz w:val="12"/>
                      </w:rPr>
                    </w:pPr>
                    <w:r>
                      <w:rPr>
                        <w:sz w:val="12"/>
                      </w:rPr>
                      <w:t>23 June (b)</w:t>
                    </w:r>
                  </w:p>
                </w:txbxContent>
              </v:textbox>
              <w10:wrap type="none"/>
            </v:shape>
            <v:shape style="position:absolute;left:2880;top:822;width:833;height:134" type="#_x0000_t202" filled="false" stroked="false">
              <v:textbox inset="0,0,0,0">
                <w:txbxContent>
                  <w:p>
                    <w:pPr>
                      <w:spacing w:line="133" w:lineRule="exact" w:before="0"/>
                      <w:ind w:left="0" w:right="0" w:firstLine="0"/>
                      <w:jc w:val="left"/>
                      <w:rPr>
                        <w:sz w:val="12"/>
                      </w:rPr>
                    </w:pPr>
                    <w:r>
                      <w:rPr>
                        <w:sz w:val="12"/>
                      </w:rPr>
                      <w:t>21 December (b)</w:t>
                    </w:r>
                  </w:p>
                </w:txbxContent>
              </v:textbox>
              <w10:wrap type="none"/>
            </v:shape>
            <v:shape style="position:absolute;left:2230;top:1889;width:854;height:134" type="#_x0000_t202" filled="false" stroked="false">
              <v:textbox inset="0,0,0,0">
                <w:txbxContent>
                  <w:p>
                    <w:pPr>
                      <w:spacing w:line="133" w:lineRule="exact" w:before="0"/>
                      <w:ind w:left="0" w:right="0" w:firstLine="0"/>
                      <w:jc w:val="left"/>
                      <w:rPr>
                        <w:sz w:val="12"/>
                      </w:rPr>
                    </w:pPr>
                    <w:r>
                      <w:rPr>
                        <w:sz w:val="12"/>
                      </w:rPr>
                      <w:t>24 September (b)</w:t>
                    </w:r>
                  </w:p>
                </w:txbxContent>
              </v:textbox>
              <w10:wrap type="none"/>
            </v:shape>
            <w10:wrap type="none"/>
          </v:group>
        </w:pict>
      </w:r>
      <w:r>
        <w:rPr>
          <w:sz w:val="12"/>
        </w:rPr>
        <w:t>106</w:t>
      </w:r>
    </w:p>
    <w:p>
      <w:pPr>
        <w:pStyle w:val="BodyText"/>
        <w:rPr>
          <w:sz w:val="12"/>
        </w:rPr>
      </w:pPr>
    </w:p>
    <w:p>
      <w:pPr>
        <w:pStyle w:val="BodyText"/>
        <w:spacing w:before="8"/>
        <w:rPr>
          <w:sz w:val="12"/>
        </w:rPr>
      </w:pPr>
    </w:p>
    <w:p>
      <w:pPr>
        <w:spacing w:before="0"/>
        <w:ind w:left="0" w:right="38" w:firstLine="0"/>
        <w:jc w:val="right"/>
        <w:rPr>
          <w:sz w:val="12"/>
        </w:rPr>
      </w:pPr>
      <w:r>
        <w:rPr>
          <w:sz w:val="12"/>
        </w:rPr>
        <w:t>105</w:t>
      </w:r>
    </w:p>
    <w:p>
      <w:pPr>
        <w:pStyle w:val="BodyText"/>
        <w:rPr>
          <w:sz w:val="12"/>
        </w:rPr>
      </w:pPr>
    </w:p>
    <w:p>
      <w:pPr>
        <w:pStyle w:val="BodyText"/>
        <w:spacing w:before="9"/>
        <w:rPr>
          <w:sz w:val="12"/>
        </w:rPr>
      </w:pPr>
    </w:p>
    <w:p>
      <w:pPr>
        <w:spacing w:before="0"/>
        <w:ind w:left="0" w:right="38" w:firstLine="0"/>
        <w:jc w:val="right"/>
        <w:rPr>
          <w:sz w:val="12"/>
        </w:rPr>
      </w:pPr>
      <w:r>
        <w:rPr>
          <w:sz w:val="12"/>
        </w:rPr>
        <w:t>104</w:t>
      </w:r>
    </w:p>
    <w:p>
      <w:pPr>
        <w:pStyle w:val="Heading4"/>
        <w:spacing w:line="242" w:lineRule="auto" w:before="227"/>
        <w:ind w:left="180" w:right="226"/>
      </w:pPr>
      <w:r>
        <w:rPr/>
        <w:br w:type="column"/>
      </w:r>
      <w:r>
        <w:rPr>
          <w:color w:val="231F20"/>
        </w:rPr>
        <w:t>measures of consumer confidence declined further in the fourth quarter, with a particularly pronounced fall in the M</w:t>
      </w:r>
      <w:r>
        <w:rPr>
          <w:color w:val="231F20"/>
          <w:sz w:val="20"/>
        </w:rPr>
        <w:t>ORI </w:t>
      </w:r>
      <w:r>
        <w:rPr>
          <w:color w:val="231F20"/>
        </w:rPr>
        <w:t>measure (see Chart 2.9).  </w:t>
      </w:r>
      <w:r>
        <w:rPr>
          <w:color w:val="231F20"/>
          <w:spacing w:val="-4"/>
        </w:rPr>
        <w:t>However, </w:t>
      </w:r>
      <w:r>
        <w:rPr>
          <w:color w:val="231F20"/>
        </w:rPr>
        <w:t>these indicators may overstate the weakness of </w:t>
      </w:r>
      <w:r>
        <w:rPr>
          <w:color w:val="231F20"/>
          <w:spacing w:val="-2"/>
        </w:rPr>
        <w:t>consumption— </w:t>
      </w:r>
      <w:r>
        <w:rPr>
          <w:color w:val="231F20"/>
        </w:rPr>
        <w:t>retail sales account for less than half of total consumption, and survey measures of individuals’ confidence in the general economic situation </w:t>
      </w:r>
      <w:r>
        <w:rPr>
          <w:color w:val="231F20"/>
          <w:spacing w:val="-3"/>
        </w:rPr>
        <w:t>have </w:t>
      </w:r>
      <w:r>
        <w:rPr>
          <w:color w:val="231F20"/>
        </w:rPr>
        <w:t>recovered slightly since</w:t>
      </w:r>
      <w:r>
        <w:rPr>
          <w:color w:val="231F20"/>
          <w:spacing w:val="-2"/>
        </w:rPr>
        <w:t> </w:t>
      </w:r>
      <w:r>
        <w:rPr>
          <w:color w:val="231F20"/>
        </w:rPr>
        <w:t>October.</w:t>
      </w:r>
    </w:p>
    <w:p>
      <w:pPr>
        <w:spacing w:after="0" w:line="242" w:lineRule="auto"/>
        <w:sectPr>
          <w:type w:val="continuous"/>
          <w:pgSz w:w="11900" w:h="16840"/>
          <w:pgMar w:top="1220" w:bottom="280" w:left="640" w:right="600"/>
          <w:cols w:num="2" w:equalWidth="0">
            <w:col w:w="3754" w:space="1026"/>
            <w:col w:w="5880"/>
          </w:cols>
        </w:sect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6"/>
        <w:rPr>
          <w:sz w:val="13"/>
        </w:rPr>
      </w:pPr>
    </w:p>
    <w:p>
      <w:pPr>
        <w:tabs>
          <w:tab w:pos="716" w:val="left" w:leader="none"/>
          <w:tab w:pos="1149" w:val="left" w:leader="none"/>
          <w:tab w:pos="1563" w:val="left" w:leader="none"/>
          <w:tab w:pos="1667" w:val="right" w:leader="none"/>
        </w:tabs>
        <w:spacing w:line="276" w:lineRule="auto" w:before="1"/>
        <w:ind w:left="240" w:right="38" w:firstLine="63"/>
        <w:jc w:val="left"/>
        <w:rPr>
          <w:sz w:val="12"/>
        </w:rPr>
      </w:pPr>
      <w:r>
        <w:rPr>
          <w:color w:val="231F20"/>
          <w:sz w:val="12"/>
        </w:rPr>
        <w:t>Q4</w:t>
        <w:tab/>
        <w:t>Q1</w:t>
        <w:tab/>
        <w:t>Q2</w:t>
        <w:tab/>
      </w:r>
      <w:r>
        <w:rPr>
          <w:color w:val="231F20"/>
          <w:spacing w:val="-9"/>
          <w:sz w:val="12"/>
        </w:rPr>
        <w:t>Q3 </w:t>
      </w:r>
      <w:r>
        <w:rPr>
          <w:sz w:val="12"/>
        </w:rPr>
        <w:t>1996</w:t>
        <w:tab/>
        <w:tab/>
        <w:tab/>
        <w:tab/>
        <w:t>97</w:t>
      </w:r>
    </w:p>
    <w:p>
      <w:pPr>
        <w:pStyle w:val="ListParagraph"/>
        <w:numPr>
          <w:ilvl w:val="0"/>
          <w:numId w:val="12"/>
        </w:numPr>
        <w:tabs>
          <w:tab w:pos="440" w:val="left" w:leader="none"/>
        </w:tabs>
        <w:spacing w:line="129" w:lineRule="exact" w:before="79" w:after="0"/>
        <w:ind w:left="439" w:right="0" w:hanging="240"/>
        <w:jc w:val="left"/>
        <w:rPr>
          <w:sz w:val="12"/>
        </w:rPr>
      </w:pPr>
      <w:r>
        <w:rPr>
          <w:color w:val="231F20"/>
          <w:sz w:val="12"/>
        </w:rPr>
        <w:t>Constant 1995 prices.</w:t>
      </w:r>
    </w:p>
    <w:p>
      <w:pPr>
        <w:pStyle w:val="ListParagraph"/>
        <w:numPr>
          <w:ilvl w:val="0"/>
          <w:numId w:val="12"/>
        </w:numPr>
        <w:tabs>
          <w:tab w:pos="441" w:val="left" w:leader="none"/>
        </w:tabs>
        <w:spacing w:line="129" w:lineRule="exact" w:before="0" w:after="0"/>
        <w:ind w:left="440" w:right="0" w:hanging="241"/>
        <w:jc w:val="left"/>
        <w:rPr>
          <w:sz w:val="12"/>
        </w:rPr>
      </w:pPr>
      <w:r>
        <w:rPr>
          <w:color w:val="231F20"/>
          <w:sz w:val="12"/>
        </w:rPr>
        <w:t>Publication dates.</w:t>
      </w:r>
    </w:p>
    <w:p>
      <w:pPr>
        <w:pStyle w:val="BodyText"/>
        <w:spacing w:before="6"/>
        <w:rPr>
          <w:sz w:val="15"/>
        </w:rPr>
      </w:pPr>
    </w:p>
    <w:p>
      <w:pPr>
        <w:pStyle w:val="Heading7"/>
        <w:spacing w:line="151" w:lineRule="exact" w:before="0"/>
        <w:ind w:left="160"/>
      </w:pPr>
      <w:r>
        <w:rPr>
          <w:color w:val="0093C1"/>
        </w:rPr>
        <w:t>Chart 2.8</w:t>
      </w:r>
    </w:p>
    <w:p>
      <w:pPr>
        <w:pStyle w:val="BodyText"/>
        <w:rPr>
          <w:b/>
          <w:sz w:val="12"/>
        </w:rPr>
      </w:pPr>
      <w:r>
        <w:rPr/>
        <w:br w:type="column"/>
      </w:r>
      <w:r>
        <w:rPr>
          <w:b/>
          <w:sz w:val="12"/>
        </w:rPr>
      </w:r>
    </w:p>
    <w:p>
      <w:pPr>
        <w:pStyle w:val="BodyText"/>
        <w:rPr>
          <w:b/>
          <w:sz w:val="12"/>
        </w:rPr>
      </w:pPr>
    </w:p>
    <w:p>
      <w:pPr>
        <w:pStyle w:val="BodyText"/>
        <w:rPr>
          <w:b/>
          <w:sz w:val="12"/>
        </w:rPr>
      </w:pPr>
    </w:p>
    <w:p>
      <w:pPr>
        <w:pStyle w:val="BodyText"/>
        <w:rPr>
          <w:b/>
          <w:sz w:val="12"/>
        </w:rPr>
      </w:pPr>
    </w:p>
    <w:p>
      <w:pPr>
        <w:pStyle w:val="BodyText"/>
        <w:rPr>
          <w:b/>
          <w:sz w:val="12"/>
        </w:rPr>
      </w:pPr>
    </w:p>
    <w:p>
      <w:pPr>
        <w:pStyle w:val="BodyText"/>
        <w:rPr>
          <w:b/>
          <w:sz w:val="12"/>
        </w:rPr>
      </w:pPr>
    </w:p>
    <w:p>
      <w:pPr>
        <w:pStyle w:val="BodyText"/>
        <w:rPr>
          <w:b/>
          <w:sz w:val="12"/>
        </w:rPr>
      </w:pPr>
    </w:p>
    <w:p>
      <w:pPr>
        <w:pStyle w:val="BodyText"/>
        <w:rPr>
          <w:b/>
          <w:sz w:val="12"/>
        </w:rPr>
      </w:pPr>
    </w:p>
    <w:p>
      <w:pPr>
        <w:pStyle w:val="BodyText"/>
        <w:rPr>
          <w:b/>
          <w:sz w:val="12"/>
        </w:rPr>
      </w:pPr>
    </w:p>
    <w:p>
      <w:pPr>
        <w:pStyle w:val="BodyText"/>
        <w:rPr>
          <w:b/>
          <w:sz w:val="12"/>
        </w:rPr>
      </w:pPr>
    </w:p>
    <w:p>
      <w:pPr>
        <w:pStyle w:val="BodyText"/>
        <w:spacing w:before="6"/>
        <w:rPr>
          <w:b/>
          <w:sz w:val="13"/>
        </w:rPr>
      </w:pPr>
    </w:p>
    <w:p>
      <w:pPr>
        <w:tabs>
          <w:tab w:pos="569" w:val="left" w:leader="none"/>
          <w:tab w:pos="1003" w:val="left" w:leader="none"/>
          <w:tab w:pos="1416" w:val="left" w:leader="none"/>
        </w:tabs>
        <w:spacing w:line="288" w:lineRule="auto" w:before="1"/>
        <w:ind w:left="1164" w:right="0" w:hanging="1005"/>
        <w:jc w:val="left"/>
        <w:rPr>
          <w:sz w:val="12"/>
        </w:rPr>
      </w:pPr>
      <w:r>
        <w:rPr>
          <w:color w:val="231F20"/>
          <w:sz w:val="12"/>
        </w:rPr>
        <w:t>Q4</w:t>
        <w:tab/>
        <w:t>Q1</w:t>
        <w:tab/>
        <w:t>Q2</w:t>
        <w:tab/>
        <w:tab/>
      </w:r>
      <w:r>
        <w:rPr>
          <w:color w:val="231F20"/>
          <w:spacing w:val="-10"/>
          <w:sz w:val="12"/>
        </w:rPr>
        <w:t>Q3 </w:t>
      </w:r>
      <w:r>
        <w:rPr>
          <w:sz w:val="12"/>
        </w:rPr>
        <w:t>98</w:t>
      </w:r>
    </w:p>
    <w:p>
      <w:pPr>
        <w:pStyle w:val="BodyText"/>
        <w:spacing w:before="1"/>
        <w:rPr>
          <w:sz w:val="12"/>
        </w:rPr>
      </w:pPr>
      <w:r>
        <w:rPr/>
        <w:br w:type="column"/>
      </w:r>
      <w:r>
        <w:rPr>
          <w:sz w:val="12"/>
        </w:rPr>
      </w:r>
    </w:p>
    <w:p>
      <w:pPr>
        <w:spacing w:before="0"/>
        <w:ind w:left="73" w:right="0" w:firstLine="0"/>
        <w:jc w:val="left"/>
        <w:rPr>
          <w:sz w:val="12"/>
        </w:rPr>
      </w:pPr>
      <w:r>
        <w:rPr>
          <w:sz w:val="12"/>
        </w:rPr>
        <w:t>103</w:t>
      </w:r>
    </w:p>
    <w:p>
      <w:pPr>
        <w:pStyle w:val="BodyText"/>
        <w:rPr>
          <w:sz w:val="12"/>
        </w:rPr>
      </w:pPr>
    </w:p>
    <w:p>
      <w:pPr>
        <w:pStyle w:val="BodyText"/>
        <w:rPr>
          <w:sz w:val="13"/>
        </w:rPr>
      </w:pPr>
    </w:p>
    <w:p>
      <w:pPr>
        <w:spacing w:before="0"/>
        <w:ind w:left="73" w:right="0" w:firstLine="0"/>
        <w:jc w:val="left"/>
        <w:rPr>
          <w:sz w:val="12"/>
        </w:rPr>
      </w:pPr>
      <w:r>
        <w:rPr>
          <w:sz w:val="12"/>
        </w:rPr>
        <w:t>102</w:t>
      </w:r>
    </w:p>
    <w:p>
      <w:pPr>
        <w:pStyle w:val="BodyText"/>
        <w:rPr>
          <w:sz w:val="12"/>
        </w:rPr>
      </w:pPr>
    </w:p>
    <w:p>
      <w:pPr>
        <w:pStyle w:val="BodyText"/>
        <w:spacing w:before="6"/>
        <w:rPr>
          <w:sz w:val="12"/>
        </w:rPr>
      </w:pPr>
    </w:p>
    <w:p>
      <w:pPr>
        <w:spacing w:before="0"/>
        <w:ind w:left="73" w:right="0" w:firstLine="0"/>
        <w:jc w:val="left"/>
        <w:rPr>
          <w:sz w:val="12"/>
        </w:rPr>
      </w:pPr>
      <w:r>
        <w:rPr>
          <w:sz w:val="12"/>
        </w:rPr>
        <w:t>101</w:t>
      </w:r>
    </w:p>
    <w:p>
      <w:pPr>
        <w:pStyle w:val="BodyText"/>
        <w:rPr>
          <w:sz w:val="12"/>
        </w:rPr>
      </w:pPr>
    </w:p>
    <w:p>
      <w:pPr>
        <w:pStyle w:val="BodyText"/>
        <w:spacing w:before="11"/>
        <w:rPr>
          <w:sz w:val="12"/>
        </w:rPr>
      </w:pPr>
    </w:p>
    <w:p>
      <w:pPr>
        <w:spacing w:before="0"/>
        <w:ind w:left="73" w:right="0" w:firstLine="0"/>
        <w:jc w:val="left"/>
        <w:rPr>
          <w:sz w:val="12"/>
        </w:rPr>
      </w:pPr>
      <w:r>
        <w:rPr>
          <w:sz w:val="12"/>
        </w:rPr>
        <w:t>100</w:t>
      </w:r>
    </w:p>
    <w:p>
      <w:pPr>
        <w:pStyle w:val="BodyText"/>
        <w:spacing w:before="6"/>
        <w:rPr>
          <w:sz w:val="23"/>
        </w:rPr>
      </w:pPr>
      <w:r>
        <w:rPr/>
        <w:br w:type="column"/>
      </w:r>
      <w:r>
        <w:rPr>
          <w:sz w:val="23"/>
        </w:rPr>
      </w:r>
    </w:p>
    <w:p>
      <w:pPr>
        <w:pStyle w:val="Heading4"/>
        <w:spacing w:line="242" w:lineRule="auto"/>
        <w:ind w:left="160" w:right="204"/>
      </w:pPr>
      <w:r>
        <w:rPr>
          <w:color w:val="231F20"/>
        </w:rPr>
        <w:t>The slowdown in consumption in the third quarter was accounted for by lower expenditure on both durable and non-durable goods; spending on services remained strong. Movements in these household expenditure components </w:t>
      </w:r>
      <w:r>
        <w:rPr>
          <w:color w:val="231F20"/>
          <w:spacing w:val="-3"/>
        </w:rPr>
        <w:t>have </w:t>
      </w:r>
      <w:r>
        <w:rPr>
          <w:color w:val="231F20"/>
        </w:rPr>
        <w:t>diverged for some time, in contrast with the more synchronised nature of the slowdown </w:t>
      </w:r>
      <w:r>
        <w:rPr>
          <w:color w:val="231F20"/>
          <w:spacing w:val="-4"/>
        </w:rPr>
        <w:t>prior </w:t>
      </w:r>
      <w:r>
        <w:rPr>
          <w:color w:val="231F20"/>
        </w:rPr>
        <w:t>to the 1990–92 recession. As Chart 2.10 shows, the annual growth rate of spending on non-durable goods</w:t>
      </w:r>
    </w:p>
    <w:p>
      <w:pPr>
        <w:spacing w:after="0" w:line="242" w:lineRule="auto"/>
        <w:sectPr>
          <w:type w:val="continuous"/>
          <w:pgSz w:w="11900" w:h="16840"/>
          <w:pgMar w:top="1220" w:bottom="280" w:left="640" w:right="600"/>
          <w:cols w:num="4" w:equalWidth="0">
            <w:col w:w="1750" w:space="106"/>
            <w:col w:w="1564" w:space="40"/>
            <w:col w:w="294" w:space="1046"/>
            <w:col w:w="5860"/>
          </w:cols>
        </w:sectPr>
      </w:pPr>
    </w:p>
    <w:p>
      <w:pPr>
        <w:pStyle w:val="Heading7"/>
        <w:spacing w:before="89"/>
        <w:ind w:left="160"/>
      </w:pPr>
      <w:r>
        <w:rPr>
          <w:color w:val="0093C1"/>
        </w:rPr>
        <w:t>Household consumption growth</w:t>
      </w:r>
    </w:p>
    <w:p>
      <w:pPr>
        <w:spacing w:before="174"/>
        <w:ind w:left="662" w:right="0" w:firstLine="0"/>
        <w:jc w:val="left"/>
        <w:rPr>
          <w:sz w:val="12"/>
        </w:rPr>
      </w:pPr>
      <w:r>
        <w:rPr/>
        <w:pict>
          <v:group style="position:absolute;margin-left:49.458pt;margin-top:7.541785pt;width:10.5pt;height:10.5pt;mso-position-horizontal-relative:page;mso-position-vertical-relative:paragraph;z-index:15899648" coordorigin="989,151" coordsize="210,210">
            <v:rect style="position:absolute;left:994;top:155;width:200;height:200" filled="true" fillcolor="#b5e1e1" stroked="false">
              <v:fill type="solid"/>
            </v:rect>
            <v:rect style="position:absolute;left:994;top:155;width:200;height:200" filled="false" stroked="true" strokeweight=".5pt" strokecolor="#231f20">
              <v:stroke dashstyle="solid"/>
            </v:rect>
            <w10:wrap type="none"/>
          </v:group>
        </w:pict>
      </w:r>
      <w:r>
        <w:rPr>
          <w:color w:val="231F20"/>
          <w:sz w:val="12"/>
        </w:rPr>
        <w:t>Quarter on previous quarter</w:t>
      </w:r>
    </w:p>
    <w:p>
      <w:pPr>
        <w:tabs>
          <w:tab w:pos="2536" w:val="left" w:leader="none"/>
        </w:tabs>
        <w:spacing w:line="151" w:lineRule="exact" w:before="101"/>
        <w:ind w:left="349" w:right="0" w:firstLine="0"/>
        <w:jc w:val="left"/>
        <w:rPr>
          <w:sz w:val="12"/>
        </w:rPr>
      </w:pPr>
      <w:r>
        <w:rPr>
          <w:color w:val="231F20"/>
          <w:sz w:val="12"/>
          <w:u w:val="single" w:color="0066A5"/>
        </w:rPr>
        <w:t>       </w:t>
      </w:r>
      <w:r>
        <w:rPr>
          <w:color w:val="231F20"/>
          <w:spacing w:val="-15"/>
          <w:sz w:val="12"/>
          <w:u w:val="single" w:color="0066A5"/>
        </w:rPr>
        <w:t> </w:t>
      </w:r>
      <w:r>
        <w:rPr>
          <w:color w:val="231F20"/>
          <w:sz w:val="12"/>
        </w:rPr>
        <w:t>  </w:t>
      </w:r>
      <w:r>
        <w:rPr>
          <w:color w:val="231F20"/>
          <w:spacing w:val="-3"/>
          <w:sz w:val="12"/>
        </w:rPr>
        <w:t> </w:t>
      </w:r>
      <w:r>
        <w:rPr>
          <w:color w:val="231F20"/>
          <w:sz w:val="12"/>
        </w:rPr>
        <w:t>Year on previous year</w:t>
        <w:tab/>
      </w:r>
      <w:r>
        <w:rPr>
          <w:color w:val="231F20"/>
          <w:position w:val="-3"/>
          <w:sz w:val="12"/>
        </w:rPr>
        <w:t>Percentage chang</w:t>
      </w:r>
      <w:r>
        <w:rPr>
          <w:color w:val="231F20"/>
          <w:position w:val="-3"/>
          <w:sz w:val="12"/>
          <w:u w:val="single" w:color="231F20"/>
        </w:rPr>
        <w:t>es</w:t>
      </w:r>
    </w:p>
    <w:p>
      <w:pPr>
        <w:spacing w:line="111" w:lineRule="exact" w:before="0"/>
        <w:ind w:left="3548" w:right="0" w:firstLine="0"/>
        <w:jc w:val="left"/>
        <w:rPr>
          <w:sz w:val="12"/>
        </w:rPr>
      </w:pPr>
      <w:r>
        <w:rPr/>
        <w:pict>
          <v:line style="position:absolute;mso-position-horizontal-relative:page;mso-position-vertical-relative:paragraph;z-index:15901696" from="44.669998pt,2.739755pt" to="48.740998pt,2.739755pt" stroked="true" strokeweight=".5pt" strokecolor="#231f20">
            <v:stroke dashstyle="solid"/>
            <w10:wrap type="none"/>
          </v:line>
        </w:pict>
      </w:r>
      <w:r>
        <w:rPr>
          <w:color w:val="231F20"/>
          <w:sz w:val="12"/>
        </w:rPr>
        <w:t>5</w:t>
      </w:r>
    </w:p>
    <w:p>
      <w:pPr>
        <w:pStyle w:val="BodyText"/>
        <w:rPr>
          <w:sz w:val="12"/>
        </w:rPr>
      </w:pPr>
    </w:p>
    <w:p>
      <w:pPr>
        <w:spacing w:before="100"/>
        <w:ind w:left="0" w:right="95" w:firstLine="0"/>
        <w:jc w:val="right"/>
        <w:rPr>
          <w:sz w:val="12"/>
        </w:rPr>
      </w:pPr>
      <w:r>
        <w:rPr/>
        <w:pict>
          <v:group style="position:absolute;margin-left:44.669998pt;margin-top:4.081961pt;width:162.85pt;height:136.25pt;mso-position-horizontal-relative:page;mso-position-vertical-relative:paragraph;z-index:15901184" coordorigin="893,82" coordsize="3257,2725">
            <v:line style="position:absolute" from="1025,724" to="3952,724" stroked="true" strokeweight=".5pt" strokecolor="#231f20">
              <v:stroke dashstyle="solid"/>
            </v:line>
            <v:rect style="position:absolute;left:1033;top:1687;width:64;height:16" filled="true" fillcolor="#b5e1e1" stroked="false">
              <v:fill type="solid"/>
            </v:rect>
            <v:rect style="position:absolute;left:1033;top:1687;width:64;height:16" filled="false" stroked="true" strokeweight=".5pt" strokecolor="#231f20">
              <v:stroke dashstyle="solid"/>
            </v:rect>
            <v:rect style="position:absolute;left:1112;top:1506;width:75;height:181" filled="true" fillcolor="#b5e1e1" stroked="false">
              <v:fill type="solid"/>
            </v:rect>
            <v:rect style="position:absolute;left:1112;top:1506;width:75;height:181" filled="false" stroked="true" strokeweight=".5pt" strokecolor="#231f20">
              <v:stroke dashstyle="solid"/>
            </v:rect>
            <v:rect style="position:absolute;left:1208;top:1687;width:64;height:317" filled="true" fillcolor="#b5e1e1" stroked="false">
              <v:fill type="solid"/>
            </v:rect>
            <v:rect style="position:absolute;left:1208;top:1687;width:64;height:317" filled="false" stroked="true" strokeweight=".5pt" strokecolor="#231f20">
              <v:stroke dashstyle="solid"/>
            </v:rect>
            <v:rect style="position:absolute;left:1292;top:1687;width:60;height:136" filled="true" fillcolor="#b5e1e1" stroked="false">
              <v:fill type="solid"/>
            </v:rect>
            <v:rect style="position:absolute;left:1292;top:1687;width:60;height:136" filled="false" stroked="true" strokeweight=".5pt" strokecolor="#231f20">
              <v:stroke dashstyle="solid"/>
            </v:rect>
            <v:rect style="position:absolute;left:1368;top:1687;width:64;height:91" filled="true" fillcolor="#b5e1e1" stroked="false">
              <v:fill type="solid"/>
            </v:rect>
            <v:rect style="position:absolute;left:1368;top:1687;width:64;height:91" filled="false" stroked="true" strokeweight=".5pt" strokecolor="#231f20">
              <v:stroke dashstyle="solid"/>
            </v:rect>
            <v:rect style="position:absolute;left:1459;top:1687;width:68;height:482" filled="true" fillcolor="#b5e1e1" stroked="false">
              <v:fill type="solid"/>
            </v:rect>
            <v:rect style="position:absolute;left:1459;top:1687;width:68;height:482" filled="false" stroked="true" strokeweight=".5pt" strokecolor="#231f20">
              <v:stroke dashstyle="solid"/>
            </v:rect>
            <v:rect style="position:absolute;left:1543;top:1581;width:64;height:106" filled="true" fillcolor="#b5e1e1" stroked="false">
              <v:fill type="solid"/>
            </v:rect>
            <v:rect style="position:absolute;left:1543;top:1581;width:64;height:106" filled="false" stroked="true" strokeweight=".5pt" strokecolor="#231f20">
              <v:stroke dashstyle="solid"/>
            </v:rect>
            <v:rect style="position:absolute;left:1623;top:1687;width:64;height:181" filled="true" fillcolor="#b5e1e1" stroked="false">
              <v:fill type="solid"/>
            </v:rect>
            <v:rect style="position:absolute;left:1623;top:1687;width:64;height:181" filled="false" stroked="true" strokeweight=".5pt" strokecolor="#231f20">
              <v:stroke dashstyle="solid"/>
            </v:rect>
            <v:rect style="position:absolute;left:1713;top:1687;width:70;height:91" filled="true" fillcolor="#b5e1e1" stroked="false">
              <v:fill type="solid"/>
            </v:rect>
            <v:rect style="position:absolute;left:1713;top:1687;width:70;height:91" filled="false" stroked="true" strokeweight=".5pt" strokecolor="#231f20">
              <v:stroke dashstyle="solid"/>
            </v:rect>
            <v:rect style="position:absolute;left:1799;top:1220;width:64;height:467" filled="true" fillcolor="#b5e1e1" stroked="false">
              <v:fill type="solid"/>
            </v:rect>
            <v:rect style="position:absolute;left:1799;top:1220;width:64;height:467" filled="false" stroked="true" strokeweight=".5pt" strokecolor="#231f20">
              <v:stroke dashstyle="solid"/>
            </v:rect>
            <v:rect style="position:absolute;left:1879;top:1491;width:64;height:196" filled="true" fillcolor="#b5e1e1" stroked="false">
              <v:fill type="solid"/>
            </v:rect>
            <v:rect style="position:absolute;left:1879;top:1491;width:64;height:196" filled="false" stroked="true" strokeweight=".5pt" strokecolor="#231f20">
              <v:stroke dashstyle="solid"/>
            </v:rect>
            <v:rect style="position:absolute;left:1958;top:1581;width:64;height:106" filled="true" fillcolor="#b5e1e1" stroked="false">
              <v:fill type="solid"/>
            </v:rect>
            <v:rect style="position:absolute;left:1958;top:1581;width:64;height:106" filled="false" stroked="true" strokeweight=".5pt" strokecolor="#231f20">
              <v:stroke dashstyle="solid"/>
            </v:rect>
            <v:rect style="position:absolute;left:2038;top:1461;width:76;height:226" filled="true" fillcolor="#b5e1e1" stroked="false">
              <v:fill type="solid"/>
            </v:rect>
            <v:rect style="position:absolute;left:2038;top:1461;width:76;height:226" filled="false" stroked="true" strokeweight=".5pt" strokecolor="#231f20">
              <v:stroke dashstyle="solid"/>
            </v:rect>
            <v:rect style="position:absolute;left:2134;top:1581;width:64;height:106" filled="true" fillcolor="#b5e1e1" stroked="false">
              <v:fill type="solid"/>
            </v:rect>
            <v:rect style="position:absolute;left:2134;top:1581;width:64;height:106" filled="false" stroked="true" strokeweight=".5pt" strokecolor="#231f20">
              <v:stroke dashstyle="solid"/>
            </v:rect>
            <v:rect style="position:absolute;left:2214;top:1115;width:64;height:572" filled="true" fillcolor="#b5e1e1" stroked="false">
              <v:fill type="solid"/>
            </v:rect>
            <v:rect style="position:absolute;left:2214;top:1115;width:64;height:572" filled="false" stroked="true" strokeweight=".5pt" strokecolor="#231f20">
              <v:stroke dashstyle="solid"/>
            </v:rect>
            <v:rect style="position:absolute;left:2294;top:1491;width:64;height:196" filled="true" fillcolor="#b5e1e1" stroked="false">
              <v:fill type="solid"/>
            </v:rect>
            <v:rect style="position:absolute;left:2294;top:1491;width:64;height:196" filled="false" stroked="true" strokeweight=".5pt" strokecolor="#231f20">
              <v:stroke dashstyle="solid"/>
            </v:rect>
            <v:rect style="position:absolute;left:2384;top:1401;width:60;height:286" filled="true" fillcolor="#b5e1e1" stroked="false">
              <v:fill type="solid"/>
            </v:rect>
            <v:rect style="position:absolute;left:2384;top:1401;width:60;height:286" filled="false" stroked="true" strokeweight=".5pt" strokecolor="#231f20">
              <v:stroke dashstyle="solid"/>
            </v:rect>
            <v:rect style="position:absolute;left:2469;top:1566;width:64;height:121" filled="true" fillcolor="#b5e1e1" stroked="false">
              <v:fill type="solid"/>
            </v:rect>
            <v:rect style="position:absolute;left:2469;top:1566;width:64;height:121" filled="false" stroked="true" strokeweight=".5pt" strokecolor="#231f20">
              <v:stroke dashstyle="solid"/>
            </v:rect>
            <v:rect style="position:absolute;left:2549;top:1461;width:64;height:226" filled="true" fillcolor="#b5e1e1" stroked="false">
              <v:fill type="solid"/>
            </v:rect>
            <v:rect style="position:absolute;left:2549;top:1461;width:64;height:226" filled="false" stroked="true" strokeweight=".5pt" strokecolor="#231f20">
              <v:stroke dashstyle="solid"/>
            </v:rect>
            <v:rect style="position:absolute;left:2629;top:1416;width:64;height:271" filled="true" fillcolor="#b5e1e1" stroked="false">
              <v:fill type="solid"/>
            </v:rect>
            <v:rect style="position:absolute;left:2629;top:1416;width:64;height:271" filled="false" stroked="true" strokeweight=".5pt" strokecolor="#231f20">
              <v:stroke dashstyle="solid"/>
            </v:rect>
            <v:shape style="position:absolute;left:2725;top:1687;width:64;height:2" coordorigin="2725,1687" coordsize="64,0" path="m2789,1687l2725,1687,2789,1687xe" filled="true" fillcolor="#b5e1e1" stroked="false">
              <v:path arrowok="t"/>
              <v:fill type="solid"/>
            </v:shape>
            <v:shape style="position:absolute;left:2725;top:1687;width:64;height:2" coordorigin="2725,1687" coordsize="64,0" path="m2725,1687l2789,1687,2725,1687e" filled="false" stroked="true" strokeweight=".5pt" strokecolor="#231f20">
              <v:path arrowok="t"/>
              <v:stroke dashstyle="solid"/>
            </v:shape>
            <v:rect style="position:absolute;left:2804;top:1476;width:64;height:211" filled="true" fillcolor="#b5e1e1" stroked="false">
              <v:fill type="solid"/>
            </v:rect>
            <v:rect style="position:absolute;left:2804;top:1476;width:64;height:211" filled="false" stroked="true" strokeweight=".5pt" strokecolor="#231f20">
              <v:stroke dashstyle="solid"/>
            </v:rect>
            <v:rect style="position:absolute;left:2884;top:1626;width:64;height:61" filled="true" fillcolor="#b5e1e1" stroked="false">
              <v:fill type="solid"/>
            </v:rect>
            <v:rect style="position:absolute;left:2884;top:1626;width:64;height:61" filled="false" stroked="true" strokeweight=".5pt" strokecolor="#231f20">
              <v:stroke dashstyle="solid"/>
            </v:rect>
            <v:rect style="position:absolute;left:2964;top:1310;width:76;height:377" filled="true" fillcolor="#b5e1e1" stroked="false">
              <v:fill type="solid"/>
            </v:rect>
            <v:rect style="position:absolute;left:2964;top:1310;width:76;height:377" filled="false" stroked="true" strokeweight=".5pt" strokecolor="#231f20">
              <v:stroke dashstyle="solid"/>
            </v:rect>
            <v:rect style="position:absolute;left:3060;top:1085;width:64;height:603" filled="true" fillcolor="#b5e1e1" stroked="false">
              <v:fill type="solid"/>
            </v:rect>
            <v:rect style="position:absolute;left:3060;top:1085;width:64;height:603" filled="false" stroked="true" strokeweight=".5pt" strokecolor="#231f20">
              <v:stroke dashstyle="solid"/>
            </v:rect>
            <v:rect style="position:absolute;left:3140;top:1401;width:64;height:286" filled="true" fillcolor="#b5e1e1" stroked="false">
              <v:fill type="solid"/>
            </v:rect>
            <v:rect style="position:absolute;left:3140;top:1401;width:64;height:286" filled="false" stroked="true" strokeweight=".5pt" strokecolor="#231f20">
              <v:stroke dashstyle="solid"/>
            </v:rect>
            <v:rect style="position:absolute;left:3220;top:1461;width:64;height:226" filled="true" fillcolor="#b5e1e1" stroked="false">
              <v:fill type="solid"/>
            </v:rect>
            <v:rect style="position:absolute;left:3220;top:1461;width:64;height:226" filled="false" stroked="true" strokeweight=".5pt" strokecolor="#231f20">
              <v:stroke dashstyle="solid"/>
            </v:rect>
            <v:rect style="position:absolute;left:3299;top:1280;width:73;height:407" filled="true" fillcolor="#b5e1e1" stroked="false">
              <v:fill type="solid"/>
            </v:rect>
            <v:rect style="position:absolute;left:3299;top:1280;width:73;height:407" filled="false" stroked="true" strokeweight=".5pt" strokecolor="#231f20">
              <v:stroke dashstyle="solid"/>
            </v:rect>
            <v:rect style="position:absolute;left:3395;top:1280;width:64;height:407" filled="true" fillcolor="#b5e1e1" stroked="false">
              <v:fill type="solid"/>
            </v:rect>
            <v:rect style="position:absolute;left:3395;top:1280;width:64;height:407" filled="false" stroked="true" strokeweight=".5pt" strokecolor="#231f20">
              <v:stroke dashstyle="solid"/>
            </v:rect>
            <v:rect style="position:absolute;left:3475;top:1160;width:64;height:527" filled="true" fillcolor="#b5e1e1" stroked="false">
              <v:fill type="solid"/>
            </v:rect>
            <v:rect style="position:absolute;left:3475;top:1160;width:64;height:527" filled="false" stroked="true" strokeweight=".5pt" strokecolor="#231f20">
              <v:stroke dashstyle="solid"/>
            </v:rect>
            <v:rect style="position:absolute;left:3555;top:1476;width:64;height:211" filled="true" fillcolor="#b5e1e1" stroked="false">
              <v:fill type="solid"/>
            </v:rect>
            <v:rect style="position:absolute;left:3555;top:1476;width:64;height:211" filled="false" stroked="true" strokeweight=".5pt" strokecolor="#231f20">
              <v:stroke dashstyle="solid"/>
            </v:rect>
            <v:rect style="position:absolute;left:3635;top:1220;width:76;height:467" filled="true" fillcolor="#b5e1e1" stroked="false">
              <v:fill type="solid"/>
            </v:rect>
            <v:rect style="position:absolute;left:3635;top:1220;width:76;height:467" filled="false" stroked="true" strokeweight=".5pt" strokecolor="#231f20">
              <v:stroke dashstyle="solid"/>
            </v:rect>
            <v:rect style="position:absolute;left:3723;top:1491;width:64;height:196" filled="true" fillcolor="#b5e1e1" stroked="false">
              <v:fill type="solid"/>
            </v:rect>
            <v:rect style="position:absolute;left:3723;top:1491;width:64;height:196" filled="false" stroked="true" strokeweight=".5pt" strokecolor="#231f20">
              <v:stroke dashstyle="solid"/>
            </v:rect>
            <v:rect style="position:absolute;left:3810;top:1491;width:64;height:196" filled="true" fillcolor="#b5e1e1" stroked="false">
              <v:fill type="solid"/>
            </v:rect>
            <v:rect style="position:absolute;left:3810;top:1491;width:64;height:196" filled="false" stroked="true" strokeweight=".5pt" strokecolor="#231f20">
              <v:stroke dashstyle="solid"/>
            </v:rect>
            <v:rect style="position:absolute;left:3890;top:1551;width:64;height:136" filled="true" fillcolor="#b5e1e1" stroked="false">
              <v:fill type="solid"/>
            </v:rect>
            <v:rect style="position:absolute;left:3890;top:1551;width:64;height:136" filled="false" stroked="true" strokeweight=".5pt" strokecolor="#231f20">
              <v:stroke dashstyle="solid"/>
            </v:rect>
            <v:shape style="position:absolute;left:1065;top:91;width:2858;height:2620" coordorigin="1065,92" coordsize="2858,2620" path="m1065,1236l1161,1190,1241,1476,1320,1988,1400,2063,1496,2711,1576,2304,1656,2334,1735,2349,1831,1401,1911,1311,1991,1025,2087,694,2166,1070,2246,679,2326,603,2422,528,2502,498,2581,859,2661,784,2757,1070,2837,995,2917,1160,2997,1070,3092,453,3172,363,3252,197,3348,167,3428,363,3507,137,3587,152,3683,92,3763,302,3843,634,3922,709e" filled="false" stroked="true" strokeweight="1.0pt" strokecolor="#0066a5">
              <v:path arrowok="t"/>
              <v:stroke dashstyle="solid"/>
            </v:shape>
            <v:shape style="position:absolute;left:893;top:181;width:3223;height:2620" coordorigin="893,182" coordsize="3223,2620" path="m3970,2801l1033,2801m3970,2801l3970,2746m3885,2801l3885,2746m3800,2801l3800,2746m3631,2801l3631,2746m3547,2801l3547,2746m3463,2801l3463,2746m3296,2801l3296,2746m3212,2801l3212,2746m3128,2801l3128,2746m2961,2801l2961,2746m2877,2801l2877,2746m2793,2801l2793,2746m2625,2801l2625,2746m2542,2801l2542,2746m2458,2801l2458,2746m2290,2801l2290,2746m2206,2801l2206,2746m2123,2801l2123,2746m1955,2801l1955,2746m1871,2801l1871,2746m1787,2801l1787,2746m1620,2801l1620,2746m1536,2801l1536,2746m1452,2801l1452,2746m1284,2801l1284,2746m1201,2801l1201,2746m1117,2801l1117,2746m1033,2718l1033,2801m1368,2718l1368,2801m1704,2718l1704,2801m2039,2718l2039,2801m2374,2718l2374,2801m2709,2718l2709,2801m3044,2718l3044,2801m3380,2718l3380,2801m3715,2718l3715,2801m893,2801l975,2801m893,2425l975,2425m893,2063l975,2063m893,1687l975,1687m893,1311l975,1311m893,935l975,935m893,558l975,558m893,182l975,182m4034,2801l4116,2801m4034,2425l4116,2425m4034,2064l4116,2064m4034,1687l4116,1687m4034,1311l4116,1311m4034,935l4116,935m4034,558l4116,558m4034,182l4116,182m1028,1685l3955,1685e" filled="false" stroked="true" strokeweight=".5pt" strokecolor="#231f20">
              <v:path arrowok="t"/>
              <v:stroke dashstyle="solid"/>
            </v:shape>
            <v:shape style="position:absolute;left:1072;top:444;width:920;height:251" type="#_x0000_t202" filled="false" stroked="false">
              <v:textbox inset="0,0,0,0">
                <w:txbxContent>
                  <w:p>
                    <w:pPr>
                      <w:spacing w:line="204" w:lineRule="auto" w:before="11"/>
                      <w:ind w:left="0" w:right="0" w:firstLine="1"/>
                      <w:jc w:val="left"/>
                      <w:rPr>
                        <w:sz w:val="12"/>
                      </w:rPr>
                    </w:pPr>
                    <w:r>
                      <w:rPr>
                        <w:color w:val="231F20"/>
                        <w:sz w:val="12"/>
                      </w:rPr>
                      <w:t>Long-run average annual growth rate</w:t>
                    </w:r>
                  </w:p>
                </w:txbxContent>
              </v:textbox>
              <w10:wrap type="none"/>
            </v:shape>
            <v:shape style="position:absolute;left:4039;top:1401;width:111;height:498" type="#_x0000_t202" filled="false" stroked="false">
              <v:textbox inset="0,0,0,0">
                <w:txbxContent>
                  <w:p>
                    <w:pPr>
                      <w:spacing w:line="177" w:lineRule="exact" w:before="0"/>
                      <w:ind w:left="0" w:right="0" w:firstLine="0"/>
                      <w:jc w:val="left"/>
                      <w:rPr>
                        <w:sz w:val="16"/>
                      </w:rPr>
                    </w:pPr>
                    <w:r>
                      <w:rPr>
                        <w:color w:val="231F20"/>
                        <w:sz w:val="16"/>
                      </w:rPr>
                      <w:t>+</w:t>
                    </w:r>
                  </w:p>
                  <w:p>
                    <w:pPr>
                      <w:spacing w:before="136"/>
                      <w:ind w:left="8" w:right="0" w:firstLine="0"/>
                      <w:jc w:val="left"/>
                      <w:rPr>
                        <w:sz w:val="16"/>
                      </w:rPr>
                    </w:pPr>
                    <w:r>
                      <w:rPr>
                        <w:color w:val="231F20"/>
                        <w:sz w:val="16"/>
                      </w:rPr>
                      <w:t>–</w:t>
                    </w:r>
                  </w:p>
                </w:txbxContent>
              </v:textbox>
              <w10:wrap type="none"/>
            </v:shape>
            <w10:wrap type="none"/>
          </v:group>
        </w:pict>
      </w:r>
      <w:r>
        <w:rPr>
          <w:color w:val="231F20"/>
          <w:sz w:val="12"/>
        </w:rPr>
        <w:t>4</w:t>
      </w:r>
    </w:p>
    <w:p>
      <w:pPr>
        <w:pStyle w:val="BodyText"/>
        <w:rPr>
          <w:sz w:val="12"/>
        </w:rPr>
      </w:pPr>
    </w:p>
    <w:p>
      <w:pPr>
        <w:spacing w:before="101"/>
        <w:ind w:left="0" w:right="95" w:firstLine="0"/>
        <w:jc w:val="right"/>
        <w:rPr>
          <w:sz w:val="12"/>
        </w:rPr>
      </w:pPr>
      <w:r>
        <w:rPr>
          <w:color w:val="231F20"/>
          <w:sz w:val="12"/>
        </w:rPr>
        <w:t>3</w:t>
      </w:r>
    </w:p>
    <w:p>
      <w:pPr>
        <w:pStyle w:val="BodyText"/>
        <w:rPr>
          <w:sz w:val="12"/>
        </w:rPr>
      </w:pPr>
    </w:p>
    <w:p>
      <w:pPr>
        <w:spacing w:before="100"/>
        <w:ind w:left="0" w:right="95" w:firstLine="0"/>
        <w:jc w:val="right"/>
        <w:rPr>
          <w:sz w:val="12"/>
        </w:rPr>
      </w:pPr>
      <w:r>
        <w:rPr>
          <w:color w:val="231F20"/>
          <w:sz w:val="12"/>
        </w:rPr>
        <w:t>2</w:t>
      </w:r>
    </w:p>
    <w:p>
      <w:pPr>
        <w:pStyle w:val="BodyText"/>
        <w:rPr>
          <w:sz w:val="12"/>
        </w:rPr>
      </w:pPr>
    </w:p>
    <w:p>
      <w:pPr>
        <w:spacing w:before="100"/>
        <w:ind w:left="0" w:right="95" w:firstLine="0"/>
        <w:jc w:val="right"/>
        <w:rPr>
          <w:sz w:val="12"/>
        </w:rPr>
      </w:pPr>
      <w:r>
        <w:rPr>
          <w:color w:val="231F20"/>
          <w:sz w:val="12"/>
        </w:rPr>
        <w:t>1</w:t>
      </w:r>
    </w:p>
    <w:p>
      <w:pPr>
        <w:pStyle w:val="BodyText"/>
        <w:rPr>
          <w:sz w:val="12"/>
        </w:rPr>
      </w:pPr>
    </w:p>
    <w:p>
      <w:pPr>
        <w:spacing w:before="101"/>
        <w:ind w:left="0" w:right="95" w:firstLine="0"/>
        <w:jc w:val="right"/>
        <w:rPr>
          <w:sz w:val="12"/>
        </w:rPr>
      </w:pPr>
      <w:r>
        <w:rPr>
          <w:color w:val="231F20"/>
          <w:sz w:val="12"/>
        </w:rPr>
        <w:t>0</w:t>
      </w:r>
    </w:p>
    <w:p>
      <w:pPr>
        <w:pStyle w:val="BodyText"/>
        <w:rPr>
          <w:sz w:val="12"/>
        </w:rPr>
      </w:pPr>
    </w:p>
    <w:p>
      <w:pPr>
        <w:spacing w:before="100"/>
        <w:ind w:left="0" w:right="95" w:firstLine="0"/>
        <w:jc w:val="right"/>
        <w:rPr>
          <w:sz w:val="12"/>
        </w:rPr>
      </w:pPr>
      <w:r>
        <w:rPr>
          <w:color w:val="231F20"/>
          <w:sz w:val="12"/>
        </w:rPr>
        <w:t>1</w:t>
      </w:r>
    </w:p>
    <w:p>
      <w:pPr>
        <w:pStyle w:val="BodyText"/>
        <w:rPr>
          <w:sz w:val="12"/>
        </w:rPr>
      </w:pPr>
    </w:p>
    <w:p>
      <w:pPr>
        <w:spacing w:before="85"/>
        <w:ind w:left="0" w:right="95" w:firstLine="0"/>
        <w:jc w:val="right"/>
        <w:rPr>
          <w:sz w:val="12"/>
        </w:rPr>
      </w:pPr>
      <w:r>
        <w:rPr>
          <w:color w:val="231F20"/>
          <w:sz w:val="12"/>
        </w:rPr>
        <w:t>2</w:t>
      </w:r>
    </w:p>
    <w:p>
      <w:pPr>
        <w:pStyle w:val="BodyText"/>
        <w:rPr>
          <w:sz w:val="12"/>
        </w:rPr>
      </w:pPr>
    </w:p>
    <w:p>
      <w:pPr>
        <w:spacing w:line="122" w:lineRule="exact" w:before="101"/>
        <w:ind w:left="3548" w:right="0" w:firstLine="0"/>
        <w:jc w:val="left"/>
        <w:rPr>
          <w:sz w:val="12"/>
        </w:rPr>
      </w:pPr>
      <w:r>
        <w:rPr>
          <w:color w:val="231F20"/>
          <w:sz w:val="12"/>
        </w:rPr>
        <w:t>3</w:t>
      </w:r>
    </w:p>
    <w:p>
      <w:pPr>
        <w:tabs>
          <w:tab w:pos="1159" w:val="left" w:leader="none"/>
          <w:tab w:pos="1494" w:val="left" w:leader="none"/>
          <w:tab w:pos="1829" w:val="left" w:leader="none"/>
          <w:tab w:pos="2164" w:val="left" w:leader="none"/>
          <w:tab w:pos="2499" w:val="left" w:leader="none"/>
          <w:tab w:pos="2834" w:val="left" w:leader="none"/>
          <w:tab w:pos="3170" w:val="left" w:leader="none"/>
        </w:tabs>
        <w:spacing w:line="122" w:lineRule="exact" w:before="0"/>
        <w:ind w:left="425" w:right="0" w:firstLine="0"/>
        <w:jc w:val="left"/>
        <w:rPr>
          <w:sz w:val="12"/>
        </w:rPr>
      </w:pPr>
      <w:r>
        <w:rPr>
          <w:color w:val="231F20"/>
          <w:sz w:val="12"/>
        </w:rPr>
        <w:t>1990    </w:t>
      </w:r>
      <w:r>
        <w:rPr>
          <w:color w:val="231F20"/>
          <w:spacing w:val="8"/>
          <w:sz w:val="12"/>
        </w:rPr>
        <w:t> </w:t>
      </w:r>
      <w:r>
        <w:rPr>
          <w:color w:val="231F20"/>
          <w:sz w:val="12"/>
        </w:rPr>
        <w:t>91</w:t>
        <w:tab/>
        <w:t>92</w:t>
        <w:tab/>
        <w:t>93</w:t>
        <w:tab/>
        <w:t>94</w:t>
        <w:tab/>
        <w:t>95</w:t>
        <w:tab/>
        <w:t>96</w:t>
        <w:tab/>
        <w:t>97</w:t>
        <w:tab/>
        <w:t>98</w:t>
      </w:r>
    </w:p>
    <w:p>
      <w:pPr>
        <w:pStyle w:val="BodyText"/>
        <w:rPr>
          <w:sz w:val="12"/>
        </w:rPr>
      </w:pPr>
    </w:p>
    <w:p>
      <w:pPr>
        <w:pStyle w:val="BodyText"/>
        <w:rPr>
          <w:sz w:val="12"/>
        </w:rPr>
      </w:pPr>
    </w:p>
    <w:p>
      <w:pPr>
        <w:pStyle w:val="BodyText"/>
        <w:rPr>
          <w:sz w:val="12"/>
        </w:rPr>
      </w:pPr>
    </w:p>
    <w:p>
      <w:pPr>
        <w:pStyle w:val="Heading7"/>
        <w:spacing w:before="81"/>
        <w:ind w:left="157"/>
      </w:pPr>
      <w:r>
        <w:rPr>
          <w:color w:val="0093C1"/>
        </w:rPr>
        <w:t>Chart 2.9</w:t>
      </w:r>
    </w:p>
    <w:p>
      <w:pPr>
        <w:spacing w:before="10"/>
        <w:ind w:left="157" w:right="0" w:firstLine="0"/>
        <w:jc w:val="left"/>
        <w:rPr>
          <w:sz w:val="12"/>
        </w:rPr>
      </w:pPr>
      <w:r>
        <w:rPr>
          <w:b/>
          <w:color w:val="0093C1"/>
          <w:sz w:val="20"/>
        </w:rPr>
        <w:t>Consumer confidence</w:t>
      </w:r>
      <w:r>
        <w:rPr>
          <w:color w:val="231F20"/>
          <w:position w:val="4"/>
          <w:sz w:val="12"/>
        </w:rPr>
        <w:t>(a)</w:t>
      </w:r>
    </w:p>
    <w:p>
      <w:pPr>
        <w:pStyle w:val="BodyText"/>
        <w:spacing w:before="6"/>
        <w:rPr>
          <w:sz w:val="19"/>
        </w:rPr>
      </w:pPr>
    </w:p>
    <w:p>
      <w:pPr>
        <w:spacing w:before="0"/>
        <w:ind w:left="2310" w:right="0" w:firstLine="0"/>
        <w:jc w:val="left"/>
        <w:rPr>
          <w:sz w:val="12"/>
        </w:rPr>
      </w:pPr>
      <w:r>
        <w:rPr/>
        <w:pict>
          <v:line style="position:absolute;mso-position-horizontal-relative:page;mso-position-vertical-relative:paragraph;z-index:15904256" from="44.264999pt,7.728856pt" to="48.264999pt,7.728856pt" stroked="true" strokeweight=".5pt" strokecolor="#000000">
            <v:stroke dashstyle="solid"/>
            <w10:wrap type="none"/>
          </v:line>
        </w:pict>
      </w:r>
      <w:r>
        <w:rPr/>
        <w:pict>
          <v:line style="position:absolute;mso-position-horizontal-relative:page;mso-position-vertical-relative:paragraph;z-index:-21113344" from="203.389999pt,7.728856pt" to="207.389999pt,7.728856pt" stroked="true" strokeweight=".5pt" strokecolor="#000000">
            <v:stroke dashstyle="solid"/>
            <w10:wrap type="none"/>
          </v:line>
        </w:pict>
      </w:r>
      <w:r>
        <w:rPr>
          <w:sz w:val="12"/>
        </w:rPr>
        <w:t>Percentage point balance</w:t>
      </w:r>
      <w:r>
        <w:rPr>
          <w:spacing w:val="5"/>
          <w:sz w:val="12"/>
        </w:rPr>
        <w:t> </w:t>
      </w:r>
      <w:r>
        <w:rPr>
          <w:position w:val="-7"/>
          <w:sz w:val="12"/>
        </w:rPr>
        <w:t>30</w:t>
      </w:r>
    </w:p>
    <w:p>
      <w:pPr>
        <w:pStyle w:val="BodyText"/>
        <w:spacing w:before="1"/>
        <w:rPr>
          <w:sz w:val="19"/>
        </w:rPr>
      </w:pPr>
    </w:p>
    <w:p>
      <w:pPr>
        <w:spacing w:before="0"/>
        <w:ind w:left="0" w:right="38" w:firstLine="0"/>
        <w:jc w:val="right"/>
        <w:rPr>
          <w:sz w:val="12"/>
        </w:rPr>
      </w:pPr>
      <w:r>
        <w:rPr/>
        <w:pict>
          <v:group style="position:absolute;margin-left:44.264999pt;margin-top:1.504689pt;width:163.15pt;height:106.35pt;mso-position-horizontal-relative:page;mso-position-vertical-relative:paragraph;z-index:15903232" coordorigin="885,30" coordsize="3263,2127">
            <v:line style="position:absolute" from="1033,803" to="4035,803" stroked="true" strokeweight=".625pt" strokecolor="#000000">
              <v:stroke dashstyle="solid"/>
            </v:line>
            <v:line style="position:absolute" from="3555,1030" to="3603,897" stroked="true" strokeweight=".5pt" strokecolor="#000080">
              <v:stroke dashstyle="solid"/>
            </v:line>
            <v:shape style="position:absolute;left:1037;top:79;width:2993;height:2068" coordorigin="1038,80" coordsize="2993,2068" path="m1038,1185l1085,537,1133,1125,1180,1030,1228,727,1273,1137,1323,1425,1370,1582,1418,1510,1465,1557,1513,1415,1560,1235,1605,1112,1655,1282,1703,1377,1750,1200,1798,655,1845,140,1893,427,1938,537,1988,477,2035,427,2083,1185,2130,1572,2178,1352,2225,1750,2270,1465,2320,1812,2368,2147,2415,1907,2463,2100,2510,1582,2558,1500,2605,860,2653,645,2700,910,2748,655,2795,370,2843,1787,2890,1955,2938,1352,2985,680,3033,752,3080,1067,3128,1175,3175,992,3223,1005,3270,1125,3318,1510,3365,1342,3413,1475,3460,1402,3508,1352,3555,1030m3603,897l3650,920,3698,765,3745,80,3793,502,3840,812,3888,742,3935,1005,3983,1822,4030,2087e" filled="false" stroked="true" strokeweight="1pt" strokecolor="#faab54">
              <v:path arrowok="t"/>
              <v:stroke dashstyle="solid"/>
            </v:shape>
            <v:shape style="position:absolute;left:1037;top:354;width:2993;height:1318" coordorigin="1038,355" coordsize="2993,1318" path="m1038,917l1085,877,1133,840,1180,805,1228,765,1273,705,1323,957,1370,885,1418,1065,1465,1017,1513,992,1560,872,1605,1005,1655,885,1703,787,1750,762,1798,667,1845,380,1893,355,1938,427,1988,430,2035,357,2083,540,2130,867,2178,1102,2225,1175,2270,1205,2320,1585,2368,1552,2415,1672,2463,1567,2510,1527,2558,1477,2605,1310,2653,1152,2700,1075,2748,1205,2795,840,2843,1237,2890,1567,2938,1210,2985,1052,3033,932,3080,1120,3128,1060,3175,1165,3223,967,3270,1070,3318,1042,3365,1105,3413,1057,3460,1147,3508,1080,3555,1037,3603,892,3650,857,3745,632,3793,490,3840,677,3888,680,3935,642,3983,917,4030,1052e" filled="false" stroked="true" strokeweight="1pt" strokecolor="#008256">
              <v:path arrowok="t"/>
              <v:stroke dashstyle="solid"/>
            </v:shape>
            <v:shape style="position:absolute;left:885;top:77;width:3263;height:1805" coordorigin="885,77" coordsize="3263,1805" path="m885,77l965,77m885,437l965,437m885,797l965,797m885,1157l965,1157m885,1522l965,1522m885,1882l965,1882m4068,77l4148,77m4068,437l4148,437m4068,797l4148,797m4068,1157l4148,1157m4068,1522l4148,1522m4068,1882l4148,1882e" filled="false" stroked="true" strokeweight=".5pt" strokecolor="#000000">
              <v:path arrowok="t"/>
              <v:stroke dashstyle="solid"/>
            </v:shape>
            <v:line style="position:absolute" from="2308,162" to="2188,942" stroked="true" strokeweight=".5pt" strokecolor="#000000">
              <v:stroke dashstyle="solid"/>
            </v:line>
            <v:shape style="position:absolute;left:2165;top:921;width:50;height:88" coordorigin="2165,922" coordsize="50,88" path="m2165,922l2177,989,2177,1009,2180,1001,2215,929,2165,922xe" filled="true" fillcolor="#000000" stroked="false">
              <v:path arrowok="t"/>
              <v:fill type="solid"/>
            </v:shape>
            <v:shape style="position:absolute;left:2062;top:30;width:764;height:133" type="#_x0000_t202" filled="false" stroked="false">
              <v:textbox inset="0,0,0,0">
                <w:txbxContent>
                  <w:p>
                    <w:pPr>
                      <w:spacing w:line="133" w:lineRule="exact" w:before="0"/>
                      <w:ind w:left="0" w:right="0" w:firstLine="0"/>
                      <w:jc w:val="left"/>
                      <w:rPr>
                        <w:sz w:val="12"/>
                      </w:rPr>
                    </w:pPr>
                    <w:r>
                      <w:rPr>
                        <w:color w:val="231F20"/>
                        <w:sz w:val="12"/>
                      </w:rPr>
                      <w:t>GfK/Gallup (b)</w:t>
                    </w:r>
                  </w:p>
                </w:txbxContent>
              </v:textbox>
              <w10:wrap type="none"/>
            </v:shape>
            <v:shape style="position:absolute;left:2792;top:1970;width:334;height:133" type="#_x0000_t202" filled="false" stroked="false">
              <v:textbox inset="0,0,0,0">
                <w:txbxContent>
                  <w:p>
                    <w:pPr>
                      <w:spacing w:line="133" w:lineRule="exact" w:before="0"/>
                      <w:ind w:left="0" w:right="0" w:firstLine="0"/>
                      <w:jc w:val="left"/>
                      <w:rPr>
                        <w:sz w:val="12"/>
                      </w:rPr>
                    </w:pPr>
                    <w:r>
                      <w:rPr>
                        <w:sz w:val="12"/>
                      </w:rPr>
                      <w:t>MORI</w:t>
                    </w:r>
                  </w:p>
                </w:txbxContent>
              </v:textbox>
              <w10:wrap type="none"/>
            </v:shape>
            <w10:wrap type="none"/>
          </v:group>
        </w:pict>
      </w:r>
      <w:r>
        <w:rPr>
          <w:color w:val="231F20"/>
          <w:sz w:val="12"/>
        </w:rPr>
        <w:t>20</w:t>
      </w:r>
    </w:p>
    <w:p>
      <w:pPr>
        <w:pStyle w:val="BodyText"/>
        <w:rPr>
          <w:sz w:val="12"/>
        </w:rPr>
      </w:pPr>
    </w:p>
    <w:p>
      <w:pPr>
        <w:spacing w:before="79"/>
        <w:ind w:left="0" w:right="38" w:firstLine="0"/>
        <w:jc w:val="right"/>
        <w:rPr>
          <w:sz w:val="12"/>
        </w:rPr>
      </w:pPr>
      <w:r>
        <w:rPr>
          <w:color w:val="231F20"/>
          <w:sz w:val="12"/>
        </w:rPr>
        <w:t>10</w:t>
      </w:r>
    </w:p>
    <w:p>
      <w:pPr>
        <w:spacing w:line="131" w:lineRule="exact" w:before="35"/>
        <w:ind w:left="3502" w:right="0" w:firstLine="0"/>
        <w:jc w:val="left"/>
        <w:rPr>
          <w:sz w:val="16"/>
        </w:rPr>
      </w:pPr>
      <w:r>
        <w:rPr>
          <w:color w:val="231F20"/>
          <w:sz w:val="16"/>
        </w:rPr>
        <w:t>+</w:t>
      </w:r>
    </w:p>
    <w:p>
      <w:pPr>
        <w:pStyle w:val="Heading4"/>
        <w:spacing w:line="242" w:lineRule="auto"/>
        <w:ind w:left="157" w:right="267"/>
      </w:pPr>
      <w:r>
        <w:rPr/>
        <w:br w:type="column"/>
      </w:r>
      <w:r>
        <w:rPr>
          <w:color w:val="231F20"/>
        </w:rPr>
        <w:t>peaked in 1996 Q3 and has since declined steadily, whereas the deceleration in durable goods spending began only in 1998 Q1, and the growth rate of spending on services has yet to moderate.</w:t>
      </w:r>
    </w:p>
    <w:p>
      <w:pPr>
        <w:pStyle w:val="BodyText"/>
        <w:spacing w:before="2"/>
        <w:rPr>
          <w:sz w:val="22"/>
        </w:rPr>
      </w:pPr>
    </w:p>
    <w:p>
      <w:pPr>
        <w:spacing w:before="0"/>
        <w:ind w:left="157" w:right="0" w:firstLine="0"/>
        <w:jc w:val="left"/>
        <w:rPr>
          <w:sz w:val="24"/>
        </w:rPr>
      </w:pPr>
      <w:r>
        <w:rPr>
          <w:color w:val="231F20"/>
          <w:sz w:val="24"/>
        </w:rPr>
        <w:t>The relative weakness of spending on durable and</w:t>
      </w:r>
    </w:p>
    <w:p>
      <w:pPr>
        <w:spacing w:line="242" w:lineRule="auto" w:before="4"/>
        <w:ind w:left="157" w:right="267" w:firstLine="0"/>
        <w:jc w:val="left"/>
        <w:rPr>
          <w:sz w:val="24"/>
        </w:rPr>
      </w:pPr>
      <w:r>
        <w:rPr>
          <w:color w:val="231F20"/>
          <w:sz w:val="24"/>
        </w:rPr>
        <w:t>non-durable goods in 1998 is a puzzle. To some extent, the former was influenced by the pattern of windfall payouts arising from the demutualisation of a number of large building societies (see Chart 2.11). These payouts totalled around £37 billion in 1997 (equivalent to 7</w:t>
      </w:r>
      <w:r>
        <w:rPr>
          <w:color w:val="231F20"/>
          <w:position w:val="8"/>
          <w:sz w:val="12"/>
        </w:rPr>
        <w:t>1</w:t>
      </w:r>
      <w:r>
        <w:rPr>
          <w:color w:val="231F20"/>
          <w:sz w:val="24"/>
        </w:rPr>
        <w:t>/</w:t>
      </w:r>
      <w:r>
        <w:rPr>
          <w:color w:val="231F20"/>
          <w:sz w:val="12"/>
        </w:rPr>
        <w:t>2</w:t>
      </w:r>
      <w:r>
        <w:rPr>
          <w:color w:val="231F20"/>
          <w:sz w:val="24"/>
        </w:rPr>
        <w:t>% of annual household consumption). In August 1997, the Bank commissioned M</w:t>
      </w:r>
      <w:r>
        <w:rPr>
          <w:color w:val="231F20"/>
          <w:sz w:val="20"/>
        </w:rPr>
        <w:t>ORI </w:t>
      </w:r>
      <w:r>
        <w:rPr>
          <w:color w:val="231F20"/>
          <w:sz w:val="24"/>
        </w:rPr>
        <w:t>to survey the beneficiaries of these demutualisations to find out what they were likely to do with their windfall payouts.</w:t>
      </w:r>
      <w:r>
        <w:rPr>
          <w:color w:val="231F20"/>
          <w:position w:val="5"/>
          <w:sz w:val="16"/>
        </w:rPr>
        <w:t>(1) </w:t>
      </w:r>
      <w:r>
        <w:rPr>
          <w:color w:val="231F20"/>
          <w:sz w:val="24"/>
        </w:rPr>
        <w:t>Using this information, the MPC estimated that domestic demand expenditures would be boosted between 1997–99 by</w:t>
      </w:r>
    </w:p>
    <w:p>
      <w:pPr>
        <w:spacing w:line="242" w:lineRule="auto" w:before="14"/>
        <w:ind w:left="157" w:right="267" w:firstLine="0"/>
        <w:jc w:val="left"/>
        <w:rPr>
          <w:sz w:val="24"/>
        </w:rPr>
      </w:pPr>
      <w:r>
        <w:rPr>
          <w:color w:val="231F20"/>
          <w:sz w:val="24"/>
        </w:rPr>
        <w:t>£6–12 billion, with the most likely outcome towards the top of this range.</w:t>
      </w:r>
    </w:p>
    <w:p>
      <w:pPr>
        <w:pStyle w:val="BodyText"/>
        <w:spacing w:before="1"/>
        <w:rPr>
          <w:sz w:val="21"/>
        </w:rPr>
      </w:pPr>
    </w:p>
    <w:p>
      <w:pPr>
        <w:spacing w:line="242" w:lineRule="auto" w:before="0"/>
        <w:ind w:left="157" w:right="267" w:firstLine="0"/>
        <w:jc w:val="left"/>
        <w:rPr>
          <w:sz w:val="24"/>
        </w:rPr>
      </w:pPr>
      <w:r>
        <w:rPr>
          <w:color w:val="231F20"/>
          <w:sz w:val="24"/>
        </w:rPr>
        <w:t>Survey respondents also indicated that around three quarters of the windfall spending would be on durable goods and home improvements. Although difficult to</w:t>
      </w:r>
    </w:p>
    <w:p>
      <w:pPr>
        <w:spacing w:after="0" w:line="242" w:lineRule="auto"/>
        <w:jc w:val="left"/>
        <w:rPr>
          <w:sz w:val="24"/>
        </w:rPr>
        <w:sectPr>
          <w:type w:val="continuous"/>
          <w:pgSz w:w="11900" w:h="16840"/>
          <w:pgMar w:top="1220" w:bottom="280" w:left="640" w:right="600"/>
          <w:cols w:num="2" w:equalWidth="0">
            <w:col w:w="3706" w:space="1097"/>
            <w:col w:w="5857"/>
          </w:cols>
        </w:sectPr>
      </w:pPr>
    </w:p>
    <w:p>
      <w:pPr>
        <w:tabs>
          <w:tab w:pos="4959" w:val="left" w:leader="none"/>
        </w:tabs>
        <w:spacing w:line="266" w:lineRule="exact" w:before="0"/>
        <w:ind w:left="3605" w:right="0" w:firstLine="0"/>
        <w:jc w:val="left"/>
        <w:rPr>
          <w:sz w:val="24"/>
        </w:rPr>
      </w:pPr>
      <w:r>
        <w:rPr>
          <w:position w:val="3"/>
          <w:sz w:val="12"/>
        </w:rPr>
        <w:t>0</w:t>
        <w:tab/>
      </w:r>
      <w:r>
        <w:rPr>
          <w:color w:val="231F20"/>
          <w:sz w:val="24"/>
        </w:rPr>
        <w:t>measure precisely, there is some evidence that</w:t>
      </w:r>
      <w:r>
        <w:rPr>
          <w:color w:val="231F20"/>
          <w:spacing w:val="-12"/>
          <w:sz w:val="24"/>
        </w:rPr>
        <w:t> </w:t>
      </w:r>
      <w:r>
        <w:rPr>
          <w:color w:val="231F20"/>
          <w:sz w:val="24"/>
        </w:rPr>
        <w:t>spending</w:t>
      </w:r>
    </w:p>
    <w:p>
      <w:pPr>
        <w:tabs>
          <w:tab w:pos="4959" w:val="left" w:leader="none"/>
        </w:tabs>
        <w:spacing w:line="167" w:lineRule="exact" w:before="4"/>
        <w:ind w:left="3513" w:right="0" w:firstLine="0"/>
        <w:jc w:val="left"/>
        <w:rPr>
          <w:sz w:val="24"/>
        </w:rPr>
      </w:pPr>
      <w:r>
        <w:rPr>
          <w:color w:val="231F20"/>
          <w:sz w:val="24"/>
          <w:vertAlign w:val="superscript"/>
        </w:rPr>
        <w:t>–</w:t>
      </w:r>
      <w:r>
        <w:rPr>
          <w:color w:val="231F20"/>
          <w:sz w:val="24"/>
          <w:vertAlign w:val="baseline"/>
        </w:rPr>
        <w:tab/>
        <w:t>on these items was boosted above trend by</w:t>
      </w:r>
      <w:r>
        <w:rPr>
          <w:color w:val="231F20"/>
          <w:spacing w:val="-4"/>
          <w:sz w:val="24"/>
          <w:vertAlign w:val="baseline"/>
        </w:rPr>
        <w:t> </w:t>
      </w:r>
      <w:r>
        <w:rPr>
          <w:color w:val="231F20"/>
          <w:sz w:val="24"/>
          <w:vertAlign w:val="baseline"/>
        </w:rPr>
        <w:t>around</w:t>
      </w:r>
    </w:p>
    <w:p>
      <w:pPr>
        <w:spacing w:after="0" w:line="167" w:lineRule="exact"/>
        <w:jc w:val="left"/>
        <w:rPr>
          <w:sz w:val="24"/>
        </w:rPr>
        <w:sectPr>
          <w:type w:val="continuous"/>
          <w:pgSz w:w="11900" w:h="16840"/>
          <w:pgMar w:top="1220" w:bottom="280" w:left="640" w:right="6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19"/>
        </w:rPr>
      </w:pPr>
    </w:p>
    <w:p>
      <w:pPr>
        <w:pStyle w:val="BodyText"/>
        <w:spacing w:line="20" w:lineRule="exact"/>
        <w:ind w:left="240"/>
        <w:rPr>
          <w:sz w:val="2"/>
        </w:rPr>
      </w:pPr>
      <w:r>
        <w:rPr>
          <w:sz w:val="2"/>
        </w:rPr>
        <w:pict>
          <v:group style="width:4pt;height:.5pt;mso-position-horizontal-relative:char;mso-position-vertical-relative:line" coordorigin="0,0" coordsize="80,10">
            <v:line style="position:absolute" from="0,5" to="80,5" stroked="true" strokeweight=".5pt" strokecolor="#000000">
              <v:stroke dashstyle="solid"/>
            </v:line>
          </v:group>
        </w:pict>
      </w:r>
      <w:r>
        <w:rPr>
          <w:sz w:val="2"/>
        </w:rPr>
      </w:r>
    </w:p>
    <w:p>
      <w:pPr>
        <w:pStyle w:val="BodyText"/>
        <w:rPr>
          <w:sz w:val="12"/>
        </w:rPr>
      </w:pPr>
    </w:p>
    <w:p>
      <w:pPr>
        <w:pStyle w:val="BodyText"/>
        <w:rPr>
          <w:sz w:val="12"/>
        </w:rPr>
      </w:pPr>
    </w:p>
    <w:p>
      <w:pPr>
        <w:tabs>
          <w:tab w:pos="722" w:val="left" w:leader="none"/>
        </w:tabs>
        <w:spacing w:before="87"/>
        <w:ind w:left="245" w:right="0" w:firstLine="0"/>
        <w:jc w:val="left"/>
        <w:rPr>
          <w:sz w:val="12"/>
        </w:rPr>
      </w:pPr>
      <w:r>
        <w:rPr>
          <w:sz w:val="12"/>
        </w:rPr>
        <w:t>1983</w:t>
        <w:tab/>
      </w:r>
      <w:r>
        <w:rPr>
          <w:spacing w:val="-10"/>
          <w:sz w:val="12"/>
        </w:rPr>
        <w:t>85</w:t>
      </w:r>
    </w:p>
    <w:p>
      <w:pPr>
        <w:pStyle w:val="BodyText"/>
        <w:rPr>
          <w:sz w:val="12"/>
        </w:rPr>
      </w:pPr>
      <w:r>
        <w:rPr/>
        <w:br w:type="column"/>
      </w:r>
      <w:r>
        <w:rPr>
          <w:sz w:val="12"/>
        </w:rPr>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3"/>
        </w:rPr>
      </w:pPr>
    </w:p>
    <w:p>
      <w:pPr>
        <w:tabs>
          <w:tab w:pos="599" w:val="left" w:leader="none"/>
        </w:tabs>
        <w:spacing w:before="0"/>
        <w:ind w:left="240" w:right="0" w:firstLine="0"/>
        <w:jc w:val="left"/>
        <w:rPr>
          <w:sz w:val="12"/>
        </w:rPr>
      </w:pPr>
      <w:r>
        <w:rPr>
          <w:sz w:val="12"/>
        </w:rPr>
        <w:t>87</w:t>
        <w:tab/>
      </w:r>
      <w:r>
        <w:rPr>
          <w:spacing w:val="-10"/>
          <w:sz w:val="12"/>
        </w:rPr>
        <w:t>89</w:t>
      </w:r>
    </w:p>
    <w:p>
      <w:pPr>
        <w:pStyle w:val="BodyText"/>
        <w:rPr>
          <w:sz w:val="12"/>
        </w:rPr>
      </w:pPr>
      <w:r>
        <w:rPr/>
        <w:br w:type="column"/>
      </w:r>
      <w:r>
        <w:rPr>
          <w:sz w:val="12"/>
        </w:rPr>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3"/>
        </w:rPr>
      </w:pPr>
    </w:p>
    <w:p>
      <w:pPr>
        <w:tabs>
          <w:tab w:pos="607" w:val="left" w:leader="none"/>
        </w:tabs>
        <w:spacing w:before="0"/>
        <w:ind w:left="227" w:right="0" w:firstLine="0"/>
        <w:jc w:val="left"/>
        <w:rPr>
          <w:sz w:val="12"/>
        </w:rPr>
      </w:pPr>
      <w:r>
        <w:rPr>
          <w:sz w:val="12"/>
        </w:rPr>
        <w:t>91</w:t>
        <w:tab/>
      </w:r>
      <w:r>
        <w:rPr>
          <w:spacing w:val="-10"/>
          <w:sz w:val="12"/>
        </w:rPr>
        <w:t>93</w:t>
      </w:r>
    </w:p>
    <w:p>
      <w:pPr>
        <w:spacing w:line="133" w:lineRule="exact" w:before="0"/>
        <w:ind w:left="1134" w:right="0" w:firstLine="0"/>
        <w:jc w:val="left"/>
        <w:rPr>
          <w:sz w:val="12"/>
        </w:rPr>
      </w:pPr>
      <w:r>
        <w:rPr/>
        <w:br w:type="column"/>
      </w:r>
      <w:r>
        <w:rPr>
          <w:sz w:val="12"/>
        </w:rPr>
        <w:t>10</w:t>
      </w:r>
    </w:p>
    <w:p>
      <w:pPr>
        <w:pStyle w:val="BodyText"/>
        <w:rPr>
          <w:sz w:val="12"/>
        </w:rPr>
      </w:pPr>
    </w:p>
    <w:p>
      <w:pPr>
        <w:spacing w:before="84"/>
        <w:ind w:left="0" w:right="38" w:firstLine="0"/>
        <w:jc w:val="right"/>
        <w:rPr>
          <w:sz w:val="12"/>
        </w:rPr>
      </w:pPr>
      <w:r>
        <w:rPr>
          <w:sz w:val="12"/>
        </w:rPr>
        <w:t>20</w:t>
      </w:r>
    </w:p>
    <w:p>
      <w:pPr>
        <w:pStyle w:val="BodyText"/>
        <w:rPr>
          <w:sz w:val="12"/>
        </w:rPr>
      </w:pPr>
    </w:p>
    <w:p>
      <w:pPr>
        <w:spacing w:before="84"/>
        <w:ind w:left="0" w:right="38" w:firstLine="0"/>
        <w:jc w:val="right"/>
        <w:rPr>
          <w:sz w:val="12"/>
        </w:rPr>
      </w:pPr>
      <w:r>
        <w:rPr>
          <w:sz w:val="12"/>
        </w:rPr>
        <w:t>30</w:t>
      </w:r>
    </w:p>
    <w:p>
      <w:pPr>
        <w:pStyle w:val="BodyText"/>
        <w:rPr>
          <w:sz w:val="12"/>
        </w:rPr>
      </w:pPr>
    </w:p>
    <w:p>
      <w:pPr>
        <w:spacing w:before="86"/>
        <w:ind w:left="0" w:right="38" w:firstLine="0"/>
        <w:jc w:val="right"/>
        <w:rPr>
          <w:sz w:val="12"/>
        </w:rPr>
      </w:pPr>
      <w:r>
        <w:rPr/>
        <w:pict>
          <v:line style="position:absolute;mso-position-horizontal-relative:page;mso-position-vertical-relative:paragraph;z-index:15905280" from="203.389999pt,8.026567pt" to="207.389999pt,8.026567pt" stroked="true" strokeweight=".5pt" strokecolor="#000000">
            <v:stroke dashstyle="solid"/>
            <w10:wrap type="none"/>
          </v:line>
        </w:pict>
      </w:r>
      <w:r>
        <w:rPr>
          <w:sz w:val="12"/>
        </w:rPr>
        <w:t>40</w:t>
      </w:r>
    </w:p>
    <w:p>
      <w:pPr>
        <w:pStyle w:val="BodyText"/>
        <w:rPr>
          <w:sz w:val="12"/>
        </w:rPr>
      </w:pPr>
    </w:p>
    <w:p>
      <w:pPr>
        <w:spacing w:line="115" w:lineRule="exact" w:before="84"/>
        <w:ind w:left="1134" w:right="0" w:firstLine="0"/>
        <w:jc w:val="left"/>
        <w:rPr>
          <w:sz w:val="12"/>
        </w:rPr>
      </w:pPr>
      <w:r>
        <w:rPr/>
        <w:pict>
          <v:group style="position:absolute;margin-left:44.264999pt;margin-top:4.67656pt;width:163.15pt;height:3.5pt;mso-position-horizontal-relative:page;mso-position-vertical-relative:paragraph;z-index:15903744" coordorigin="885,94" coordsize="3263,70">
            <v:line style="position:absolute" from="1038,156" to="4030,159" stroked="true" strokeweight=".5pt" strokecolor="#000000">
              <v:stroke dashstyle="solid"/>
            </v:line>
            <v:shape style="position:absolute;left:1039;top:93;width:1330;height:68" coordorigin="1039,94" coordsize="1330,68" path="m1039,94l1039,161m1229,94l1229,161m1419,94l1419,161m1607,94l1607,161m1799,94l1799,161m1989,94l1989,161m2179,94l2179,161m2369,94l2369,161e" filled="false" stroked="true" strokeweight=".625pt" strokecolor="#000000">
              <v:path arrowok="t"/>
              <v:stroke dashstyle="solid"/>
            </v:shape>
            <v:line style="position:absolute" from="2559,94" to="2559,161" stroked="true" strokeweight=".625pt" strokecolor="#000000">
              <v:stroke dashstyle="solid"/>
            </v:line>
            <v:shape style="position:absolute;left:2749;top:93;width:1140;height:68" coordorigin="2749,94" coordsize="1140,68" path="m2749,94l2749,161m2939,94l2939,161m3129,94l3129,161m3319,94l3319,161m3509,94l3509,161m3699,94l3699,161m3889,94l3889,161e" filled="false" stroked="true" strokeweight=".625pt" strokecolor="#000000">
              <v:path arrowok="t"/>
              <v:stroke dashstyle="solid"/>
            </v:shape>
            <v:shape style="position:absolute;left:885;top:153;width:3263;height:2" coordorigin="885,154" coordsize="3263,0" path="m885,154l965,154m4068,154l4148,154e" filled="false" stroked="true" strokeweight=".5pt" strokecolor="#000000">
              <v:path arrowok="t"/>
              <v:stroke dashstyle="solid"/>
            </v:shape>
            <w10:wrap type="none"/>
          </v:group>
        </w:pict>
      </w:r>
      <w:r>
        <w:rPr>
          <w:sz w:val="12"/>
        </w:rPr>
        <w:t>50</w:t>
      </w:r>
    </w:p>
    <w:p>
      <w:pPr>
        <w:tabs>
          <w:tab w:pos="589" w:val="left" w:leader="none"/>
        </w:tabs>
        <w:spacing w:line="115" w:lineRule="exact" w:before="0"/>
        <w:ind w:left="239" w:right="0" w:firstLine="0"/>
        <w:jc w:val="left"/>
        <w:rPr>
          <w:sz w:val="12"/>
        </w:rPr>
      </w:pPr>
      <w:r>
        <w:rPr>
          <w:sz w:val="12"/>
        </w:rPr>
        <w:t>95</w:t>
        <w:tab/>
        <w:t>97</w:t>
      </w:r>
    </w:p>
    <w:p>
      <w:pPr>
        <w:pStyle w:val="Heading4"/>
        <w:spacing w:line="242" w:lineRule="auto" w:before="113"/>
        <w:ind w:left="245" w:right="228"/>
      </w:pPr>
      <w:r>
        <w:rPr/>
        <w:br w:type="column"/>
      </w:r>
      <w:r>
        <w:rPr>
          <w:color w:val="231F20"/>
        </w:rPr>
        <w:t>£4–6 billion in the past two years. So the sharp slowdown in the growth rate of durable goods spending in 1998 may have reflected the unwinding of this effect.</w:t>
      </w:r>
    </w:p>
    <w:p>
      <w:pPr>
        <w:spacing w:line="242" w:lineRule="auto" w:before="4"/>
        <w:ind w:left="245" w:right="602" w:firstLine="0"/>
        <w:jc w:val="left"/>
        <w:rPr>
          <w:sz w:val="24"/>
        </w:rPr>
      </w:pPr>
      <w:r>
        <w:rPr>
          <w:color w:val="231F20"/>
          <w:sz w:val="24"/>
        </w:rPr>
        <w:t>However, there is little evidence that spending on non-durable goods was boosted by windfall payouts. This suggests that the overall windfalls impact on</w:t>
      </w:r>
    </w:p>
    <w:p>
      <w:pPr>
        <w:spacing w:after="0" w:line="242" w:lineRule="auto"/>
        <w:jc w:val="left"/>
        <w:rPr>
          <w:sz w:val="24"/>
        </w:rPr>
        <w:sectPr>
          <w:type w:val="continuous"/>
          <w:pgSz w:w="11900" w:h="16840"/>
          <w:pgMar w:top="1220" w:bottom="280" w:left="640" w:right="600"/>
          <w:cols w:num="5" w:equalWidth="0">
            <w:col w:w="843" w:space="40"/>
            <w:col w:w="721" w:space="39"/>
            <w:col w:w="728" w:space="39"/>
            <w:col w:w="1295" w:space="1009"/>
            <w:col w:w="5946"/>
          </w:cols>
        </w:sectPr>
      </w:pPr>
    </w:p>
    <w:p>
      <w:pPr>
        <w:pStyle w:val="ListParagraph"/>
        <w:numPr>
          <w:ilvl w:val="0"/>
          <w:numId w:val="13"/>
        </w:numPr>
        <w:tabs>
          <w:tab w:pos="390" w:val="left" w:leader="none"/>
        </w:tabs>
        <w:spacing w:line="208" w:lineRule="auto" w:before="46" w:after="0"/>
        <w:ind w:left="390" w:right="38" w:hanging="240"/>
        <w:jc w:val="left"/>
        <w:rPr>
          <w:sz w:val="12"/>
        </w:rPr>
      </w:pPr>
      <w:r>
        <w:rPr>
          <w:color w:val="231F20"/>
          <w:sz w:val="12"/>
        </w:rPr>
        <w:t>Quarterly averages derived from monthly headline measures of </w:t>
      </w:r>
      <w:r>
        <w:rPr>
          <w:color w:val="231F20"/>
          <w:spacing w:val="-3"/>
          <w:sz w:val="12"/>
        </w:rPr>
        <w:t>consumer </w:t>
      </w:r>
      <w:r>
        <w:rPr>
          <w:color w:val="231F20"/>
          <w:sz w:val="12"/>
        </w:rPr>
        <w:t>confidence.</w:t>
      </w:r>
    </w:p>
    <w:p>
      <w:pPr>
        <w:pStyle w:val="ListParagraph"/>
        <w:numPr>
          <w:ilvl w:val="0"/>
          <w:numId w:val="13"/>
        </w:numPr>
        <w:tabs>
          <w:tab w:pos="391" w:val="left" w:leader="none"/>
        </w:tabs>
        <w:spacing w:line="123" w:lineRule="exact" w:before="0" w:after="0"/>
        <w:ind w:left="390" w:right="0" w:hanging="241"/>
        <w:jc w:val="left"/>
        <w:rPr>
          <w:sz w:val="12"/>
        </w:rPr>
      </w:pPr>
      <w:r>
        <w:rPr>
          <w:color w:val="231F20"/>
          <w:sz w:val="12"/>
        </w:rPr>
        <w:t>Gallup prior to July 1995.</w:t>
      </w:r>
    </w:p>
    <w:p>
      <w:pPr>
        <w:pStyle w:val="Heading4"/>
        <w:spacing w:line="242" w:lineRule="auto" w:before="4"/>
      </w:pPr>
      <w:r>
        <w:rPr/>
        <w:br w:type="column"/>
      </w:r>
      <w:r>
        <w:rPr>
          <w:color w:val="231F20"/>
        </w:rPr>
        <w:t>consumption was probably less than the MPC had previously assumed.</w:t>
      </w:r>
    </w:p>
    <w:p>
      <w:pPr>
        <w:pStyle w:val="BodyText"/>
        <w:spacing w:before="8"/>
        <w:rPr>
          <w:sz w:val="13"/>
        </w:rPr>
      </w:pPr>
      <w:r>
        <w:rPr/>
        <w:pict>
          <v:shape style="position:absolute;margin-left:278pt;margin-top:9.934517pt;width:280pt;height:.1pt;mso-position-horizontal-relative:page;mso-position-vertical-relative:paragraph;z-index:-15561216;mso-wrap-distance-left:0;mso-wrap-distance-right:0" coordorigin="5560,199" coordsize="5600,0" path="m5560,199l11160,199e" filled="false" stroked="true" strokeweight=".125pt" strokecolor="#231f20">
            <v:path arrowok="t"/>
            <v:stroke dashstyle="solid"/>
            <w10:wrap type="topAndBottom"/>
          </v:shape>
        </w:pict>
      </w:r>
    </w:p>
    <w:p>
      <w:pPr>
        <w:pStyle w:val="ListParagraph"/>
        <w:numPr>
          <w:ilvl w:val="1"/>
          <w:numId w:val="13"/>
        </w:numPr>
        <w:tabs>
          <w:tab w:pos="391" w:val="left" w:leader="none"/>
        </w:tabs>
        <w:spacing w:line="240" w:lineRule="auto" w:before="0" w:after="0"/>
        <w:ind w:left="390" w:right="0" w:hanging="241"/>
        <w:jc w:val="left"/>
        <w:rPr>
          <w:sz w:val="16"/>
        </w:rPr>
      </w:pPr>
      <w:r>
        <w:rPr>
          <w:color w:val="231F20"/>
          <w:sz w:val="16"/>
        </w:rPr>
        <w:t>See the box on page 20 of the November 1997</w:t>
      </w:r>
      <w:r>
        <w:rPr>
          <w:color w:val="231F20"/>
          <w:spacing w:val="-2"/>
          <w:sz w:val="16"/>
        </w:rPr>
        <w:t> </w:t>
      </w:r>
      <w:r>
        <w:rPr>
          <w:i/>
          <w:color w:val="231F20"/>
          <w:sz w:val="16"/>
        </w:rPr>
        <w:t>Report</w:t>
      </w:r>
      <w:r>
        <w:rPr>
          <w:color w:val="231F20"/>
          <w:sz w:val="16"/>
        </w:rPr>
        <w:t>.</w:t>
      </w:r>
    </w:p>
    <w:p>
      <w:pPr>
        <w:spacing w:after="0" w:line="240" w:lineRule="auto"/>
        <w:jc w:val="left"/>
        <w:rPr>
          <w:sz w:val="16"/>
        </w:rPr>
        <w:sectPr>
          <w:type w:val="continuous"/>
          <w:pgSz w:w="11900" w:h="16840"/>
          <w:pgMar w:top="1220" w:bottom="280" w:left="640" w:right="600"/>
          <w:cols w:num="2" w:equalWidth="0">
            <w:col w:w="3963" w:space="827"/>
            <w:col w:w="5870"/>
          </w:cols>
        </w:sectPr>
      </w:pPr>
    </w:p>
    <w:p>
      <w:pPr>
        <w:pStyle w:val="BodyText"/>
        <w:rPr>
          <w:sz w:val="20"/>
        </w:rPr>
      </w:pPr>
    </w:p>
    <w:p>
      <w:pPr>
        <w:spacing w:after="0"/>
        <w:rPr>
          <w:sz w:val="20"/>
        </w:rPr>
        <w:sectPr>
          <w:pgSz w:w="11900" w:h="16840"/>
          <w:pgMar w:header="586" w:footer="597" w:top="780" w:bottom="780" w:left="640" w:right="600"/>
        </w:sectPr>
      </w:pPr>
    </w:p>
    <w:p>
      <w:pPr>
        <w:pStyle w:val="BodyText"/>
        <w:spacing w:before="6"/>
        <w:rPr>
          <w:sz w:val="20"/>
        </w:rPr>
      </w:pPr>
    </w:p>
    <w:p>
      <w:pPr>
        <w:pStyle w:val="Heading7"/>
        <w:spacing w:before="0"/>
        <w:ind w:left="185"/>
      </w:pPr>
      <w:r>
        <w:rPr>
          <w:color w:val="0093C1"/>
        </w:rPr>
        <w:t>Chart 2.10</w:t>
      </w:r>
    </w:p>
    <w:p>
      <w:pPr>
        <w:spacing w:line="249" w:lineRule="auto" w:before="10"/>
        <w:ind w:left="185" w:right="100" w:firstLine="0"/>
        <w:jc w:val="left"/>
        <w:rPr>
          <w:b/>
          <w:sz w:val="20"/>
        </w:rPr>
      </w:pPr>
      <w:r>
        <w:rPr>
          <w:b/>
          <w:color w:val="0093C1"/>
          <w:sz w:val="20"/>
        </w:rPr>
        <w:t>Comparison of household consumption behaviour</w:t>
      </w:r>
    </w:p>
    <w:p>
      <w:pPr>
        <w:spacing w:before="161"/>
        <w:ind w:left="290" w:right="0" w:firstLine="0"/>
        <w:jc w:val="left"/>
        <w:rPr>
          <w:sz w:val="12"/>
        </w:rPr>
      </w:pPr>
      <w:r>
        <w:rPr>
          <w:color w:val="231F20"/>
          <w:sz w:val="12"/>
          <w:u w:val="single" w:color="95459A"/>
        </w:rPr>
        <w:t>        </w:t>
      </w:r>
      <w:r>
        <w:rPr>
          <w:color w:val="231F20"/>
          <w:sz w:val="12"/>
        </w:rPr>
        <w:t>  Durable goods</w:t>
      </w:r>
    </w:p>
    <w:p>
      <w:pPr>
        <w:spacing w:before="28"/>
        <w:ind w:left="290" w:right="0" w:firstLine="0"/>
        <w:jc w:val="left"/>
        <w:rPr>
          <w:sz w:val="12"/>
        </w:rPr>
      </w:pPr>
      <w:r>
        <w:rPr>
          <w:color w:val="231F20"/>
          <w:sz w:val="12"/>
          <w:u w:val="single" w:color="FAAB54"/>
        </w:rPr>
        <w:t>        </w:t>
      </w:r>
      <w:r>
        <w:rPr>
          <w:color w:val="231F20"/>
          <w:sz w:val="12"/>
        </w:rPr>
        <w:t>  Non-durable goods</w:t>
      </w:r>
    </w:p>
    <w:p>
      <w:pPr>
        <w:spacing w:before="12"/>
        <w:ind w:left="290" w:right="0" w:firstLine="0"/>
        <w:jc w:val="left"/>
        <w:rPr>
          <w:sz w:val="12"/>
        </w:rPr>
      </w:pPr>
      <w:r>
        <w:rPr>
          <w:color w:val="231F20"/>
          <w:sz w:val="12"/>
          <w:u w:val="single" w:color="008256"/>
        </w:rPr>
        <w:t>        </w:t>
      </w:r>
      <w:r>
        <w:rPr>
          <w:color w:val="231F20"/>
          <w:sz w:val="12"/>
        </w:rPr>
        <w:t>  Total services</w:t>
      </w:r>
    </w:p>
    <w:p>
      <w:pPr>
        <w:spacing w:before="90"/>
        <w:ind w:left="286" w:right="0" w:firstLine="0"/>
        <w:jc w:val="left"/>
        <w:rPr>
          <w:sz w:val="16"/>
        </w:rPr>
      </w:pPr>
      <w:r>
        <w:rPr>
          <w:color w:val="231F20"/>
          <w:sz w:val="16"/>
        </w:rPr>
        <w:t>1990–92 recession</w:t>
      </w:r>
    </w:p>
    <w:p>
      <w:pPr>
        <w:spacing w:line="130" w:lineRule="exact" w:before="63"/>
        <w:ind w:left="1615" w:right="0" w:firstLine="0"/>
        <w:jc w:val="left"/>
        <w:rPr>
          <w:sz w:val="12"/>
        </w:rPr>
      </w:pPr>
      <w:r>
        <w:rPr>
          <w:sz w:val="12"/>
        </w:rPr>
        <w:t>Percentage changes on a year earlier</w:t>
      </w:r>
    </w:p>
    <w:p>
      <w:pPr>
        <w:spacing w:line="130" w:lineRule="exact" w:before="0"/>
        <w:ind w:left="3418" w:right="0" w:firstLine="0"/>
        <w:jc w:val="left"/>
        <w:rPr>
          <w:sz w:val="12"/>
        </w:rPr>
      </w:pPr>
      <w:r>
        <w:rPr/>
        <w:pict>
          <v:group style="position:absolute;margin-left:45.123001pt;margin-top:3.020568pt;width:164.85pt;height:56.9pt;mso-position-horizontal-relative:page;mso-position-vertical-relative:paragraph;z-index:-21111808" coordorigin="902,60" coordsize="3297,1138">
            <v:shape style="position:absolute;left:1038;top:138;width:2805;height:1050" coordorigin="1039,139" coordsize="2805,1050" path="m1039,453l1146,523,1253,384,1361,384,1468,209,1560,226,1667,139,1774,314,1882,418,1973,436,2081,698,2188,663,2295,821,2387,891,2494,943,2602,1048,2709,1013,2801,1188,2908,943,3015,1013,3123,1013,3230,646,3322,663,3429,558,3536,488,3644,681,3736,593,3843,488e" filled="false" stroked="true" strokeweight="1pt" strokecolor="#95459a">
              <v:path arrowok="t"/>
              <v:stroke dashstyle="solid"/>
            </v:shape>
            <v:shape style="position:absolute;left:1038;top:540;width:2805;height:245" coordorigin="1039,541" coordsize="2805,245" path="m1039,646l1146,646,1361,541,1468,558,1560,611,1774,646,1882,698,1973,646,2081,733,2188,698,2295,681,2387,698,2494,681,2602,768,2709,733,2801,751,3015,716,3123,786,3230,733,3322,698,3429,698,3536,646,3644,698,3736,698,3843,663e" filled="false" stroked="true" strokeweight="1.0pt" strokecolor="#faab54">
              <v:path arrowok="t"/>
              <v:stroke dashstyle="solid"/>
            </v:shape>
            <v:shape style="position:absolute;left:1038;top:366;width:2805;height:455" coordorigin="1039,366" coordsize="2805,455" path="m1039,390l1146,425,1253,558,1361,471,1468,436,1560,418,1667,366,1774,384,1882,471,1973,576,2081,611,2188,663,2295,663,2387,628,2494,681,2602,681,2709,751,2801,786,2908,786,3015,821,3123,751,3230,716,3322,716,3429,681,3536,681,3644,646,3736,593,3843,646e" filled="false" stroked="true" strokeweight="1pt" strokecolor="#008256">
              <v:path arrowok="t"/>
              <v:stroke dashstyle="solid"/>
            </v:shape>
            <v:shape style="position:absolute;left:902;top:65;width:3111;height:1000" coordorigin="902,65" coordsize="3111,1000" path="m902,1065l994,1065m902,733l994,733m902,401l994,401m902,69l994,69m1034,733l3797,733m3922,1062l4013,1062m3922,730l4013,730m3922,398l4013,398m3922,65l4013,65e" filled="false" stroked="true" strokeweight=".5pt" strokecolor="#000000">
              <v:path arrowok="t"/>
              <v:stroke dashstyle="solid"/>
            </v:shape>
            <v:shape style="position:absolute;left:3987;top:329;width:212;height:780" type="#_x0000_t202" filled="false" stroked="false">
              <v:textbox inset="0,0,0,0">
                <w:txbxContent>
                  <w:p>
                    <w:pPr>
                      <w:spacing w:line="133" w:lineRule="exact" w:before="0"/>
                      <w:ind w:left="71" w:right="0" w:firstLine="0"/>
                      <w:jc w:val="left"/>
                      <w:rPr>
                        <w:sz w:val="12"/>
                      </w:rPr>
                    </w:pPr>
                    <w:r>
                      <w:rPr>
                        <w:sz w:val="12"/>
                      </w:rPr>
                      <w:t>10</w:t>
                    </w:r>
                  </w:p>
                  <w:p>
                    <w:pPr>
                      <w:spacing w:before="5"/>
                      <w:ind w:left="0" w:right="0" w:firstLine="0"/>
                      <w:jc w:val="left"/>
                      <w:rPr>
                        <w:sz w:val="16"/>
                      </w:rPr>
                    </w:pPr>
                    <w:r>
                      <w:rPr>
                        <w:color w:val="231F20"/>
                        <w:sz w:val="16"/>
                      </w:rPr>
                      <w:t>+</w:t>
                    </w:r>
                  </w:p>
                  <w:p>
                    <w:pPr>
                      <w:spacing w:before="5"/>
                      <w:ind w:left="0" w:right="0" w:firstLine="0"/>
                      <w:jc w:val="left"/>
                      <w:rPr>
                        <w:sz w:val="12"/>
                      </w:rPr>
                    </w:pPr>
                    <w:r>
                      <w:rPr>
                        <w:color w:val="231F20"/>
                        <w:position w:val="-8"/>
                        <w:sz w:val="16"/>
                      </w:rPr>
                      <w:t>_</w:t>
                    </w:r>
                    <w:r>
                      <w:rPr>
                        <w:color w:val="231F20"/>
                        <w:spacing w:val="10"/>
                        <w:position w:val="-8"/>
                        <w:sz w:val="16"/>
                      </w:rPr>
                      <w:t> </w:t>
                    </w:r>
                    <w:r>
                      <w:rPr>
                        <w:sz w:val="12"/>
                      </w:rPr>
                      <w:t>0</w:t>
                    </w:r>
                  </w:p>
                  <w:p>
                    <w:pPr>
                      <w:spacing w:before="78"/>
                      <w:ind w:left="71" w:right="0" w:firstLine="0"/>
                      <w:jc w:val="left"/>
                      <w:rPr>
                        <w:sz w:val="12"/>
                      </w:rPr>
                    </w:pPr>
                    <w:r>
                      <w:rPr>
                        <w:sz w:val="12"/>
                      </w:rPr>
                      <w:t>10</w:t>
                    </w:r>
                  </w:p>
                </w:txbxContent>
              </v:textbox>
              <w10:wrap type="none"/>
            </v:shape>
            <w10:wrap type="none"/>
          </v:group>
        </w:pict>
      </w:r>
      <w:r>
        <w:rPr>
          <w:sz w:val="12"/>
        </w:rPr>
        <w:t>20</w:t>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spacing w:line="115" w:lineRule="exact" w:before="69"/>
        <w:ind w:left="3418" w:right="0" w:firstLine="0"/>
        <w:jc w:val="left"/>
        <w:rPr>
          <w:sz w:val="12"/>
        </w:rPr>
      </w:pPr>
      <w:r>
        <w:rPr/>
        <w:pict>
          <v:shape style="position:absolute;margin-left:45.123001pt;margin-top:4.455577pt;width:147.050pt;height:2.85pt;mso-position-horizontal-relative:page;mso-position-vertical-relative:paragraph;z-index:15906816" coordorigin="902,89" coordsize="2941,57" path="m3843,146l1039,146m3843,146l3843,111m3736,146l3736,111m3644,146l3644,111m3536,146l3536,89m3429,146l3429,111m3322,146l3322,111m3230,146l3230,111m3123,146l3123,89m3015,146l3015,111m2908,146l2908,111m2801,146l2801,111m2709,146l2709,89m2602,146l2602,111m2494,146l2494,111m2387,146l2387,111m2295,146l2295,89m2188,146l2188,111m2081,146l2081,111m1973,146l1973,111m1882,146l1882,89m1774,146l1774,112m1667,146l1667,111m1560,146l1560,111m1468,146l1468,89m1361,146l1361,123m1253,146l1253,111m1146,146l1146,111m1039,146l1039,89m1361,146l1361,111m902,146l994,146e" filled="false" stroked="true" strokeweight=".5pt" strokecolor="#000000">
            <v:path arrowok="t"/>
            <v:stroke dashstyle="solid"/>
            <w10:wrap type="none"/>
          </v:shape>
        </w:pict>
      </w:r>
      <w:r>
        <w:rPr/>
        <w:pict>
          <v:line style="position:absolute;mso-position-horizontal-relative:page;mso-position-vertical-relative:paragraph;z-index:15908352" from="196.082993pt,7.134577pt" to="200.656993pt,7.134577pt" stroked="true" strokeweight=".5pt" strokecolor="#000000">
            <v:stroke dashstyle="solid"/>
            <w10:wrap type="none"/>
          </v:line>
        </w:pict>
      </w:r>
      <w:r>
        <w:rPr>
          <w:sz w:val="12"/>
        </w:rPr>
        <w:t>20</w:t>
      </w:r>
    </w:p>
    <w:p>
      <w:pPr>
        <w:tabs>
          <w:tab w:pos="948" w:val="left" w:leader="none"/>
          <w:tab w:pos="1362" w:val="left" w:leader="none"/>
          <w:tab w:pos="1775" w:val="left" w:leader="none"/>
          <w:tab w:pos="2189" w:val="left" w:leader="none"/>
          <w:tab w:pos="2603" w:val="left" w:leader="none"/>
          <w:tab w:pos="3017" w:val="left" w:leader="none"/>
        </w:tabs>
        <w:spacing w:line="115" w:lineRule="exact" w:before="0"/>
        <w:ind w:left="497" w:right="0" w:firstLine="0"/>
        <w:jc w:val="left"/>
        <w:rPr>
          <w:sz w:val="12"/>
        </w:rPr>
      </w:pPr>
      <w:r>
        <w:rPr>
          <w:sz w:val="12"/>
        </w:rPr>
        <w:t>1987</w:t>
        <w:tab/>
        <w:t>88</w:t>
        <w:tab/>
        <w:t>89</w:t>
        <w:tab/>
        <w:t>90</w:t>
        <w:tab/>
        <w:t>91</w:t>
        <w:tab/>
        <w:t>92</w:t>
        <w:tab/>
        <w:t>93</w:t>
      </w:r>
    </w:p>
    <w:p>
      <w:pPr>
        <w:tabs>
          <w:tab w:pos="1635" w:val="left" w:leader="none"/>
        </w:tabs>
        <w:spacing w:line="230" w:lineRule="exact" w:before="73"/>
        <w:ind w:left="262" w:right="0" w:firstLine="0"/>
        <w:jc w:val="left"/>
        <w:rPr>
          <w:sz w:val="12"/>
        </w:rPr>
      </w:pPr>
      <w:r>
        <w:rPr>
          <w:position w:val="7"/>
          <w:sz w:val="16"/>
        </w:rPr>
        <w:t>1998 slowdown</w:t>
        <w:tab/>
      </w:r>
      <w:r>
        <w:rPr>
          <w:sz w:val="12"/>
        </w:rPr>
        <w:t>Percentage changes on a year earlier</w:t>
      </w:r>
    </w:p>
    <w:p>
      <w:pPr>
        <w:spacing w:line="122" w:lineRule="exact" w:before="0"/>
        <w:ind w:left="3418" w:right="0" w:firstLine="0"/>
        <w:jc w:val="left"/>
        <w:rPr>
          <w:sz w:val="12"/>
        </w:rPr>
      </w:pPr>
      <w:r>
        <w:rPr/>
        <w:pict>
          <v:line style="position:absolute;mso-position-horizontal-relative:page;mso-position-vertical-relative:paragraph;z-index:15907840" from="45.123001pt,3.070058pt" to="49.697001pt,3.070058pt" stroked="true" strokeweight=".5pt" strokecolor="#000000">
            <v:stroke dashstyle="solid"/>
            <w10:wrap type="none"/>
          </v:line>
        </w:pict>
      </w:r>
      <w:r>
        <w:rPr/>
        <w:pict>
          <v:line style="position:absolute;mso-position-horizontal-relative:page;mso-position-vertical-relative:paragraph;z-index:15908864" from="196.082993pt,2.902058pt" to="200.656993pt,2.902058pt" stroked="true" strokeweight=".5pt" strokecolor="#000000">
            <v:stroke dashstyle="solid"/>
            <w10:wrap type="none"/>
          </v:line>
        </w:pict>
      </w:r>
      <w:r>
        <w:rPr>
          <w:sz w:val="12"/>
        </w:rPr>
        <w:t>20</w:t>
      </w:r>
    </w:p>
    <w:p>
      <w:pPr>
        <w:pStyle w:val="BodyText"/>
        <w:spacing w:before="10"/>
        <w:rPr>
          <w:sz w:val="16"/>
        </w:rPr>
      </w:pPr>
    </w:p>
    <w:p>
      <w:pPr>
        <w:spacing w:before="0"/>
        <w:ind w:left="3418" w:right="0" w:firstLine="0"/>
        <w:jc w:val="left"/>
        <w:rPr>
          <w:sz w:val="12"/>
        </w:rPr>
      </w:pPr>
      <w:r>
        <w:rPr/>
        <w:pict>
          <v:group style="position:absolute;margin-left:45.123001pt;margin-top:.730574pt;width:155.550pt;height:56.95pt;mso-position-horizontal-relative:page;mso-position-vertical-relative:paragraph;z-index:15907328" coordorigin="902,15" coordsize="3111,1139">
            <v:shape style="position:absolute;left:1045;top:24;width:2833;height:945" coordorigin="1045,25" coordsize="2833,945" path="m1045,584l1160,951,1291,794,1422,584,1553,462,1684,444,1815,794,1946,829,2077,951,2208,934,2322,776,2453,969,2584,776,2715,339,2846,654,2977,357,3108,741,3239,584,3370,234,3501,199,3616,25,3747,672,3878,951e" filled="false" stroked="true" strokeweight="1pt" strokecolor="#95459a">
              <v:path arrowok="t"/>
              <v:stroke dashstyle="solid"/>
            </v:shape>
            <v:shape style="position:absolute;left:1045;top:741;width:2833;height:298" coordorigin="1045,741" coordsize="2833,298" path="m1045,899l1160,1004,1291,1004,1422,934,1553,934,1684,864,1815,899,1946,969,2077,1004,2208,1004,2322,1021,2453,951,2584,846,2846,741,2977,759,3108,794,3239,846,3370,916,3501,916,3616,1039,3747,1004,3878,1021e" filled="false" stroked="true" strokeweight="1pt" strokecolor="#faab54">
              <v:path arrowok="t"/>
              <v:stroke dashstyle="solid"/>
            </v:shape>
            <v:shape style="position:absolute;left:1045;top:758;width:2833;height:228" coordorigin="1045,759" coordsize="2833,228" path="m1045,951l1160,899,1291,794,1422,881,1553,899,1684,969,1815,986,1946,881,2077,916,2208,881,2322,969,2453,951,2584,864,2715,951,2846,899,2977,916,3108,881,3239,776,3616,776,3747,811,3878,759e" filled="false" stroked="true" strokeweight="1pt" strokecolor="#008256">
              <v:path arrowok="t"/>
              <v:stroke dashstyle="solid"/>
            </v:shape>
            <v:shape style="position:absolute;left:902;top:73;width:3111;height:1076" coordorigin="902,74" coordsize="3111,1076" path="m3878,1148l1045,1148m3878,1148l3878,1103m3747,1148l3747,1103m3616,1148l3616,1073m3370,1148l3370,1103m3239,1148l3239,1103m3108,1066l3108,1149m2846,1148l2846,1103m2715,1148l2715,1103m2584,1148l2584,1087m2322,1148l2322,1103m2208,1148l2208,1103m2077,1148l2077,1081m1815,1148l1815,1103m1684,1148l1684,1103m1553,1148l1553,1072m1291,1148l1291,1103m1160,1148l1160,1103m1045,1148l1045,1064m1422,1108l1422,1148m1946,1108l1946,1148m2453,1108l2453,1148m2977,1108l2977,1148m3501,1108l3501,1148m902,1056l994,1056m902,741l994,741m902,409l994,409m902,77l994,77m3922,1053l4013,1053m3922,738l4013,738m3922,406l4013,406m3922,74l4013,74e" filled="false" stroked="true" strokeweight=".5pt" strokecolor="#000000">
              <v:path arrowok="t"/>
              <v:stroke dashstyle="solid"/>
            </v:shape>
            <w10:wrap type="none"/>
          </v:group>
        </w:pict>
      </w:r>
      <w:r>
        <w:rPr>
          <w:sz w:val="12"/>
        </w:rPr>
        <w:t>15</w:t>
      </w:r>
    </w:p>
    <w:p>
      <w:pPr>
        <w:pStyle w:val="BodyText"/>
        <w:spacing w:before="10"/>
        <w:rPr>
          <w:sz w:val="16"/>
        </w:rPr>
      </w:pPr>
    </w:p>
    <w:p>
      <w:pPr>
        <w:spacing w:before="0"/>
        <w:ind w:left="3418" w:right="0" w:firstLine="0"/>
        <w:jc w:val="left"/>
        <w:rPr>
          <w:sz w:val="12"/>
        </w:rPr>
      </w:pPr>
      <w:r>
        <w:rPr>
          <w:sz w:val="12"/>
        </w:rPr>
        <w:t>10</w:t>
      </w:r>
    </w:p>
    <w:p>
      <w:pPr>
        <w:pStyle w:val="BodyText"/>
        <w:spacing w:before="11"/>
        <w:rPr>
          <w:sz w:val="16"/>
        </w:rPr>
      </w:pPr>
    </w:p>
    <w:p>
      <w:pPr>
        <w:spacing w:before="0"/>
        <w:ind w:left="3477" w:right="0" w:firstLine="0"/>
        <w:jc w:val="left"/>
        <w:rPr>
          <w:sz w:val="12"/>
        </w:rPr>
      </w:pPr>
      <w:r>
        <w:rPr>
          <w:sz w:val="12"/>
        </w:rPr>
        <w:t>5</w:t>
      </w:r>
    </w:p>
    <w:p>
      <w:pPr>
        <w:pStyle w:val="BodyText"/>
        <w:spacing w:before="4"/>
        <w:rPr>
          <w:sz w:val="15"/>
        </w:rPr>
      </w:pPr>
    </w:p>
    <w:p>
      <w:pPr>
        <w:spacing w:before="0"/>
        <w:ind w:left="3477" w:right="0" w:firstLine="0"/>
        <w:jc w:val="left"/>
        <w:rPr>
          <w:sz w:val="12"/>
        </w:rPr>
      </w:pPr>
      <w:r>
        <w:rPr>
          <w:sz w:val="12"/>
        </w:rPr>
        <w:t>0</w:t>
      </w:r>
    </w:p>
    <w:p>
      <w:pPr>
        <w:tabs>
          <w:tab w:pos="1107" w:val="left" w:leader="none"/>
          <w:tab w:pos="1635" w:val="left" w:leader="none"/>
          <w:tab w:pos="2110" w:val="left" w:leader="none"/>
          <w:tab w:pos="2667" w:val="left" w:leader="none"/>
          <w:tab w:pos="3108" w:val="left" w:leader="none"/>
        </w:tabs>
        <w:spacing w:before="46"/>
        <w:ind w:left="531" w:right="0" w:firstLine="0"/>
        <w:jc w:val="left"/>
        <w:rPr>
          <w:sz w:val="12"/>
        </w:rPr>
      </w:pPr>
      <w:r>
        <w:rPr>
          <w:sz w:val="12"/>
        </w:rPr>
        <w:t>1993</w:t>
        <w:tab/>
        <w:t>94</w:t>
        <w:tab/>
        <w:t>95</w:t>
        <w:tab/>
        <w:t>96</w:t>
        <w:tab/>
        <w:t>97</w:t>
        <w:tab/>
        <w:t>98</w:t>
      </w:r>
    </w:p>
    <w:p>
      <w:pPr>
        <w:pStyle w:val="BodyText"/>
        <w:spacing w:before="8"/>
        <w:rPr>
          <w:sz w:val="13"/>
        </w:rPr>
      </w:pPr>
    </w:p>
    <w:p>
      <w:pPr>
        <w:pStyle w:val="Heading7"/>
        <w:spacing w:before="0"/>
        <w:ind w:left="204"/>
      </w:pPr>
      <w:r>
        <w:rPr>
          <w:color w:val="0093C1"/>
        </w:rPr>
        <w:t>Chart 2.11</w:t>
      </w:r>
    </w:p>
    <w:p>
      <w:pPr>
        <w:spacing w:before="10"/>
        <w:ind w:left="204" w:right="0" w:firstLine="0"/>
        <w:jc w:val="left"/>
        <w:rPr>
          <w:b/>
          <w:sz w:val="20"/>
        </w:rPr>
      </w:pPr>
      <w:r>
        <w:rPr>
          <w:b/>
          <w:color w:val="0093C1"/>
          <w:sz w:val="20"/>
        </w:rPr>
        <w:t>Windfalls and real consumption growth</w:t>
      </w:r>
    </w:p>
    <w:p>
      <w:pPr>
        <w:spacing w:line="242" w:lineRule="auto" w:before="207"/>
        <w:ind w:left="185" w:right="233" w:firstLine="0"/>
        <w:jc w:val="left"/>
        <w:rPr>
          <w:sz w:val="24"/>
        </w:rPr>
      </w:pPr>
      <w:r>
        <w:rPr/>
        <w:br w:type="column"/>
      </w:r>
      <w:r>
        <w:rPr>
          <w:color w:val="231F20"/>
          <w:sz w:val="24"/>
        </w:rPr>
        <w:t>There are a number of other possible reasons for the slowdown in household expenditure, but no single factor provides a convincing explanation. The first possibility is that concerns about future economic prospects adversely affected consumer confidence and</w:t>
      </w:r>
      <w:r>
        <w:rPr>
          <w:color w:val="231F20"/>
          <w:spacing w:val="-30"/>
          <w:sz w:val="24"/>
        </w:rPr>
        <w:t> </w:t>
      </w:r>
      <w:r>
        <w:rPr>
          <w:color w:val="231F20"/>
          <w:sz w:val="24"/>
        </w:rPr>
        <w:t>households’ employment expectations. This is likely to </w:t>
      </w:r>
      <w:r>
        <w:rPr>
          <w:color w:val="231F20"/>
          <w:spacing w:val="-3"/>
          <w:sz w:val="24"/>
        </w:rPr>
        <w:t>have </w:t>
      </w:r>
      <w:r>
        <w:rPr>
          <w:color w:val="231F20"/>
          <w:sz w:val="24"/>
        </w:rPr>
        <w:t>been associated with increased uncertainty about future income, and may </w:t>
      </w:r>
      <w:r>
        <w:rPr>
          <w:color w:val="231F20"/>
          <w:spacing w:val="-3"/>
          <w:sz w:val="24"/>
        </w:rPr>
        <w:t>have </w:t>
      </w:r>
      <w:r>
        <w:rPr>
          <w:color w:val="231F20"/>
          <w:sz w:val="24"/>
        </w:rPr>
        <w:t>led consumers to postpone expenditures on big-ticket items, thereby raising precautionary saving. But this explanation does not explain the weakness of spending on non-durable</w:t>
      </w:r>
      <w:r>
        <w:rPr>
          <w:color w:val="231F20"/>
          <w:spacing w:val="-4"/>
          <w:sz w:val="24"/>
        </w:rPr>
        <w:t> </w:t>
      </w:r>
      <w:r>
        <w:rPr>
          <w:color w:val="231F20"/>
          <w:sz w:val="24"/>
        </w:rPr>
        <w:t>goods.</w:t>
      </w:r>
    </w:p>
    <w:p>
      <w:pPr>
        <w:pStyle w:val="BodyText"/>
        <w:spacing w:before="6"/>
        <w:rPr>
          <w:sz w:val="25"/>
        </w:rPr>
      </w:pPr>
    </w:p>
    <w:p>
      <w:pPr>
        <w:spacing w:line="242" w:lineRule="auto" w:before="1"/>
        <w:ind w:left="185" w:right="237" w:firstLine="0"/>
        <w:jc w:val="left"/>
        <w:rPr>
          <w:sz w:val="24"/>
        </w:rPr>
      </w:pPr>
      <w:r>
        <w:rPr>
          <w:color w:val="231F20"/>
          <w:sz w:val="24"/>
        </w:rPr>
        <w:t>A second possibility is that fiscal tightening embodied </w:t>
      </w:r>
      <w:r>
        <w:rPr>
          <w:color w:val="231F20"/>
          <w:spacing w:val="-7"/>
          <w:sz w:val="24"/>
        </w:rPr>
        <w:t>in </w:t>
      </w:r>
      <w:r>
        <w:rPr>
          <w:color w:val="231F20"/>
          <w:sz w:val="24"/>
        </w:rPr>
        <w:t>recent tax changes affected consumption more than previously thought. Some evidence to support this can be found in Government revenue figures—in the first three quarters of 1998, income taxes were more than 14% higher than in the same period in 1997. This </w:t>
      </w:r>
      <w:r>
        <w:rPr>
          <w:color w:val="231F20"/>
          <w:spacing w:val="-4"/>
          <w:sz w:val="24"/>
        </w:rPr>
        <w:t>effect, </w:t>
      </w:r>
      <w:r>
        <w:rPr>
          <w:color w:val="231F20"/>
          <w:sz w:val="24"/>
        </w:rPr>
        <w:t>combined with a sharp fall in net property income (which includes equity dividends), produced a marked slowdown in the growth rate of real personal disposable income (see Chart 2.12).</w:t>
      </w:r>
    </w:p>
    <w:p>
      <w:pPr>
        <w:spacing w:after="0" w:line="242" w:lineRule="auto"/>
        <w:jc w:val="left"/>
        <w:rPr>
          <w:sz w:val="24"/>
        </w:rPr>
        <w:sectPr>
          <w:type w:val="continuous"/>
          <w:pgSz w:w="11900" w:h="16840"/>
          <w:pgMar w:top="1220" w:bottom="280" w:left="640" w:right="600"/>
          <w:cols w:num="2" w:equalWidth="0">
            <w:col w:w="3645" w:space="1124"/>
            <w:col w:w="5891"/>
          </w:cols>
        </w:sectPr>
      </w:pPr>
    </w:p>
    <w:p>
      <w:pPr>
        <w:spacing w:line="151" w:lineRule="auto" w:before="0"/>
        <w:ind w:left="196" w:right="0" w:firstLine="0"/>
        <w:jc w:val="left"/>
        <w:rPr>
          <w:sz w:val="12"/>
        </w:rPr>
      </w:pPr>
      <w:r>
        <w:rPr/>
        <w:pict>
          <v:line style="position:absolute;mso-position-horizontal-relative:page;mso-position-vertical-relative:paragraph;z-index:15915520" from="50.137001pt,6.935064pt" to="53.803001pt,6.935064pt" stroked="true" strokeweight=".5pt" strokecolor="#231f20">
            <v:stroke dashstyle="solid"/>
            <w10:wrap type="none"/>
          </v:line>
        </w:pict>
      </w:r>
      <w:r>
        <w:rPr>
          <w:color w:val="231F20"/>
          <w:position w:val="-6"/>
          <w:sz w:val="12"/>
        </w:rPr>
        <w:t>10 </w:t>
      </w:r>
      <w:r>
        <w:rPr>
          <w:color w:val="231F20"/>
          <w:sz w:val="12"/>
        </w:rPr>
        <w:t>Percentage changes on a quarter earlier</w:t>
      </w:r>
    </w:p>
    <w:p>
      <w:pPr>
        <w:pStyle w:val="BodyText"/>
        <w:spacing w:before="2"/>
        <w:rPr>
          <w:sz w:val="26"/>
        </w:rPr>
      </w:pPr>
    </w:p>
    <w:p>
      <w:pPr>
        <w:spacing w:before="0"/>
        <w:ind w:left="256" w:right="0" w:firstLine="0"/>
        <w:jc w:val="left"/>
        <w:rPr>
          <w:sz w:val="12"/>
        </w:rPr>
      </w:pPr>
      <w:r>
        <w:rPr/>
        <w:pict>
          <v:group style="position:absolute;margin-left:49.791pt;margin-top:-1.849731pt;width:164.1pt;height:133.75pt;mso-position-horizontal-relative:page;mso-position-vertical-relative:paragraph;z-index:15911424" coordorigin="996,-37" coordsize="3282,2675">
            <v:rect style="position:absolute;left:1996;top:2448;width:80;height:183" filled="true" fillcolor="#b5e1e1" stroked="false">
              <v:fill type="solid"/>
            </v:rect>
            <v:rect style="position:absolute;left:1996;top:2448;width:80;height:183" filled="false" stroked="true" strokeweight=".5pt" strokecolor="#231f20">
              <v:stroke dashstyle="solid"/>
            </v:rect>
            <v:rect style="position:absolute;left:2394;top:2508;width:83;height:123" filled="true" fillcolor="#b5e1e1" stroked="false">
              <v:fill type="solid"/>
            </v:rect>
            <v:rect style="position:absolute;left:2394;top:2508;width:83;height:123" filled="false" stroked="true" strokeweight=".5pt" strokecolor="#231f20">
              <v:stroke dashstyle="solid"/>
            </v:rect>
            <v:rect style="position:absolute;left:2791;top:2603;width:83;height:28" filled="true" fillcolor="#b5e1e1" stroked="false">
              <v:fill type="solid"/>
            </v:rect>
            <v:rect style="position:absolute;left:2791;top:2603;width:83;height:28" filled="false" stroked="true" strokeweight=".5pt" strokecolor="#231f20">
              <v:stroke dashstyle="solid"/>
            </v:rect>
            <v:rect style="position:absolute;left:2991;top:438;width:80;height:2193" filled="true" fillcolor="#b5e1e1" stroked="false">
              <v:fill type="solid"/>
            </v:rect>
            <v:rect style="position:absolute;left:2991;top:438;width:80;height:2193" filled="false" stroked="true" strokeweight=".5pt" strokecolor="#231f20">
              <v:stroke dashstyle="solid"/>
            </v:rect>
            <v:shape style="position:absolute;left:1239;top:1400;width:2790;height:380" coordorigin="1239,1401" coordsize="2790,380" path="m1239,1781l1437,1666,1637,1748,1837,1571,2037,1441,2234,1616,2434,1658,2634,1553,2832,1538,3032,1401,3229,1703,3432,1458,3629,1668,3829,1703,4029,1706e" filled="false" stroked="true" strokeweight="1pt" strokecolor="#0093c0">
              <v:path arrowok="t"/>
              <v:stroke dashstyle="solid"/>
            </v:shape>
            <v:rect style="position:absolute;left:3189;top:1913;width:83;height:718" filled="true" fillcolor="#b5e1e1" stroked="false">
              <v:fill type="solid"/>
            </v:rect>
            <v:rect style="position:absolute;left:3189;top:1913;width:83;height:718" filled="false" stroked="true" strokeweight=".5pt" strokecolor="#231f20">
              <v:stroke dashstyle="solid"/>
            </v:rect>
            <v:shape style="position:absolute;left:1239;top:-27;width:2590;height:2143" coordorigin="1239,-27" coordsize="2590,2143" path="m1239,1563l1437,1951,1637,1151,1837,2116,2037,936,2234,621,2434,2093,2634,1258,2832,1858,3032,-27,3229,1488,3432,918,3629,1603,3829,1868e" filled="false" stroked="true" strokeweight="1pt" strokecolor="#952e40">
              <v:path arrowok="t"/>
              <v:stroke dashstyle="solid"/>
            </v:shape>
            <v:line style="position:absolute" from="1119,1783" to="4117,1783" stroked="true" strokeweight=".5pt" strokecolor="#231f20">
              <v:stroke dashstyle="solid"/>
            </v:line>
            <v:shape style="position:absolute;left:1002;top:82;width:829;height:2551" coordorigin="1003,82" coordsize="829,2551" path="m1003,1355l1076,1355m1003,928l1076,928m1003,512l1076,512m1003,82l1076,82m1003,2633l1076,2633m1003,2202l1076,2202m1003,1788l1076,1788m1649,549l1831,1460e" filled="false" stroked="true" strokeweight=".5pt" strokecolor="#231f20">
              <v:path arrowok="t"/>
              <v:stroke dashstyle="solid"/>
            </v:shape>
            <v:shape style="position:absolute;left:1803;top:1438;width:50;height:88" coordorigin="1803,1438" coordsize="50,88" path="m1853,1438l1803,1448,1813,1462,1819,1473,1845,1526,1844,1517,1844,1507,1845,1494,1846,1481,1847,1469,1853,1438xe" filled="true" fillcolor="#231f20" stroked="false">
              <v:path arrowok="t"/>
              <v:fill type="solid"/>
            </v:shape>
            <v:rect style="position:absolute;left:3389;top:2458;width:83;height:173" filled="true" fillcolor="#b5e1e1" stroked="false">
              <v:fill type="solid"/>
            </v:rect>
            <v:shape style="position:absolute;left:1134;top:2458;width:2992;height:175" coordorigin="1134,2458" coordsize="2992,175" path="m3389,2458l3472,2458,3472,2631,3389,2631,3389,2458xm1139,2633l4126,2633m1134,2521l1134,2626m1934,2521l1934,2626m2729,2521l2729,2626m3529,2521l3529,2626m1334,2571l1334,2626m1534,2571l1534,2626m1734,2571l1734,2626m2139,2571l2139,2626m2329,2571l2329,2626m2534,2571l2534,2626m2929,2571l2929,2626m3129,2571l3129,2626m3324,2571l3324,2626m3724,2571l3724,2626m3929,2571l3929,2626e" filled="false" stroked="true" strokeweight=".5pt" strokecolor="#231f20">
              <v:path arrowok="t"/>
              <v:stroke dashstyle="solid"/>
            </v:shape>
            <v:line style="position:absolute" from="4204,2633" to="4277,2633" stroked="true" strokeweight=".5pt" strokecolor="#231f20">
              <v:stroke dashstyle="solid"/>
            </v:line>
            <v:line style="position:absolute" from="4129,2571" to="4129,2626" stroked="true" strokeweight=".5pt" strokecolor="#231f20">
              <v:stroke dashstyle="solid"/>
            </v:line>
            <v:shape style="position:absolute;left:1228;top:270;width:1259;height:253" type="#_x0000_t202" filled="false" stroked="false">
              <v:textbox inset="0,0,0,0">
                <w:txbxContent>
                  <w:p>
                    <w:pPr>
                      <w:spacing w:line="206" w:lineRule="auto" w:before="10"/>
                      <w:ind w:left="85" w:right="16" w:hanging="86"/>
                      <w:jc w:val="left"/>
                      <w:rPr>
                        <w:sz w:val="12"/>
                      </w:rPr>
                    </w:pPr>
                    <w:r>
                      <w:rPr>
                        <w:color w:val="231F20"/>
                        <w:sz w:val="12"/>
                      </w:rPr>
                      <w:t>Total consumption growth (left-hand scale)</w:t>
                    </w:r>
                  </w:p>
                </w:txbxContent>
              </v:textbox>
              <w10:wrap type="none"/>
            </v:shape>
            <v:shape style="position:absolute;left:3145;top:-15;width:873;height:493" type="#_x0000_t202" filled="false" stroked="false">
              <v:textbox inset="0,0,0,0">
                <w:txbxContent>
                  <w:p>
                    <w:pPr>
                      <w:spacing w:line="196" w:lineRule="auto" w:before="15"/>
                      <w:ind w:left="66" w:right="167" w:hanging="67"/>
                      <w:jc w:val="left"/>
                      <w:rPr>
                        <w:sz w:val="12"/>
                      </w:rPr>
                    </w:pPr>
                    <w:r>
                      <w:rPr>
                        <w:color w:val="231F20"/>
                        <w:sz w:val="12"/>
                      </w:rPr>
                      <w:t>Durables consumption growth</w:t>
                    </w:r>
                  </w:p>
                  <w:p>
                    <w:pPr>
                      <w:spacing w:line="137" w:lineRule="exact" w:before="0"/>
                      <w:ind w:left="69" w:right="0" w:firstLine="0"/>
                      <w:jc w:val="left"/>
                      <w:rPr>
                        <w:sz w:val="12"/>
                      </w:rPr>
                    </w:pPr>
                    <w:r>
                      <w:rPr>
                        <w:color w:val="231F20"/>
                        <w:sz w:val="12"/>
                      </w:rPr>
                      <w:t>(left-hand scale)</w:t>
                    </w:r>
                  </w:p>
                </w:txbxContent>
              </v:textbox>
              <w10:wrap type="none"/>
            </v:shape>
            <v:shape style="position:absolute;left:995;top:1442;width:111;height:618" type="#_x0000_t202" filled="false" stroked="false">
              <v:textbox inset="0,0,0,0">
                <w:txbxContent>
                  <w:p>
                    <w:pPr>
                      <w:spacing w:line="177" w:lineRule="exact" w:before="0"/>
                      <w:ind w:left="0" w:right="0" w:firstLine="0"/>
                      <w:jc w:val="left"/>
                      <w:rPr>
                        <w:sz w:val="16"/>
                      </w:rPr>
                    </w:pPr>
                    <w:r>
                      <w:rPr>
                        <w:color w:val="231F20"/>
                        <w:sz w:val="16"/>
                      </w:rPr>
                      <w:t>+</w:t>
                    </w:r>
                  </w:p>
                  <w:p>
                    <w:pPr>
                      <w:spacing w:line="240" w:lineRule="auto" w:before="3"/>
                      <w:rPr>
                        <w:sz w:val="22"/>
                      </w:rPr>
                    </w:pPr>
                  </w:p>
                  <w:p>
                    <w:pPr>
                      <w:spacing w:before="0"/>
                      <w:ind w:left="10" w:right="0" w:firstLine="0"/>
                      <w:jc w:val="left"/>
                      <w:rPr>
                        <w:sz w:val="16"/>
                      </w:rPr>
                    </w:pPr>
                    <w:r>
                      <w:rPr>
                        <w:color w:val="231F20"/>
                        <w:sz w:val="16"/>
                      </w:rPr>
                      <w:t>–</w:t>
                    </w:r>
                  </w:p>
                </w:txbxContent>
              </v:textbox>
              <w10:wrap type="none"/>
            </v:shape>
            <v:shape style="position:absolute;left:3326;top:2028;width:850;height:364" type="#_x0000_t202" filled="false" stroked="false">
              <v:textbox inset="0,0,0,0">
                <w:txbxContent>
                  <w:p>
                    <w:pPr>
                      <w:spacing w:line="201" w:lineRule="auto" w:before="13"/>
                      <w:ind w:left="84" w:right="18" w:hanging="85"/>
                      <w:jc w:val="left"/>
                      <w:rPr>
                        <w:sz w:val="12"/>
                      </w:rPr>
                    </w:pPr>
                    <w:r>
                      <w:rPr>
                        <w:color w:val="231F20"/>
                        <w:sz w:val="12"/>
                      </w:rPr>
                      <w:t>Windfall payouts (right-hand scale)</w:t>
                    </w:r>
                  </w:p>
                </w:txbxContent>
              </v:textbox>
              <w10:wrap type="none"/>
            </v:shape>
            <w10:wrap type="none"/>
          </v:group>
        </w:pict>
      </w:r>
      <w:r>
        <w:rPr>
          <w:color w:val="231F20"/>
          <w:sz w:val="12"/>
        </w:rPr>
        <w:t>8</w:t>
      </w:r>
    </w:p>
    <w:p>
      <w:pPr>
        <w:pStyle w:val="BodyText"/>
        <w:rPr>
          <w:sz w:val="12"/>
        </w:rPr>
      </w:pPr>
    </w:p>
    <w:p>
      <w:pPr>
        <w:pStyle w:val="BodyText"/>
        <w:spacing w:before="11"/>
        <w:rPr>
          <w:sz w:val="12"/>
        </w:rPr>
      </w:pPr>
    </w:p>
    <w:p>
      <w:pPr>
        <w:spacing w:before="0"/>
        <w:ind w:left="256" w:right="0" w:firstLine="0"/>
        <w:jc w:val="left"/>
        <w:rPr>
          <w:sz w:val="12"/>
        </w:rPr>
      </w:pPr>
      <w:r>
        <w:rPr>
          <w:color w:val="231F20"/>
          <w:sz w:val="12"/>
        </w:rPr>
        <w:t>6</w:t>
      </w:r>
    </w:p>
    <w:p>
      <w:pPr>
        <w:pStyle w:val="BodyText"/>
        <w:rPr>
          <w:sz w:val="12"/>
        </w:rPr>
      </w:pPr>
    </w:p>
    <w:p>
      <w:pPr>
        <w:pStyle w:val="BodyText"/>
        <w:spacing w:before="11"/>
        <w:rPr>
          <w:sz w:val="12"/>
        </w:rPr>
      </w:pPr>
    </w:p>
    <w:p>
      <w:pPr>
        <w:spacing w:before="0"/>
        <w:ind w:left="256" w:right="0" w:firstLine="0"/>
        <w:jc w:val="left"/>
        <w:rPr>
          <w:sz w:val="12"/>
        </w:rPr>
      </w:pPr>
      <w:r>
        <w:rPr>
          <w:color w:val="231F20"/>
          <w:sz w:val="12"/>
        </w:rPr>
        <w:t>4</w:t>
      </w:r>
    </w:p>
    <w:p>
      <w:pPr>
        <w:pStyle w:val="BodyText"/>
        <w:rPr>
          <w:sz w:val="12"/>
        </w:rPr>
      </w:pPr>
    </w:p>
    <w:p>
      <w:pPr>
        <w:pStyle w:val="BodyText"/>
        <w:spacing w:before="8"/>
        <w:rPr>
          <w:sz w:val="12"/>
        </w:rPr>
      </w:pPr>
    </w:p>
    <w:p>
      <w:pPr>
        <w:spacing w:before="1"/>
        <w:ind w:left="256" w:right="0" w:firstLine="0"/>
        <w:jc w:val="left"/>
        <w:rPr>
          <w:sz w:val="12"/>
        </w:rPr>
      </w:pPr>
      <w:r>
        <w:rPr>
          <w:color w:val="231F20"/>
          <w:sz w:val="12"/>
        </w:rPr>
        <w:t>2</w:t>
      </w:r>
    </w:p>
    <w:p>
      <w:pPr>
        <w:pStyle w:val="BodyText"/>
        <w:rPr>
          <w:sz w:val="12"/>
        </w:rPr>
      </w:pPr>
    </w:p>
    <w:p>
      <w:pPr>
        <w:pStyle w:val="BodyText"/>
        <w:spacing w:before="10"/>
        <w:rPr>
          <w:sz w:val="12"/>
        </w:rPr>
      </w:pPr>
    </w:p>
    <w:p>
      <w:pPr>
        <w:spacing w:before="1"/>
        <w:ind w:left="256" w:right="0" w:firstLine="0"/>
        <w:jc w:val="left"/>
        <w:rPr>
          <w:sz w:val="12"/>
        </w:rPr>
      </w:pPr>
      <w:r>
        <w:rPr>
          <w:color w:val="231F20"/>
          <w:sz w:val="12"/>
        </w:rPr>
        <w:t>0</w:t>
      </w:r>
    </w:p>
    <w:p>
      <w:pPr>
        <w:pStyle w:val="BodyText"/>
        <w:rPr>
          <w:sz w:val="12"/>
        </w:rPr>
      </w:pPr>
    </w:p>
    <w:p>
      <w:pPr>
        <w:pStyle w:val="BodyText"/>
        <w:spacing w:before="10"/>
        <w:rPr>
          <w:sz w:val="12"/>
        </w:rPr>
      </w:pPr>
    </w:p>
    <w:p>
      <w:pPr>
        <w:spacing w:before="1"/>
        <w:ind w:left="256" w:right="0" w:firstLine="0"/>
        <w:jc w:val="left"/>
        <w:rPr>
          <w:sz w:val="12"/>
        </w:rPr>
      </w:pPr>
      <w:r>
        <w:rPr>
          <w:color w:val="231F20"/>
          <w:sz w:val="12"/>
        </w:rPr>
        <w:t>2</w:t>
      </w:r>
    </w:p>
    <w:p>
      <w:pPr>
        <w:pStyle w:val="BodyText"/>
        <w:rPr>
          <w:sz w:val="12"/>
        </w:rPr>
      </w:pPr>
    </w:p>
    <w:p>
      <w:pPr>
        <w:pStyle w:val="BodyText"/>
        <w:spacing w:before="10"/>
        <w:rPr>
          <w:sz w:val="12"/>
        </w:rPr>
      </w:pPr>
    </w:p>
    <w:p>
      <w:pPr>
        <w:spacing w:line="97" w:lineRule="exact" w:before="1"/>
        <w:ind w:left="256" w:right="0" w:firstLine="0"/>
        <w:jc w:val="left"/>
        <w:rPr>
          <w:sz w:val="12"/>
        </w:rPr>
      </w:pPr>
      <w:r>
        <w:rPr>
          <w:color w:val="231F20"/>
          <w:sz w:val="12"/>
        </w:rPr>
        <w:t>4</w:t>
      </w:r>
    </w:p>
    <w:p>
      <w:pPr>
        <w:spacing w:line="151" w:lineRule="auto" w:before="0"/>
        <w:ind w:left="196" w:right="0" w:firstLine="0"/>
        <w:jc w:val="left"/>
        <w:rPr>
          <w:sz w:val="12"/>
        </w:rPr>
      </w:pPr>
      <w:r>
        <w:rPr/>
        <w:br w:type="column"/>
      </w:r>
      <w:r>
        <w:rPr>
          <w:color w:val="231F20"/>
          <w:sz w:val="12"/>
        </w:rPr>
        <w:t>£ billions</w:t>
      </w:r>
      <w:r>
        <w:rPr>
          <w:color w:val="231F20"/>
          <w:spacing w:val="18"/>
          <w:sz w:val="12"/>
        </w:rPr>
        <w:t> </w:t>
      </w:r>
      <w:r>
        <w:rPr>
          <w:color w:val="231F20"/>
          <w:position w:val="-8"/>
          <w:sz w:val="12"/>
        </w:rPr>
        <w:t>35</w:t>
      </w:r>
    </w:p>
    <w:p>
      <w:pPr>
        <w:pStyle w:val="BodyText"/>
        <w:spacing w:before="6"/>
        <w:rPr>
          <w:sz w:val="25"/>
        </w:rPr>
      </w:pPr>
    </w:p>
    <w:p>
      <w:pPr>
        <w:spacing w:before="0"/>
        <w:ind w:left="0" w:right="38" w:firstLine="0"/>
        <w:jc w:val="right"/>
        <w:rPr>
          <w:sz w:val="12"/>
        </w:rPr>
      </w:pPr>
      <w:r>
        <w:rPr/>
        <w:pict>
          <v:line style="position:absolute;mso-position-horizontal-relative:page;mso-position-vertical-relative:paragraph;z-index:15911936" from="210.177994pt,-17.87595pt" to="213.844994pt,-17.87595pt" stroked="true" strokeweight=".5pt" strokecolor="#231f20">
            <v:stroke dashstyle="solid"/>
            <w10:wrap type="none"/>
          </v:line>
        </w:pict>
      </w:r>
      <w:r>
        <w:rPr/>
        <w:pict>
          <v:line style="position:absolute;mso-position-horizontal-relative:page;mso-position-vertical-relative:paragraph;z-index:15913984" from="210.177994pt,3.47805pt" to="213.844994pt,3.47805pt" stroked="true" strokeweight=".5pt" strokecolor="#231f20">
            <v:stroke dashstyle="solid"/>
            <w10:wrap type="none"/>
          </v:line>
        </w:pict>
      </w:r>
      <w:r>
        <w:rPr>
          <w:color w:val="231F20"/>
          <w:sz w:val="12"/>
        </w:rPr>
        <w:t>30</w:t>
      </w:r>
    </w:p>
    <w:p>
      <w:pPr>
        <w:pStyle w:val="BodyText"/>
        <w:rPr>
          <w:sz w:val="12"/>
        </w:rPr>
      </w:pPr>
    </w:p>
    <w:p>
      <w:pPr>
        <w:pStyle w:val="BodyText"/>
        <w:spacing w:before="11"/>
        <w:rPr>
          <w:sz w:val="12"/>
        </w:rPr>
      </w:pPr>
    </w:p>
    <w:p>
      <w:pPr>
        <w:spacing w:before="0"/>
        <w:ind w:left="0" w:right="38" w:firstLine="0"/>
        <w:jc w:val="right"/>
        <w:rPr>
          <w:sz w:val="12"/>
        </w:rPr>
      </w:pPr>
      <w:r>
        <w:rPr/>
        <w:pict>
          <v:line style="position:absolute;mso-position-horizontal-relative:page;mso-position-vertical-relative:paragraph;z-index:15913472" from="210.177994pt,3.707867pt" to="213.844994pt,3.707867pt" stroked="true" strokeweight=".5pt" strokecolor="#231f20">
            <v:stroke dashstyle="solid"/>
            <w10:wrap type="none"/>
          </v:line>
        </w:pict>
      </w:r>
      <w:r>
        <w:rPr>
          <w:color w:val="231F20"/>
          <w:sz w:val="12"/>
        </w:rPr>
        <w:t>25</w:t>
      </w:r>
    </w:p>
    <w:p>
      <w:pPr>
        <w:pStyle w:val="BodyText"/>
        <w:rPr>
          <w:sz w:val="12"/>
        </w:rPr>
      </w:pPr>
    </w:p>
    <w:p>
      <w:pPr>
        <w:pStyle w:val="BodyText"/>
        <w:spacing w:before="5"/>
        <w:rPr>
          <w:sz w:val="14"/>
        </w:rPr>
      </w:pPr>
    </w:p>
    <w:p>
      <w:pPr>
        <w:spacing w:before="0"/>
        <w:ind w:left="0" w:right="38" w:firstLine="0"/>
        <w:jc w:val="right"/>
        <w:rPr>
          <w:sz w:val="12"/>
        </w:rPr>
      </w:pPr>
      <w:r>
        <w:rPr/>
        <w:pict>
          <v:line style="position:absolute;mso-position-horizontal-relative:page;mso-position-vertical-relative:paragraph;z-index:15912960" from="210.177994pt,2.455570pt" to="213.844994pt,2.455570pt" stroked="true" strokeweight=".5pt" strokecolor="#231f20">
            <v:stroke dashstyle="solid"/>
            <w10:wrap type="none"/>
          </v:line>
        </w:pict>
      </w:r>
      <w:r>
        <w:rPr>
          <w:color w:val="231F20"/>
          <w:sz w:val="12"/>
        </w:rPr>
        <w:t>20</w:t>
      </w:r>
    </w:p>
    <w:p>
      <w:pPr>
        <w:pStyle w:val="BodyText"/>
        <w:rPr>
          <w:sz w:val="12"/>
        </w:rPr>
      </w:pPr>
    </w:p>
    <w:p>
      <w:pPr>
        <w:pStyle w:val="BodyText"/>
        <w:spacing w:before="3"/>
        <w:rPr>
          <w:sz w:val="11"/>
        </w:rPr>
      </w:pPr>
    </w:p>
    <w:p>
      <w:pPr>
        <w:spacing w:before="0"/>
        <w:ind w:left="0" w:right="38" w:firstLine="0"/>
        <w:jc w:val="right"/>
        <w:rPr>
          <w:sz w:val="12"/>
        </w:rPr>
      </w:pPr>
      <w:r>
        <w:rPr/>
        <w:pict>
          <v:line style="position:absolute;mso-position-horizontal-relative:page;mso-position-vertical-relative:paragraph;z-index:15912448" from="210.177994pt,3.498867pt" to="213.844994pt,3.498867pt" stroked="true" strokeweight=".5pt" strokecolor="#231f20">
            <v:stroke dashstyle="solid"/>
            <w10:wrap type="none"/>
          </v:line>
        </w:pict>
      </w:r>
      <w:r>
        <w:rPr>
          <w:color w:val="231F20"/>
          <w:sz w:val="12"/>
        </w:rPr>
        <w:t>15</w:t>
      </w:r>
    </w:p>
    <w:p>
      <w:pPr>
        <w:pStyle w:val="BodyText"/>
        <w:rPr>
          <w:sz w:val="12"/>
        </w:rPr>
      </w:pPr>
    </w:p>
    <w:p>
      <w:pPr>
        <w:pStyle w:val="BodyText"/>
        <w:rPr>
          <w:sz w:val="13"/>
        </w:rPr>
      </w:pPr>
    </w:p>
    <w:p>
      <w:pPr>
        <w:spacing w:before="0"/>
        <w:ind w:left="0" w:right="38" w:firstLine="0"/>
        <w:jc w:val="right"/>
        <w:rPr>
          <w:sz w:val="12"/>
        </w:rPr>
      </w:pPr>
      <w:r>
        <w:rPr/>
        <w:pict>
          <v:line style="position:absolute;mso-position-horizontal-relative:page;mso-position-vertical-relative:paragraph;z-index:15915008" from="210.177994pt,3.915073pt" to="213.844994pt,3.915073pt" stroked="true" strokeweight=".5pt" strokecolor="#231f20">
            <v:stroke dashstyle="solid"/>
            <w10:wrap type="none"/>
          </v:line>
        </w:pict>
      </w:r>
      <w:r>
        <w:rPr>
          <w:color w:val="231F20"/>
          <w:sz w:val="12"/>
        </w:rPr>
        <w:t>10</w:t>
      </w:r>
    </w:p>
    <w:p>
      <w:pPr>
        <w:pStyle w:val="BodyText"/>
        <w:rPr>
          <w:sz w:val="12"/>
        </w:rPr>
      </w:pPr>
    </w:p>
    <w:p>
      <w:pPr>
        <w:pStyle w:val="BodyText"/>
        <w:spacing w:before="11"/>
        <w:rPr>
          <w:sz w:val="12"/>
        </w:rPr>
      </w:pPr>
    </w:p>
    <w:p>
      <w:pPr>
        <w:spacing w:before="0"/>
        <w:ind w:left="0" w:right="38" w:firstLine="0"/>
        <w:jc w:val="right"/>
        <w:rPr>
          <w:sz w:val="12"/>
        </w:rPr>
      </w:pPr>
      <w:r>
        <w:rPr/>
        <w:pict>
          <v:line style="position:absolute;mso-position-horizontal-relative:page;mso-position-vertical-relative:paragraph;z-index:15914496" from="210.177994pt,3.351768pt" to="213.844994pt,3.351768pt" stroked="true" strokeweight=".5pt" strokecolor="#231f20">
            <v:stroke dashstyle="solid"/>
            <w10:wrap type="none"/>
          </v:line>
        </w:pict>
      </w:r>
      <w:r>
        <w:rPr>
          <w:color w:val="231F20"/>
          <w:sz w:val="12"/>
        </w:rPr>
        <w:t>5</w:t>
      </w:r>
    </w:p>
    <w:p>
      <w:pPr>
        <w:pStyle w:val="BodyText"/>
        <w:rPr>
          <w:sz w:val="12"/>
        </w:rPr>
      </w:pPr>
    </w:p>
    <w:p>
      <w:pPr>
        <w:pStyle w:val="BodyText"/>
        <w:spacing w:before="11"/>
        <w:rPr>
          <w:sz w:val="12"/>
        </w:rPr>
      </w:pPr>
    </w:p>
    <w:p>
      <w:pPr>
        <w:spacing w:line="85" w:lineRule="exact" w:before="0"/>
        <w:ind w:left="0" w:right="38" w:firstLine="0"/>
        <w:jc w:val="right"/>
        <w:rPr>
          <w:sz w:val="12"/>
        </w:rPr>
      </w:pPr>
      <w:r>
        <w:rPr>
          <w:color w:val="231F20"/>
          <w:sz w:val="12"/>
        </w:rPr>
        <w:t>0</w:t>
      </w:r>
    </w:p>
    <w:p>
      <w:pPr>
        <w:pStyle w:val="BodyText"/>
        <w:spacing w:before="5"/>
        <w:rPr>
          <w:sz w:val="25"/>
        </w:rPr>
      </w:pPr>
      <w:r>
        <w:rPr/>
        <w:br w:type="column"/>
      </w:r>
      <w:r>
        <w:rPr>
          <w:sz w:val="25"/>
        </w:rPr>
      </w:r>
    </w:p>
    <w:p>
      <w:pPr>
        <w:pStyle w:val="Heading4"/>
        <w:spacing w:line="242" w:lineRule="auto"/>
        <w:ind w:left="196" w:right="247"/>
      </w:pPr>
      <w:r>
        <w:rPr>
          <w:color w:val="231F20"/>
        </w:rPr>
        <w:t>In its previous projections for the public finances, the MPC took as its central case the effective tax rates embodied in the Chancellor’s Budget statements. </w:t>
      </w:r>
      <w:r>
        <w:rPr>
          <w:color w:val="231F20"/>
          <w:spacing w:val="-4"/>
        </w:rPr>
        <w:t>These </w:t>
      </w:r>
      <w:r>
        <w:rPr>
          <w:color w:val="231F20"/>
        </w:rPr>
        <w:t>incorporated estimates of the effects of the July 1997 Budget changes on dividend tax credits, which led to significant increases in net income tax receipts. They also made allowance for the introduction of the new system of Self Assessment (SA) for income tax.</w:t>
      </w:r>
    </w:p>
    <w:p>
      <w:pPr>
        <w:spacing w:line="242" w:lineRule="auto" w:before="10"/>
        <w:ind w:left="196" w:right="247" w:firstLine="0"/>
        <w:jc w:val="left"/>
        <w:rPr>
          <w:sz w:val="24"/>
        </w:rPr>
      </w:pPr>
      <w:r>
        <w:rPr>
          <w:color w:val="231F20"/>
          <w:spacing w:val="-4"/>
          <w:sz w:val="24"/>
        </w:rPr>
        <w:t>However, </w:t>
      </w:r>
      <w:r>
        <w:rPr>
          <w:color w:val="231F20"/>
          <w:sz w:val="24"/>
        </w:rPr>
        <w:t>since there were no changes in personal </w:t>
      </w:r>
      <w:r>
        <w:rPr>
          <w:color w:val="231F20"/>
          <w:spacing w:val="-6"/>
          <w:sz w:val="24"/>
        </w:rPr>
        <w:t>tax </w:t>
      </w:r>
      <w:r>
        <w:rPr>
          <w:color w:val="231F20"/>
          <w:sz w:val="24"/>
        </w:rPr>
        <w:t>rates accompanying the introduction of SA,</w:t>
      </w:r>
      <w:r>
        <w:rPr>
          <w:color w:val="231F20"/>
          <w:spacing w:val="-2"/>
          <w:sz w:val="24"/>
        </w:rPr>
        <w:t> </w:t>
      </w:r>
      <w:r>
        <w:rPr>
          <w:color w:val="231F20"/>
          <w:sz w:val="24"/>
        </w:rPr>
        <w:t>HM</w:t>
      </w:r>
    </w:p>
    <w:p>
      <w:pPr>
        <w:spacing w:after="0" w:line="242" w:lineRule="auto"/>
        <w:jc w:val="left"/>
        <w:rPr>
          <w:sz w:val="24"/>
        </w:rPr>
        <w:sectPr>
          <w:type w:val="continuous"/>
          <w:pgSz w:w="11900" w:h="16840"/>
          <w:pgMar w:top="1220" w:bottom="280" w:left="640" w:right="600"/>
          <w:cols w:num="3" w:equalWidth="0">
            <w:col w:w="2269" w:space="723"/>
            <w:col w:w="855" w:space="911"/>
            <w:col w:w="5902"/>
          </w:cols>
        </w:sectPr>
      </w:pPr>
    </w:p>
    <w:p>
      <w:pPr>
        <w:tabs>
          <w:tab w:pos="1651" w:val="left" w:leader="none"/>
          <w:tab w:pos="2446" w:val="left" w:leader="none"/>
          <w:tab w:pos="3147" w:val="left" w:leader="none"/>
        </w:tabs>
        <w:spacing w:before="25"/>
        <w:ind w:left="776" w:right="0" w:firstLine="0"/>
        <w:jc w:val="left"/>
        <w:rPr>
          <w:sz w:val="12"/>
        </w:rPr>
      </w:pPr>
      <w:r>
        <w:rPr>
          <w:color w:val="231F20"/>
          <w:sz w:val="12"/>
        </w:rPr>
        <w:t>1995</w:t>
        <w:tab/>
        <w:t>96</w:t>
        <w:tab/>
        <w:t>97</w:t>
        <w:tab/>
        <w:t>98</w:t>
      </w:r>
    </w:p>
    <w:p>
      <w:pPr>
        <w:pStyle w:val="BodyText"/>
        <w:rPr>
          <w:sz w:val="12"/>
        </w:rPr>
      </w:pPr>
    </w:p>
    <w:p>
      <w:pPr>
        <w:pStyle w:val="BodyText"/>
        <w:spacing w:before="9"/>
        <w:rPr>
          <w:sz w:val="9"/>
        </w:rPr>
      </w:pPr>
    </w:p>
    <w:p>
      <w:pPr>
        <w:pStyle w:val="Heading7"/>
        <w:spacing w:before="0"/>
        <w:ind w:left="205"/>
      </w:pPr>
      <w:r>
        <w:rPr>
          <w:color w:val="0093C1"/>
        </w:rPr>
        <w:t>Chart 2.12</w:t>
      </w:r>
    </w:p>
    <w:p>
      <w:pPr>
        <w:spacing w:line="249" w:lineRule="auto" w:before="10"/>
        <w:ind w:left="205" w:right="359" w:firstLine="0"/>
        <w:jc w:val="left"/>
        <w:rPr>
          <w:b/>
          <w:sz w:val="20"/>
        </w:rPr>
      </w:pPr>
      <w:r>
        <w:rPr>
          <w:b/>
          <w:color w:val="0093C1"/>
          <w:sz w:val="20"/>
        </w:rPr>
        <w:t>Real personal disposable income and household consumption growth</w:t>
      </w:r>
    </w:p>
    <w:p>
      <w:pPr>
        <w:spacing w:before="183"/>
        <w:ind w:left="1783" w:right="0" w:firstLine="0"/>
        <w:jc w:val="left"/>
        <w:rPr>
          <w:sz w:val="12"/>
        </w:rPr>
      </w:pPr>
      <w:r>
        <w:rPr/>
        <w:pict>
          <v:line style="position:absolute;mso-position-horizontal-relative:page;mso-position-vertical-relative:paragraph;z-index:15922176" from="45.431999pt,17.37056pt" to="49.487999pt,17.37056pt" stroked="true" strokeweight=".5pt" strokecolor="#000000">
            <v:stroke dashstyle="solid"/>
            <w10:wrap type="none"/>
          </v:line>
        </w:pict>
      </w:r>
      <w:r>
        <w:rPr>
          <w:sz w:val="12"/>
        </w:rPr>
        <w:t>Percentage changes on a year earli</w:t>
      </w:r>
      <w:r>
        <w:rPr>
          <w:sz w:val="12"/>
          <w:u w:val="single"/>
        </w:rPr>
        <w:t>er</w:t>
      </w:r>
      <w:r>
        <w:rPr>
          <w:sz w:val="12"/>
        </w:rPr>
        <w:t> </w:t>
      </w:r>
      <w:r>
        <w:rPr>
          <w:position w:val="-8"/>
          <w:sz w:val="12"/>
        </w:rPr>
        <w:t>6</w:t>
      </w:r>
    </w:p>
    <w:p>
      <w:pPr>
        <w:spacing w:before="188"/>
        <w:ind w:left="0" w:right="38" w:firstLine="0"/>
        <w:jc w:val="right"/>
        <w:rPr>
          <w:sz w:val="12"/>
        </w:rPr>
      </w:pPr>
      <w:r>
        <w:rPr/>
        <w:pict>
          <v:group style="position:absolute;margin-left:45.431999pt;margin-top:8.147769pt;width:155.6pt;height:138.7pt;mso-position-horizontal-relative:page;mso-position-vertical-relative:paragraph;z-index:15917056" coordorigin="909,163" coordsize="3112,2774">
            <v:shape style="position:absolute;left:1049;top:172;width:2961;height:1656" coordorigin="1049,173" coordsize="2961,1656" path="m1049,203l1132,218,1215,1061,1314,1257,1397,1151,1479,1723,1579,1227,1661,1633,1744,1588,1827,173,1926,670,2009,384,2091,670,2174,1046,2273,1227,2356,775,2439,1061,2522,1829,2621,1513,2703,1618,2786,941,2869,911,2968,1076,3051,1302,3134,1347,3233,971,3315,1332,3398,1181,3481,1076,3580,594,3663,549,3746,670,3828,1753,3928,1738,4010,1708e" filled="false" stroked="true" strokeweight="1pt" strokecolor="#952e40">
              <v:path arrowok="t"/>
              <v:stroke dashstyle="solid"/>
            </v:shape>
            <v:shape style="position:absolute;left:1049;top:519;width:2961;height:2334" coordorigin="1049,519" coordsize="2961,2334" path="m1049,1528l1132,1498,1215,1753,1314,2205,1397,2280,1479,2852,1579,2491,1661,2521,1744,2521,1827,1693,1926,1603,2009,1347,2091,1061,2174,1392,2273,1046,2356,971,2439,911,2522,880,2621,1197,2703,1136,2786,1392,2869,1317,2968,1467,3051,1392,3134,850,3233,760,3315,609,3398,579,3481,760,3580,564,3663,564,3746,519,3828,715,3928,1001,4010,1076e" filled="false" stroked="true" strokeweight="1pt" strokecolor="#ac6e90">
              <v:path arrowok="t"/>
              <v:stroke dashstyle="solid"/>
            </v:shape>
            <v:shape style="position:absolute;left:1050;top:2849;width:2961;height:79" coordorigin="1050,2849" coordsize="2961,79" path="m4010,2928l1050,2928m4003,2928l4003,2886m3916,2928l3916,2886m3742,2928l3742,2886m3655,2928l3655,2886m3568,2928l3568,2886m3395,2928l3395,2886m3308,2928l3308,2886m3221,2928l3221,2886m3047,2928l3047,2886m2960,2928l2960,2886m2874,2928l2874,2886m2700,2928l2700,2886m2613,2928l2613,2886m2526,2928l2526,2886m2353,2928l2353,2886m2266,2928l2266,2886m2179,2928l2179,2886m2005,2928l2005,2886m1918,2928l1918,2886m1832,2928l1832,2886m1658,2928l1658,2886m1571,2928l1571,2886m1484,2928l1484,2886m1311,2928l1311,2886m1224,2928l1224,2886m1137,2928l1137,2886m1050,2849l1050,2928m1397,2849l1397,2928m1745,2849l1745,2928m2092,2849l2092,2928m2439,2849l2439,2928m2787,2849l2787,2928e" filled="false" stroked="true" strokeweight=".5pt" strokecolor="#000000">
              <v:path arrowok="t"/>
              <v:stroke dashstyle="solid"/>
            </v:shape>
            <v:line style="position:absolute" from="3134,2849" to="3134,2928" stroked="true" strokeweight=".501pt" strokecolor="#000000">
              <v:stroke dashstyle="solid"/>
            </v:line>
            <v:shape style="position:absolute;left:908;top:267;width:3052;height:2665" coordorigin="909,267" coordsize="3052,2665" path="m3482,2849l3482,2928m3829,2849l3829,2928m1000,1934l3961,1934m909,2931l990,2931m909,2600l990,2600m909,2269l990,2269m909,1938l990,1938m909,1607l990,1607m909,1276l990,1276m909,944l990,944m909,598l990,598m909,267l990,267e" filled="false" stroked="true" strokeweight=".5pt" strokecolor="#000000">
              <v:path arrowok="t"/>
              <v:stroke dashstyle="solid"/>
            </v:shape>
            <v:shape style="position:absolute;left:1918;top:188;width:294;height:133" type="#_x0000_t202" filled="false" stroked="false">
              <v:textbox inset="0,0,0,0">
                <w:txbxContent>
                  <w:p>
                    <w:pPr>
                      <w:spacing w:line="133" w:lineRule="exact" w:before="0"/>
                      <w:ind w:left="0" w:right="0" w:firstLine="0"/>
                      <w:jc w:val="left"/>
                      <w:rPr>
                        <w:sz w:val="12"/>
                      </w:rPr>
                    </w:pPr>
                    <w:r>
                      <w:rPr>
                        <w:sz w:val="12"/>
                      </w:rPr>
                      <w:t>RPDI</w:t>
                    </w:r>
                  </w:p>
                </w:txbxContent>
              </v:textbox>
              <w10:wrap type="none"/>
            </v:shape>
            <v:shape style="position:absolute;left:1818;top:2234;width:667;height:133" type="#_x0000_t202" filled="false" stroked="false">
              <v:textbox inset="0,0,0,0">
                <w:txbxContent>
                  <w:p>
                    <w:pPr>
                      <w:spacing w:line="133" w:lineRule="exact" w:before="0"/>
                      <w:ind w:left="0" w:right="0" w:firstLine="0"/>
                      <w:jc w:val="left"/>
                      <w:rPr>
                        <w:sz w:val="12"/>
                      </w:rPr>
                    </w:pPr>
                    <w:r>
                      <w:rPr>
                        <w:color w:val="231F20"/>
                        <w:sz w:val="12"/>
                      </w:rPr>
                      <w:t>Consumption</w:t>
                    </w:r>
                  </w:p>
                </w:txbxContent>
              </v:textbox>
              <w10:wrap type="none"/>
            </v:shape>
            <w10:wrap type="none"/>
          </v:group>
        </w:pict>
      </w:r>
      <w:r>
        <w:rPr/>
        <w:pict>
          <v:line style="position:absolute;mso-position-horizontal-relative:page;mso-position-vertical-relative:paragraph;z-index:15921664" from="204.576996pt,13.163769pt" to="208.632996pt,13.163769pt" stroked="true" strokeweight=".5pt" strokecolor="#000000">
            <v:stroke dashstyle="solid"/>
            <w10:wrap type="none"/>
          </v:line>
        </w:pict>
      </w:r>
      <w:r>
        <w:rPr>
          <w:sz w:val="12"/>
        </w:rPr>
        <w:t>5</w:t>
      </w:r>
    </w:p>
    <w:p>
      <w:pPr>
        <w:pStyle w:val="BodyText"/>
        <w:spacing w:before="9"/>
        <w:rPr>
          <w:sz w:val="16"/>
        </w:rPr>
      </w:pPr>
    </w:p>
    <w:p>
      <w:pPr>
        <w:spacing w:before="0"/>
        <w:ind w:left="0" w:right="38" w:firstLine="0"/>
        <w:jc w:val="right"/>
        <w:rPr>
          <w:sz w:val="12"/>
        </w:rPr>
      </w:pPr>
      <w:r>
        <w:rPr/>
        <w:pict>
          <v:line style="position:absolute;mso-position-horizontal-relative:page;mso-position-vertical-relative:paragraph;z-index:15921152" from="204.576996pt,3.763167pt" to="208.632996pt,3.763167pt" stroked="true" strokeweight=".5pt" strokecolor="#000000">
            <v:stroke dashstyle="solid"/>
            <w10:wrap type="none"/>
          </v:line>
        </w:pict>
      </w:r>
      <w:r>
        <w:rPr>
          <w:sz w:val="12"/>
        </w:rPr>
        <w:t>4</w:t>
      </w:r>
    </w:p>
    <w:p>
      <w:pPr>
        <w:pStyle w:val="BodyText"/>
        <w:rPr>
          <w:sz w:val="12"/>
        </w:rPr>
      </w:pPr>
    </w:p>
    <w:p>
      <w:pPr>
        <w:spacing w:before="71"/>
        <w:ind w:left="0" w:right="38" w:firstLine="0"/>
        <w:jc w:val="right"/>
        <w:rPr>
          <w:sz w:val="12"/>
        </w:rPr>
      </w:pPr>
      <w:r>
        <w:rPr/>
        <w:pict>
          <v:line style="position:absolute;mso-position-horizontal-relative:page;mso-position-vertical-relative:paragraph;z-index:15920640" from="204.576996pt,7.313169pt" to="208.632996pt,7.313169pt" stroked="true" strokeweight=".5pt" strokecolor="#000000">
            <v:stroke dashstyle="solid"/>
            <w10:wrap type="none"/>
          </v:line>
        </w:pict>
      </w:r>
      <w:r>
        <w:rPr>
          <w:sz w:val="12"/>
        </w:rPr>
        <w:t>3</w:t>
      </w:r>
    </w:p>
    <w:p>
      <w:pPr>
        <w:pStyle w:val="BodyText"/>
        <w:spacing w:before="9"/>
        <w:rPr>
          <w:sz w:val="16"/>
        </w:rPr>
      </w:pPr>
    </w:p>
    <w:p>
      <w:pPr>
        <w:spacing w:before="0"/>
        <w:ind w:left="0" w:right="38" w:firstLine="0"/>
        <w:jc w:val="right"/>
        <w:rPr>
          <w:sz w:val="12"/>
        </w:rPr>
      </w:pPr>
      <w:r>
        <w:rPr/>
        <w:pict>
          <v:line style="position:absolute;mso-position-horizontal-relative:page;mso-position-vertical-relative:paragraph;z-index:15920128" from="204.576996pt,3.763568pt" to="208.632996pt,3.763568pt" stroked="true" strokeweight=".5pt" strokecolor="#000000">
            <v:stroke dashstyle="solid"/>
            <w10:wrap type="none"/>
          </v:line>
        </w:pict>
      </w:r>
      <w:r>
        <w:rPr>
          <w:sz w:val="12"/>
        </w:rPr>
        <w:t>2</w:t>
      </w:r>
    </w:p>
    <w:p>
      <w:pPr>
        <w:pStyle w:val="BodyText"/>
        <w:spacing w:before="9"/>
        <w:rPr>
          <w:sz w:val="16"/>
        </w:rPr>
      </w:pPr>
    </w:p>
    <w:p>
      <w:pPr>
        <w:spacing w:line="132" w:lineRule="exact" w:before="0"/>
        <w:ind w:left="3628" w:right="0" w:firstLine="0"/>
        <w:jc w:val="left"/>
        <w:rPr>
          <w:sz w:val="12"/>
        </w:rPr>
      </w:pPr>
      <w:r>
        <w:rPr/>
        <w:pict>
          <v:line style="position:absolute;mso-position-horizontal-relative:page;mso-position-vertical-relative:paragraph;z-index:15919616" from="204.576996pt,3.762966pt" to="208.632996pt,3.762966pt" stroked="true" strokeweight=".5pt" strokecolor="#000000">
            <v:stroke dashstyle="solid"/>
            <w10:wrap type="none"/>
          </v:line>
        </w:pict>
      </w:r>
      <w:r>
        <w:rPr>
          <w:sz w:val="12"/>
        </w:rPr>
        <w:t>1</w:t>
      </w:r>
    </w:p>
    <w:p>
      <w:pPr>
        <w:spacing w:line="178" w:lineRule="exact" w:before="0"/>
        <w:ind w:left="3522" w:right="0" w:firstLine="0"/>
        <w:jc w:val="left"/>
        <w:rPr>
          <w:sz w:val="16"/>
        </w:rPr>
      </w:pPr>
      <w:r>
        <w:rPr>
          <w:color w:val="231F20"/>
          <w:sz w:val="16"/>
        </w:rPr>
        <w:t>+</w:t>
      </w:r>
    </w:p>
    <w:p>
      <w:pPr>
        <w:spacing w:before="20"/>
        <w:ind w:left="0" w:right="38" w:firstLine="0"/>
        <w:jc w:val="right"/>
        <w:rPr>
          <w:sz w:val="12"/>
        </w:rPr>
      </w:pPr>
      <w:r>
        <w:rPr/>
        <w:pict>
          <v:line style="position:absolute;mso-position-horizontal-relative:page;mso-position-vertical-relative:paragraph;z-index:15919104" from="204.576996pt,4.763364pt" to="208.632996pt,4.763364pt" stroked="true" strokeweight=".5pt" strokecolor="#000000">
            <v:stroke dashstyle="solid"/>
            <w10:wrap type="none"/>
          </v:line>
        </w:pict>
      </w:r>
      <w:r>
        <w:rPr>
          <w:sz w:val="12"/>
        </w:rPr>
        <w:t>0</w:t>
      </w:r>
    </w:p>
    <w:p>
      <w:pPr>
        <w:spacing w:line="183" w:lineRule="exact" w:before="11"/>
        <w:ind w:left="3533" w:right="0" w:firstLine="0"/>
        <w:jc w:val="left"/>
        <w:rPr>
          <w:sz w:val="16"/>
        </w:rPr>
      </w:pPr>
      <w:r>
        <w:rPr>
          <w:color w:val="231F20"/>
          <w:sz w:val="16"/>
        </w:rPr>
        <w:t>–</w:t>
      </w:r>
    </w:p>
    <w:p>
      <w:pPr>
        <w:spacing w:line="137" w:lineRule="exact" w:before="0"/>
        <w:ind w:left="3628" w:right="0" w:firstLine="0"/>
        <w:jc w:val="left"/>
        <w:rPr>
          <w:sz w:val="12"/>
        </w:rPr>
      </w:pPr>
      <w:r>
        <w:rPr/>
        <w:pict>
          <v:line style="position:absolute;mso-position-horizontal-relative:page;mso-position-vertical-relative:paragraph;z-index:15918592" from="204.576996pt,3.71295pt" to="208.632996pt,3.71295pt" stroked="true" strokeweight=".5pt" strokecolor="#000000">
            <v:stroke dashstyle="solid"/>
            <w10:wrap type="none"/>
          </v:line>
        </w:pict>
      </w:r>
      <w:r>
        <w:rPr>
          <w:sz w:val="12"/>
        </w:rPr>
        <w:t>1</w:t>
      </w:r>
    </w:p>
    <w:p>
      <w:pPr>
        <w:pStyle w:val="BodyText"/>
        <w:spacing w:before="9"/>
        <w:rPr>
          <w:sz w:val="16"/>
        </w:rPr>
      </w:pPr>
    </w:p>
    <w:p>
      <w:pPr>
        <w:spacing w:before="0"/>
        <w:ind w:left="0" w:right="38" w:firstLine="0"/>
        <w:jc w:val="right"/>
        <w:rPr>
          <w:sz w:val="12"/>
        </w:rPr>
      </w:pPr>
      <w:r>
        <w:rPr/>
        <w:pict>
          <v:line style="position:absolute;mso-position-horizontal-relative:page;mso-position-vertical-relative:paragraph;z-index:15918080" from="204.576996pt,3.76316pt" to="208.632996pt,3.76316pt" stroked="true" strokeweight=".5pt" strokecolor="#000000">
            <v:stroke dashstyle="solid"/>
            <w10:wrap type="none"/>
          </v:line>
        </w:pict>
      </w:r>
      <w:r>
        <w:rPr>
          <w:sz w:val="12"/>
        </w:rPr>
        <w:t>2</w:t>
      </w:r>
    </w:p>
    <w:p>
      <w:pPr>
        <w:pStyle w:val="BodyText"/>
        <w:spacing w:before="9"/>
        <w:rPr>
          <w:sz w:val="16"/>
        </w:rPr>
      </w:pPr>
    </w:p>
    <w:p>
      <w:pPr>
        <w:spacing w:line="118" w:lineRule="exact" w:before="1"/>
        <w:ind w:left="3628" w:right="0" w:firstLine="0"/>
        <w:jc w:val="left"/>
        <w:rPr>
          <w:sz w:val="12"/>
        </w:rPr>
      </w:pPr>
      <w:r>
        <w:rPr/>
        <w:pict>
          <v:line style="position:absolute;mso-position-horizontal-relative:page;mso-position-vertical-relative:paragraph;z-index:15917568" from="204.576996pt,4.516566pt" to="208.632996pt,4.516566pt" stroked="true" strokeweight=".5pt" strokecolor="#000000">
            <v:stroke dashstyle="solid"/>
            <w10:wrap type="none"/>
          </v:line>
        </w:pict>
      </w:r>
      <w:r>
        <w:rPr>
          <w:sz w:val="12"/>
        </w:rPr>
        <w:t>3</w:t>
      </w:r>
    </w:p>
    <w:p>
      <w:pPr>
        <w:tabs>
          <w:tab w:pos="1203" w:val="left" w:leader="none"/>
          <w:tab w:pos="1551" w:val="left" w:leader="none"/>
          <w:tab w:pos="1898" w:val="left" w:leader="none"/>
          <w:tab w:pos="2246" w:val="left" w:leader="none"/>
          <w:tab w:pos="2593" w:val="left" w:leader="none"/>
          <w:tab w:pos="2940" w:val="left" w:leader="none"/>
          <w:tab w:pos="3288" w:val="left" w:leader="none"/>
        </w:tabs>
        <w:spacing w:line="118" w:lineRule="exact" w:before="0"/>
        <w:ind w:left="443" w:right="0" w:firstLine="0"/>
        <w:jc w:val="left"/>
        <w:rPr>
          <w:sz w:val="12"/>
        </w:rPr>
      </w:pPr>
      <w:r>
        <w:rPr>
          <w:sz w:val="12"/>
        </w:rPr>
        <w:t>1990    </w:t>
      </w:r>
      <w:r>
        <w:rPr>
          <w:spacing w:val="23"/>
          <w:sz w:val="12"/>
        </w:rPr>
        <w:t> </w:t>
      </w:r>
      <w:r>
        <w:rPr>
          <w:sz w:val="12"/>
        </w:rPr>
        <w:t>91</w:t>
        <w:tab/>
        <w:t>92</w:t>
        <w:tab/>
        <w:t>93</w:t>
        <w:tab/>
        <w:t>94</w:t>
        <w:tab/>
        <w:t>95</w:t>
        <w:tab/>
        <w:t>96</w:t>
        <w:tab/>
        <w:t>97</w:t>
        <w:tab/>
        <w:t>98</w:t>
      </w:r>
    </w:p>
    <w:p>
      <w:pPr>
        <w:pStyle w:val="Heading4"/>
        <w:spacing w:line="242" w:lineRule="auto"/>
        <w:ind w:left="205" w:right="200"/>
      </w:pPr>
      <w:r>
        <w:rPr/>
        <w:br w:type="column"/>
      </w:r>
      <w:r>
        <w:rPr>
          <w:color w:val="231F20"/>
        </w:rPr>
        <w:t>Treasury assumed that the new system would </w:t>
      </w:r>
      <w:r>
        <w:rPr>
          <w:color w:val="231F20"/>
          <w:spacing w:val="-3"/>
        </w:rPr>
        <w:t>have </w:t>
      </w:r>
      <w:r>
        <w:rPr>
          <w:color w:val="231F20"/>
        </w:rPr>
        <w:t>only </w:t>
      </w:r>
      <w:r>
        <w:rPr>
          <w:color w:val="231F20"/>
          <w:spacing w:val="-16"/>
        </w:rPr>
        <w:t>a </w:t>
      </w:r>
      <w:r>
        <w:rPr>
          <w:color w:val="231F20"/>
        </w:rPr>
        <w:t>small positive impact on the effective tax rate. This assumption now appears to </w:t>
      </w:r>
      <w:r>
        <w:rPr>
          <w:color w:val="231F20"/>
          <w:spacing w:val="-3"/>
        </w:rPr>
        <w:t>have </w:t>
      </w:r>
      <w:r>
        <w:rPr>
          <w:color w:val="231F20"/>
        </w:rPr>
        <w:t>been an underestimate. One possible explanation for this is that the increased publicity surrounding the launch of the new forms and their more comprehensive and structured layout may </w:t>
      </w:r>
      <w:r>
        <w:rPr>
          <w:color w:val="231F20"/>
          <w:spacing w:val="-3"/>
        </w:rPr>
        <w:t>have </w:t>
      </w:r>
      <w:r>
        <w:rPr>
          <w:color w:val="231F20"/>
        </w:rPr>
        <w:t>increased the rate of tax compliance by more than was expected. Unfortunately, it is still too early to draw any firm conclusions, as the seasonal pattern of tax payments will </w:t>
      </w:r>
      <w:r>
        <w:rPr>
          <w:color w:val="231F20"/>
          <w:spacing w:val="-3"/>
        </w:rPr>
        <w:t>have </w:t>
      </w:r>
      <w:r>
        <w:rPr>
          <w:color w:val="231F20"/>
        </w:rPr>
        <w:t>changed as a result of the extension to the returns deadline from 1 January to 31 January.</w:t>
      </w:r>
    </w:p>
    <w:p>
      <w:pPr>
        <w:pStyle w:val="BodyText"/>
        <w:spacing w:before="7"/>
        <w:rPr>
          <w:sz w:val="24"/>
        </w:rPr>
      </w:pPr>
    </w:p>
    <w:p>
      <w:pPr>
        <w:spacing w:line="242" w:lineRule="auto" w:before="0"/>
        <w:ind w:left="205" w:right="200" w:firstLine="0"/>
        <w:jc w:val="left"/>
        <w:rPr>
          <w:sz w:val="24"/>
        </w:rPr>
      </w:pPr>
      <w:r>
        <w:rPr>
          <w:color w:val="231F20"/>
          <w:sz w:val="24"/>
        </w:rPr>
        <w:t>A third potential explanation for lower-than-expected household expenditure growth relates to the uncertain impact of wealth effects on consumption. Although net wealth has increased strongly in each of the past four years, real long-term interest rates have also fallen signif</w:t>
      </w:r>
      <w:hyperlink w:history="true" w:anchor="_bookmark1">
        <w:r>
          <w:rPr>
            <w:color w:val="231F20"/>
            <w:sz w:val="24"/>
          </w:rPr>
          <w:t>icantly (see Section 1).</w:t>
        </w:r>
      </w:hyperlink>
      <w:r>
        <w:rPr>
          <w:color w:val="231F20"/>
          <w:sz w:val="24"/>
        </w:rPr>
        <w:t> These two developments</w:t>
      </w:r>
    </w:p>
    <w:p>
      <w:pPr>
        <w:spacing w:after="0" w:line="242" w:lineRule="auto"/>
        <w:jc w:val="left"/>
        <w:rPr>
          <w:sz w:val="24"/>
        </w:rPr>
        <w:sectPr>
          <w:type w:val="continuous"/>
          <w:pgSz w:w="11900" w:h="16840"/>
          <w:pgMar w:top="1220" w:bottom="280" w:left="640" w:right="600"/>
          <w:cols w:num="2" w:equalWidth="0">
            <w:col w:w="3729" w:space="1020"/>
            <w:col w:w="5911"/>
          </w:cols>
        </w:sectPr>
      </w:pPr>
    </w:p>
    <w:p>
      <w:pPr>
        <w:pStyle w:val="BodyText"/>
        <w:rPr>
          <w:sz w:val="20"/>
        </w:rPr>
      </w:pPr>
    </w:p>
    <w:p>
      <w:pPr>
        <w:spacing w:after="0"/>
        <w:rPr>
          <w:sz w:val="20"/>
        </w:rPr>
        <w:sectPr>
          <w:headerReference w:type="default" r:id="rId66"/>
          <w:headerReference w:type="even" r:id="rId67"/>
          <w:footerReference w:type="default" r:id="rId68"/>
          <w:footerReference w:type="even" r:id="rId69"/>
          <w:pgSz w:w="11900" w:h="16840"/>
          <w:pgMar w:header="586" w:footer="617" w:top="780" w:bottom="800" w:left="640" w:right="600"/>
          <w:pgNumType w:start="19"/>
        </w:sect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2"/>
        <w:rPr>
          <w:sz w:val="29"/>
        </w:rPr>
      </w:pPr>
    </w:p>
    <w:p>
      <w:pPr>
        <w:pStyle w:val="Heading7"/>
        <w:spacing w:before="0"/>
        <w:ind w:left="177"/>
      </w:pPr>
      <w:bookmarkStart w:name="Investment demand" w:id="38"/>
      <w:bookmarkEnd w:id="38"/>
      <w:r>
        <w:rPr>
          <w:b w:val="0"/>
        </w:rPr>
      </w:r>
      <w:bookmarkStart w:name="_bookmark13" w:id="39"/>
      <w:bookmarkEnd w:id="39"/>
      <w:r>
        <w:rPr>
          <w:b w:val="0"/>
        </w:rPr>
      </w:r>
      <w:r>
        <w:rPr>
          <w:color w:val="0093C1"/>
        </w:rPr>
        <w:t>Chart 2.13</w:t>
      </w:r>
    </w:p>
    <w:p>
      <w:pPr>
        <w:spacing w:before="10"/>
        <w:ind w:left="177" w:right="0" w:firstLine="0"/>
        <w:jc w:val="left"/>
        <w:rPr>
          <w:sz w:val="12"/>
        </w:rPr>
      </w:pPr>
      <w:r>
        <w:rPr>
          <w:b/>
          <w:color w:val="0093C1"/>
          <w:sz w:val="20"/>
        </w:rPr>
        <w:t>Alternative measures of GDP growth</w:t>
      </w:r>
      <w:r>
        <w:rPr>
          <w:color w:val="231F20"/>
          <w:position w:val="4"/>
          <w:sz w:val="12"/>
        </w:rPr>
        <w:t>(a)</w:t>
      </w:r>
    </w:p>
    <w:p>
      <w:pPr>
        <w:spacing w:line="439" w:lineRule="auto" w:before="148"/>
        <w:ind w:left="2268" w:right="0" w:hanging="429"/>
        <w:jc w:val="left"/>
        <w:rPr>
          <w:sz w:val="12"/>
        </w:rPr>
      </w:pPr>
      <w:r>
        <w:rPr/>
        <w:pict>
          <v:group style="position:absolute;margin-left:43.619999pt;margin-top:30.462805pt;width:168.2pt;height:85.75pt;mso-position-horizontal-relative:page;mso-position-vertical-relative:paragraph;z-index:-21092864" coordorigin="872,609" coordsize="3364,1715">
            <v:shape style="position:absolute;left:1049;top:1424;width:903;height:658" coordorigin="1050,1424" coordsize="903,658" path="m1050,2082l1350,1792m1350,1792l1652,1707m1652,1707l1952,1424e" filled="false" stroked="true" strokeweight="1pt" strokecolor="#008256">
              <v:path arrowok="t"/>
              <v:stroke dashstyle="solid"/>
            </v:shape>
            <v:line style="position:absolute" from="1942,1437" to="2265,1437" stroked="true" strokeweight="2.25pt" strokecolor="#008256">
              <v:stroke dashstyle="solid"/>
            </v:line>
            <v:shape style="position:absolute;left:2254;top:906;width:600;height:543" coordorigin="2255,907" coordsize="600,543" path="m2255,1449l2555,1177m2555,1177l2855,907e" filled="false" stroked="true" strokeweight="1pt" strokecolor="#008256">
              <v:path arrowok="t"/>
              <v:stroke dashstyle="solid"/>
            </v:shape>
            <v:line style="position:absolute" from="2845,919" to="3165,919" stroked="true" strokeweight="2.25pt" strokecolor="#008256">
              <v:stroke dashstyle="solid"/>
            </v:line>
            <v:shape style="position:absolute;left:3154;top:931;width:903;height:920" coordorigin="3155,932" coordsize="903,920" path="m3155,932l3455,1149m3455,1149l3757,1457m3757,1457l4057,1852e" filled="false" stroked="true" strokeweight="1pt" strokecolor="#008256">
              <v:path arrowok="t"/>
              <v:stroke dashstyle="solid"/>
            </v:shape>
            <v:shape style="position:absolute;left:1952;top:906;width:2088;height:1408" coordorigin="1952,907" coordsize="2088,1408" path="m1952,1404l2255,1352m2237,1352l2537,1177m2537,1177l2837,907m2837,907l3137,1029m3137,1029l3437,1624m3437,1624l3740,1907m3740,1907l4040,2314e" filled="false" stroked="true" strokeweight="1pt" strokecolor="#f7941d">
              <v:path arrowok="t"/>
              <v:stroke dashstyle="solid"/>
            </v:shape>
            <v:shape style="position:absolute;left:1952;top:859;width:2105;height:880" coordorigin="1952,859" coordsize="2105,880" path="m1952,1404l2255,1739m2255,1739l2555,1467m2555,1467l2855,1097m2855,1097l3155,1029m3155,1029l3455,859m3455,859l3757,1074m3757,1074l4057,1449e" filled="false" stroked="true" strokeweight="1pt" strokecolor="#9bd3ae">
              <v:path arrowok="t"/>
              <v:stroke dashstyle="solid"/>
            </v:shape>
            <v:shape style="position:absolute;left:1952;top:619;width:2105;height:1053" coordorigin="1952,619" coordsize="2105,1053" path="m1952,1404l2255,1354m2255,1354l2555,982m2555,982l2855,619m2855,619l3155,747m3155,747l3455,967m3455,967l3757,1267m3757,1267l4057,1672e" filled="false" stroked="true" strokeweight="1pt" strokecolor="#0099d8">
              <v:path arrowok="t"/>
              <v:stroke dashstyle="solid"/>
            </v:shape>
            <v:shape style="position:absolute;left:872;top:813;width:3364;height:1489" coordorigin="872,813" coordsize="3364,1489" path="m4129,813l4236,813m4129,1313l4236,1313m4129,1800l4236,1800m4129,2293l4236,2293m872,822l979,822m872,1322l979,1322m872,1808l979,1808m872,2302l979,2302e" filled="false" stroked="true" strokeweight=".5pt" strokecolor="#231f20">
              <v:path arrowok="t"/>
              <v:stroke dashstyle="solid"/>
            </v:shape>
            <v:shape style="position:absolute;left:2348;top:1698;width:380;height:133" type="#_x0000_t202" filled="false" stroked="false">
              <v:textbox inset="0,0,0,0">
                <w:txbxContent>
                  <w:p>
                    <w:pPr>
                      <w:spacing w:line="133" w:lineRule="exact" w:before="0"/>
                      <w:ind w:left="0" w:right="0" w:firstLine="0"/>
                      <w:jc w:val="left"/>
                      <w:rPr>
                        <w:sz w:val="12"/>
                      </w:rPr>
                    </w:pPr>
                    <w:r>
                      <w:rPr>
                        <w:sz w:val="12"/>
                      </w:rPr>
                      <w:t>GDP(I)</w:t>
                    </w:r>
                  </w:p>
                </w:txbxContent>
              </v:textbox>
              <w10:wrap type="none"/>
            </v:shape>
            <v:shape style="position:absolute;left:1299;top:1858;width:597;height:133" type="#_x0000_t202" filled="false" stroked="false">
              <v:textbox inset="0,0,0,0">
                <w:txbxContent>
                  <w:p>
                    <w:pPr>
                      <w:spacing w:line="133" w:lineRule="exact" w:before="0"/>
                      <w:ind w:left="0" w:right="0" w:firstLine="0"/>
                      <w:jc w:val="left"/>
                      <w:rPr>
                        <w:sz w:val="12"/>
                      </w:rPr>
                    </w:pPr>
                    <w:r>
                      <w:rPr>
                        <w:sz w:val="12"/>
                      </w:rPr>
                      <w:t>GDP(A) (b)</w:t>
                    </w:r>
                  </w:p>
                </w:txbxContent>
              </v:textbox>
              <w10:wrap type="none"/>
            </v:shape>
            <v:shape style="position:absolute;left:3313;top:1978;width:414;height:133" type="#_x0000_t202" filled="false" stroked="false">
              <v:textbox inset="0,0,0,0">
                <w:txbxContent>
                  <w:p>
                    <w:pPr>
                      <w:spacing w:line="133" w:lineRule="exact" w:before="0"/>
                      <w:ind w:left="0" w:right="0" w:firstLine="0"/>
                      <w:jc w:val="left"/>
                      <w:rPr>
                        <w:sz w:val="12"/>
                      </w:rPr>
                    </w:pPr>
                    <w:r>
                      <w:rPr>
                        <w:sz w:val="12"/>
                      </w:rPr>
                      <w:t>GDP(E)</w:t>
                    </w:r>
                  </w:p>
                </w:txbxContent>
              </v:textbox>
              <w10:wrap type="none"/>
            </v:shape>
            <w10:wrap type="none"/>
          </v:group>
        </w:pict>
      </w:r>
      <w:r>
        <w:rPr/>
        <w:pict>
          <v:line style="position:absolute;mso-position-horizontal-relative:page;mso-position-vertical-relative:paragraph;z-index:-21092352" from="206.453003pt,16.170805pt" to="211.787003pt,16.170805pt" stroked="true" strokeweight=".5pt" strokecolor="#231f20">
            <v:stroke dashstyle="solid"/>
            <w10:wrap type="none"/>
          </v:line>
        </w:pict>
      </w:r>
      <w:r>
        <w:rPr/>
        <w:pict>
          <v:line style="position:absolute;mso-position-horizontal-relative:page;mso-position-vertical-relative:paragraph;z-index:15926784" from="43.619999pt,16.587805pt" to="48.952999pt,16.587805pt" stroked="true" strokeweight=".5pt" strokecolor="#231f20">
            <v:stroke dashstyle="solid"/>
            <w10:wrap type="none"/>
          </v:line>
        </w:pict>
      </w:r>
      <w:r>
        <w:rPr>
          <w:sz w:val="12"/>
        </w:rPr>
        <w:t>Percentage changes on a year earlier </w:t>
      </w:r>
      <w:r>
        <w:rPr>
          <w:position w:val="-7"/>
          <w:sz w:val="12"/>
        </w:rPr>
        <w:t>4.0 </w:t>
      </w:r>
      <w:r>
        <w:rPr>
          <w:sz w:val="12"/>
        </w:rPr>
        <w:t>GDP(O)</w:t>
      </w:r>
    </w:p>
    <w:p>
      <w:pPr>
        <w:spacing w:line="121" w:lineRule="exact" w:before="0"/>
        <w:ind w:left="3659" w:right="0" w:firstLine="0"/>
        <w:jc w:val="left"/>
        <w:rPr>
          <w:sz w:val="12"/>
        </w:rPr>
      </w:pPr>
      <w:r>
        <w:rPr>
          <w:sz w:val="12"/>
        </w:rPr>
        <w:t>3.5</w:t>
      </w:r>
    </w:p>
    <w:p>
      <w:pPr>
        <w:pStyle w:val="BodyText"/>
        <w:rPr>
          <w:sz w:val="12"/>
        </w:rPr>
      </w:pPr>
    </w:p>
    <w:p>
      <w:pPr>
        <w:pStyle w:val="BodyText"/>
        <w:rPr>
          <w:sz w:val="12"/>
        </w:rPr>
      </w:pPr>
    </w:p>
    <w:p>
      <w:pPr>
        <w:spacing w:before="82"/>
        <w:ind w:left="3659" w:right="0" w:firstLine="0"/>
        <w:jc w:val="left"/>
        <w:rPr>
          <w:sz w:val="12"/>
        </w:rPr>
      </w:pPr>
      <w:r>
        <w:rPr>
          <w:sz w:val="12"/>
        </w:rPr>
        <w:t>3.0</w:t>
      </w:r>
    </w:p>
    <w:p>
      <w:pPr>
        <w:pStyle w:val="BodyText"/>
        <w:rPr>
          <w:sz w:val="12"/>
        </w:rPr>
      </w:pPr>
    </w:p>
    <w:p>
      <w:pPr>
        <w:pStyle w:val="BodyText"/>
        <w:rPr>
          <w:sz w:val="12"/>
        </w:rPr>
      </w:pPr>
    </w:p>
    <w:p>
      <w:pPr>
        <w:spacing w:before="78"/>
        <w:ind w:left="3659" w:right="0" w:firstLine="0"/>
        <w:jc w:val="left"/>
        <w:rPr>
          <w:sz w:val="12"/>
        </w:rPr>
      </w:pPr>
      <w:r>
        <w:rPr>
          <w:sz w:val="12"/>
        </w:rPr>
        <w:t>2.5</w:t>
      </w:r>
    </w:p>
    <w:p>
      <w:pPr>
        <w:pStyle w:val="BodyText"/>
        <w:rPr>
          <w:sz w:val="12"/>
        </w:rPr>
      </w:pPr>
    </w:p>
    <w:p>
      <w:pPr>
        <w:pStyle w:val="BodyText"/>
        <w:rPr>
          <w:sz w:val="12"/>
        </w:rPr>
      </w:pPr>
    </w:p>
    <w:p>
      <w:pPr>
        <w:spacing w:before="76"/>
        <w:ind w:left="3659" w:right="0" w:firstLine="0"/>
        <w:jc w:val="left"/>
        <w:rPr>
          <w:sz w:val="12"/>
        </w:rPr>
      </w:pPr>
      <w:r>
        <w:rPr>
          <w:sz w:val="12"/>
        </w:rPr>
        <w:t>2.0</w:t>
      </w:r>
    </w:p>
    <w:p>
      <w:pPr>
        <w:pStyle w:val="BodyText"/>
        <w:rPr>
          <w:sz w:val="12"/>
        </w:rPr>
      </w:pPr>
    </w:p>
    <w:p>
      <w:pPr>
        <w:pStyle w:val="BodyText"/>
        <w:rPr>
          <w:sz w:val="12"/>
        </w:rPr>
      </w:pPr>
    </w:p>
    <w:p>
      <w:pPr>
        <w:spacing w:before="79"/>
        <w:ind w:left="3659" w:right="0" w:firstLine="0"/>
        <w:jc w:val="left"/>
        <w:rPr>
          <w:sz w:val="12"/>
        </w:rPr>
      </w:pPr>
      <w:r>
        <w:rPr/>
        <w:pict>
          <v:line style="position:absolute;mso-position-horizontal-relative:page;mso-position-vertical-relative:paragraph;z-index:15926272" from="206.453003pt,9.00957pt" to="211.787003pt,9.00957pt" stroked="true" strokeweight=".5pt" strokecolor="#231f20">
            <v:stroke dashstyle="solid"/>
            <w10:wrap type="none"/>
          </v:line>
        </w:pict>
      </w:r>
      <w:r>
        <w:rPr/>
        <w:pict>
          <v:line style="position:absolute;mso-position-horizontal-relative:page;mso-position-vertical-relative:paragraph;z-index:15927296" from="43.952999pt,9.42657pt" to="49.286999pt,9.42657pt" stroked="true" strokeweight=".5pt" strokecolor="#231f20">
            <v:stroke dashstyle="solid"/>
            <w10:wrap type="none"/>
          </v:line>
        </w:pict>
      </w:r>
      <w:r>
        <w:rPr>
          <w:sz w:val="12"/>
        </w:rPr>
        <w:t>1.5</w:t>
      </w:r>
    </w:p>
    <w:p>
      <w:pPr>
        <w:pStyle w:val="BodyText"/>
        <w:rPr>
          <w:sz w:val="12"/>
        </w:rPr>
      </w:pPr>
    </w:p>
    <w:p>
      <w:pPr>
        <w:pStyle w:val="BodyText"/>
        <w:rPr>
          <w:sz w:val="12"/>
        </w:rPr>
      </w:pPr>
    </w:p>
    <w:p>
      <w:pPr>
        <w:spacing w:before="81"/>
        <w:ind w:left="3659" w:right="0" w:firstLine="0"/>
        <w:jc w:val="left"/>
        <w:rPr>
          <w:sz w:val="12"/>
        </w:rPr>
      </w:pPr>
      <w:r>
        <w:rPr/>
        <w:pict>
          <v:group style="position:absolute;margin-left:43.119999pt;margin-top:8.442571pt;width:169.4pt;height:7.9pt;mso-position-horizontal-relative:page;mso-position-vertical-relative:paragraph;z-index:15923200" coordorigin="862,169" coordsize="3388,158">
            <v:line style="position:absolute" from="2256,246" to="2256,323" stroked="true" strokeweight=".625pt" strokecolor="#000000">
              <v:stroke dashstyle="solid"/>
            </v:line>
            <v:line style="position:absolute" from="2255,212" to="2255,323" stroked="true" strokeweight=".5pt" strokecolor="#000000">
              <v:stroke dashstyle="solid"/>
            </v:line>
            <v:line style="position:absolute" from="3456,246" to="3456,323" stroked="true" strokeweight=".625pt" strokecolor="#000000">
              <v:stroke dashstyle="solid"/>
            </v:line>
            <v:shape style="position:absolute;left:1047;top:211;width:2408;height:112" coordorigin="1047,212" coordsize="2408,112" path="m3455,212l3455,323m1047,212l1047,311e" filled="false" stroked="true" strokeweight=".5pt" strokecolor="#000000">
              <v:path arrowok="t"/>
              <v:stroke dashstyle="solid"/>
            </v:shape>
            <v:shape style="position:absolute;left:969;top:179;width:40;height:140" coordorigin="970,180" coordsize="40,140" path="m990,180l990,206,970,223,1010,236,970,256,1010,273,987,283,986,320e" filled="false" stroked="true" strokeweight=".5pt" strokecolor="#000000">
              <v:path arrowok="t"/>
              <v:stroke dashstyle="solid"/>
            </v:shape>
            <v:shape style="position:absolute;left:872;top:182;width:107;height:2" coordorigin="872,182" coordsize="107,0" path="m979,182l872,182e" filled="true" fillcolor="#ffffff" stroked="false">
              <v:path arrowok="t"/>
              <v:fill type="solid"/>
            </v:shape>
            <v:line style="position:absolute" from="872,182" to="979,182" stroked="true" strokeweight=".5pt" strokecolor="#231f20">
              <v:stroke dashstyle="solid"/>
            </v:line>
            <v:shape style="position:absolute;left:4204;top:180;width:40;height:140" coordorigin="4204,181" coordsize="40,140" path="m4221,321l4221,284,4244,274,4204,258,4244,238,4204,224,4224,208,4224,181e" filled="false" stroked="true" strokeweight=".5pt" strokecolor="#000000">
              <v:path arrowok="t"/>
              <v:stroke dashstyle="solid"/>
            </v:shape>
            <v:line style="position:absolute" from="4129,174" to="4236,174" stroked="true" strokeweight=".5pt" strokecolor="#231f20">
              <v:stroke dashstyle="solid"/>
            </v:line>
            <v:shape style="position:absolute;left:862;top:257;width:3354;height:60" coordorigin="862,257" coordsize="3354,60" path="m862,317l4216,317m1349,257l1349,317m1649,257l1649,317m1949,257l1949,317m2556,257l2556,317m2856,257l2856,317m3156,257l3156,317m3756,257l3756,317m4056,257l4056,317e" filled="false" stroked="true" strokeweight=".5pt" strokecolor="#000000">
              <v:path arrowok="t"/>
              <v:stroke dashstyle="solid"/>
            </v:shape>
            <w10:wrap type="none"/>
          </v:group>
        </w:pict>
      </w:r>
      <w:r>
        <w:rPr>
          <w:sz w:val="12"/>
        </w:rPr>
        <w:t>1.0</w:t>
      </w:r>
    </w:p>
    <w:p>
      <w:pPr>
        <w:spacing w:line="130" w:lineRule="exact" w:before="26"/>
        <w:ind w:left="3659" w:right="0" w:firstLine="0"/>
        <w:jc w:val="left"/>
        <w:rPr>
          <w:sz w:val="12"/>
        </w:rPr>
      </w:pPr>
      <w:r>
        <w:rPr>
          <w:color w:val="231F20"/>
          <w:sz w:val="12"/>
        </w:rPr>
        <w:t>0.0</w:t>
      </w:r>
    </w:p>
    <w:p>
      <w:pPr>
        <w:tabs>
          <w:tab w:pos="2142" w:val="left" w:leader="none"/>
          <w:tab w:pos="3239" w:val="left" w:leader="none"/>
        </w:tabs>
        <w:spacing w:line="130" w:lineRule="exact" w:before="0"/>
        <w:ind w:left="834" w:right="0" w:firstLine="0"/>
        <w:jc w:val="left"/>
        <w:rPr>
          <w:sz w:val="12"/>
        </w:rPr>
      </w:pPr>
      <w:r>
        <w:rPr>
          <w:sz w:val="12"/>
        </w:rPr>
        <w:t>1996</w:t>
        <w:tab/>
        <w:t>97</w:t>
        <w:tab/>
        <w:t>98</w:t>
      </w:r>
    </w:p>
    <w:p>
      <w:pPr>
        <w:pStyle w:val="ListParagraph"/>
        <w:numPr>
          <w:ilvl w:val="0"/>
          <w:numId w:val="14"/>
        </w:numPr>
        <w:tabs>
          <w:tab w:pos="390" w:val="left" w:leader="none"/>
        </w:tabs>
        <w:spacing w:line="240" w:lineRule="auto" w:before="94" w:after="0"/>
        <w:ind w:left="389" w:right="0" w:hanging="241"/>
        <w:jc w:val="left"/>
        <w:rPr>
          <w:sz w:val="12"/>
        </w:rPr>
      </w:pPr>
      <w:r>
        <w:rPr>
          <w:color w:val="231F20"/>
          <w:sz w:val="12"/>
        </w:rPr>
        <w:t>Volume indices at 1995 basic prices.</w:t>
      </w:r>
    </w:p>
    <w:p>
      <w:pPr>
        <w:pStyle w:val="ListParagraph"/>
        <w:numPr>
          <w:ilvl w:val="0"/>
          <w:numId w:val="14"/>
        </w:numPr>
        <w:tabs>
          <w:tab w:pos="391" w:val="left" w:leader="none"/>
        </w:tabs>
        <w:spacing w:line="242" w:lineRule="auto" w:before="3" w:after="0"/>
        <w:ind w:left="389" w:right="271" w:hanging="240"/>
        <w:jc w:val="left"/>
        <w:rPr>
          <w:sz w:val="12"/>
        </w:rPr>
      </w:pPr>
      <w:r>
        <w:rPr>
          <w:color w:val="231F20"/>
          <w:sz w:val="12"/>
        </w:rPr>
        <w:t>GDP(A) is the average growth rate derived from GDP(I), </w:t>
      </w:r>
      <w:r>
        <w:rPr>
          <w:color w:val="231F20"/>
          <w:spacing w:val="-3"/>
          <w:sz w:val="12"/>
        </w:rPr>
        <w:t>GDP(O) </w:t>
      </w:r>
      <w:r>
        <w:rPr>
          <w:color w:val="231F20"/>
          <w:sz w:val="12"/>
        </w:rPr>
        <w:t>and GDP(E).</w:t>
      </w:r>
    </w:p>
    <w:p>
      <w:pPr>
        <w:pStyle w:val="Heading4"/>
        <w:spacing w:line="242" w:lineRule="auto" w:before="207"/>
        <w:ind w:left="149" w:right="179"/>
      </w:pPr>
      <w:r>
        <w:rPr/>
        <w:br w:type="column"/>
      </w:r>
      <w:r>
        <w:rPr>
          <w:color w:val="231F20"/>
        </w:rPr>
        <w:t>are likely to be linked, and may </w:t>
      </w:r>
      <w:r>
        <w:rPr>
          <w:color w:val="231F20"/>
          <w:spacing w:val="-3"/>
        </w:rPr>
        <w:t>have </w:t>
      </w:r>
      <w:r>
        <w:rPr>
          <w:color w:val="231F20"/>
        </w:rPr>
        <w:t>opposing effects on consumption. Higher wealth is beneficial for consumers, but the impact of lower real interest rates is less certain. As real interest rates fall, households may choose to reduce current consumption out of wealth, in order to maintain their desired future income and consumption— the income effect. But the returns on new saving also decline, so individuals will tend to </w:t>
      </w:r>
      <w:r>
        <w:rPr>
          <w:color w:val="231F20"/>
          <w:spacing w:val="-3"/>
        </w:rPr>
        <w:t>save </w:t>
      </w:r>
      <w:r>
        <w:rPr>
          <w:color w:val="231F20"/>
        </w:rPr>
        <w:t>less and </w:t>
      </w:r>
      <w:r>
        <w:rPr>
          <w:color w:val="231F20"/>
          <w:spacing w:val="-3"/>
        </w:rPr>
        <w:t>consume </w:t>
      </w:r>
      <w:r>
        <w:rPr>
          <w:color w:val="231F20"/>
        </w:rPr>
        <w:t>more—the substitution effect—unless the reduction in the real interest rates is itself the result of a desire to</w:t>
      </w:r>
    </w:p>
    <w:p>
      <w:pPr>
        <w:spacing w:line="242" w:lineRule="auto" w:before="13"/>
        <w:ind w:left="149" w:right="0" w:firstLine="0"/>
        <w:jc w:val="left"/>
        <w:rPr>
          <w:sz w:val="24"/>
        </w:rPr>
      </w:pPr>
      <w:r>
        <w:rPr>
          <w:color w:val="231F20"/>
          <w:sz w:val="24"/>
        </w:rPr>
        <w:t>save more. The overall impact on household expenditure will therefore depend on the balance between</w:t>
      </w:r>
    </w:p>
    <w:p>
      <w:pPr>
        <w:spacing w:line="242" w:lineRule="auto" w:before="2"/>
        <w:ind w:left="149" w:right="730" w:firstLine="0"/>
        <w:jc w:val="left"/>
        <w:rPr>
          <w:sz w:val="24"/>
        </w:rPr>
      </w:pPr>
      <w:r>
        <w:rPr>
          <w:color w:val="231F20"/>
          <w:sz w:val="24"/>
        </w:rPr>
        <w:t>the income, substitution and wealth effects. The worse-than-expected consumption outturn could be related to a larger-than-expected income effect.</w:t>
      </w:r>
    </w:p>
    <w:p>
      <w:pPr>
        <w:pStyle w:val="BodyText"/>
        <w:spacing w:before="8"/>
        <w:rPr>
          <w:sz w:val="24"/>
        </w:rPr>
      </w:pPr>
    </w:p>
    <w:p>
      <w:pPr>
        <w:spacing w:line="242" w:lineRule="auto" w:before="0"/>
        <w:ind w:left="149" w:right="0" w:firstLine="0"/>
        <w:jc w:val="left"/>
        <w:rPr>
          <w:sz w:val="24"/>
        </w:rPr>
      </w:pPr>
      <w:r>
        <w:rPr>
          <w:color w:val="231F20"/>
          <w:sz w:val="24"/>
        </w:rPr>
        <w:t>Alternatively, consumption growth may have been underestimated last year. In the four quarters to</w:t>
      </w:r>
    </w:p>
    <w:p>
      <w:pPr>
        <w:spacing w:line="242" w:lineRule="auto" w:before="3"/>
        <w:ind w:left="149" w:right="249" w:firstLine="0"/>
        <w:jc w:val="left"/>
        <w:rPr>
          <w:sz w:val="24"/>
        </w:rPr>
      </w:pPr>
      <w:r>
        <w:rPr>
          <w:color w:val="231F20"/>
          <w:sz w:val="24"/>
        </w:rPr>
        <w:t>1998 Q3, the income-based measure of GDP (GDP(I)) increased by 2.9%, the output-based estimate (GDP(O)) rose by 2.6%, and the expenditure-based estimate (GDP(E)) grew by 2.0% (see Chart 2.13). There is therefore a reasonable chance either that GDP(I) will be revised downwards during the annual balancing of the national accounts, or that GDP(E) will be revised upwards, or both. Such revisions would help to explain the apparent weakness of consumption relative to the strength of income from employment. The ONS generally considers GDP(O) to provide the best estimate of recent quarterly growth,</w:t>
      </w:r>
      <w:r>
        <w:rPr>
          <w:color w:val="231F20"/>
          <w:position w:val="5"/>
          <w:sz w:val="16"/>
        </w:rPr>
        <w:t>(1) </w:t>
      </w:r>
      <w:r>
        <w:rPr>
          <w:color w:val="231F20"/>
          <w:sz w:val="24"/>
        </w:rPr>
        <w:t>which adds weight to the idea that GDP(E) could be revised up and GDP(I) revised down.</w:t>
      </w:r>
    </w:p>
    <w:p>
      <w:pPr>
        <w:pStyle w:val="BodyText"/>
        <w:spacing w:before="10"/>
        <w:rPr>
          <w:sz w:val="25"/>
        </w:rPr>
      </w:pPr>
    </w:p>
    <w:p>
      <w:pPr>
        <w:spacing w:line="242" w:lineRule="auto" w:before="0"/>
        <w:ind w:left="150" w:right="0" w:firstLine="0"/>
        <w:jc w:val="left"/>
        <w:rPr>
          <w:sz w:val="24"/>
        </w:rPr>
      </w:pPr>
      <w:r>
        <w:rPr>
          <w:color w:val="231F20"/>
          <w:sz w:val="24"/>
        </w:rPr>
        <w:t>Overall, the Committee decided not to treat all of the weaker outturn for consumption as erratic. The central projection for the level of consumption in relation to income has therefore been revised down from the November projection.</w:t>
      </w:r>
    </w:p>
    <w:p>
      <w:pPr>
        <w:pStyle w:val="BodyText"/>
        <w:spacing w:before="10"/>
        <w:rPr>
          <w:sz w:val="24"/>
        </w:rPr>
      </w:pPr>
    </w:p>
    <w:p>
      <w:pPr>
        <w:pStyle w:val="Heading5"/>
        <w:ind w:left="150"/>
        <w:rPr>
          <w:i/>
        </w:rPr>
      </w:pPr>
      <w:r>
        <w:rPr>
          <w:i/>
          <w:color w:val="009483"/>
        </w:rPr>
        <w:t>Investment demand</w:t>
      </w:r>
    </w:p>
    <w:p>
      <w:pPr>
        <w:spacing w:line="242" w:lineRule="auto" w:before="164"/>
        <w:ind w:left="150" w:right="245" w:firstLine="0"/>
        <w:jc w:val="left"/>
        <w:rPr>
          <w:sz w:val="24"/>
        </w:rPr>
      </w:pPr>
      <w:r>
        <w:rPr>
          <w:color w:val="231F20"/>
          <w:sz w:val="24"/>
        </w:rPr>
        <w:t>Although investment growth slowed last year, it remained relatively robust. Whole-economy investment expenditure increased by around 1% in Q3, driven by higher business and general government investment; private sector spending on dwellings declined. The </w:t>
      </w:r>
      <w:r>
        <w:rPr>
          <w:color w:val="231F20"/>
          <w:spacing w:val="-3"/>
          <w:sz w:val="24"/>
        </w:rPr>
        <w:t>ratio </w:t>
      </w:r>
      <w:r>
        <w:rPr>
          <w:color w:val="231F20"/>
          <w:sz w:val="24"/>
        </w:rPr>
        <w:t>of business investment to GDP reached another </w:t>
      </w:r>
      <w:r>
        <w:rPr>
          <w:color w:val="231F20"/>
          <w:spacing w:val="-3"/>
          <w:sz w:val="24"/>
        </w:rPr>
        <w:t>post-war </w:t>
      </w:r>
      <w:r>
        <w:rPr>
          <w:color w:val="231F20"/>
          <w:sz w:val="24"/>
        </w:rPr>
        <w:t>peak in 1998 Q3.</w:t>
      </w:r>
    </w:p>
    <w:p>
      <w:pPr>
        <w:pStyle w:val="BodyText"/>
        <w:rPr>
          <w:sz w:val="20"/>
        </w:rPr>
      </w:pPr>
    </w:p>
    <w:p>
      <w:pPr>
        <w:pStyle w:val="BodyText"/>
        <w:spacing w:before="4"/>
        <w:rPr>
          <w:sz w:val="20"/>
        </w:rPr>
      </w:pPr>
      <w:r>
        <w:rPr/>
        <w:pict>
          <v:shape style="position:absolute;margin-left:279pt;margin-top:13.778115pt;width:277pt;height:.1pt;mso-position-horizontal-relative:page;mso-position-vertical-relative:paragraph;z-index:-15534592;mso-wrap-distance-left:0;mso-wrap-distance-right:0" coordorigin="5580,276" coordsize="5540,0" path="m5580,276l11120,276e" filled="false" stroked="true" strokeweight=".125pt" strokecolor="#231f20">
            <v:path arrowok="t"/>
            <v:stroke dashstyle="solid"/>
            <w10:wrap type="topAndBottom"/>
          </v:shape>
        </w:pict>
      </w:r>
    </w:p>
    <w:p>
      <w:pPr>
        <w:pStyle w:val="ListParagraph"/>
        <w:numPr>
          <w:ilvl w:val="1"/>
          <w:numId w:val="14"/>
        </w:numPr>
        <w:tabs>
          <w:tab w:pos="391" w:val="left" w:leader="none"/>
        </w:tabs>
        <w:spacing w:line="208" w:lineRule="auto" w:before="31" w:after="0"/>
        <w:ind w:left="389" w:right="1054" w:hanging="240"/>
        <w:jc w:val="left"/>
        <w:rPr>
          <w:sz w:val="16"/>
        </w:rPr>
      </w:pPr>
      <w:r>
        <w:rPr>
          <w:color w:val="231F20"/>
          <w:sz w:val="16"/>
        </w:rPr>
        <w:t>See Cope, I, ‘Data sources for the quarterly account’, </w:t>
      </w:r>
      <w:r>
        <w:rPr>
          <w:i/>
          <w:color w:val="231F20"/>
          <w:sz w:val="16"/>
        </w:rPr>
        <w:t>The United </w:t>
      </w:r>
      <w:r>
        <w:rPr>
          <w:i/>
          <w:color w:val="231F20"/>
          <w:sz w:val="16"/>
        </w:rPr>
        <w:t>Kingdom National Accounts CSO Methodological Paper</w:t>
      </w:r>
      <w:r>
        <w:rPr>
          <w:color w:val="231F20"/>
          <w:sz w:val="16"/>
        </w:rPr>
        <w:t>, Number </w:t>
      </w:r>
      <w:r>
        <w:rPr>
          <w:color w:val="231F20"/>
          <w:spacing w:val="-8"/>
          <w:sz w:val="16"/>
        </w:rPr>
        <w:t>3, </w:t>
      </w:r>
      <w:r>
        <w:rPr>
          <w:color w:val="231F20"/>
          <w:sz w:val="16"/>
        </w:rPr>
        <w:t>April 1995.</w:t>
      </w:r>
    </w:p>
    <w:p>
      <w:pPr>
        <w:spacing w:after="0" w:line="208" w:lineRule="auto"/>
        <w:jc w:val="left"/>
        <w:rPr>
          <w:sz w:val="16"/>
        </w:rPr>
        <w:sectPr>
          <w:type w:val="continuous"/>
          <w:pgSz w:w="11900" w:h="16840"/>
          <w:pgMar w:top="1220" w:bottom="280" w:left="640" w:right="600"/>
          <w:cols w:num="2" w:equalWidth="0">
            <w:col w:w="3850" w:space="960"/>
            <w:col w:w="5850"/>
          </w:cols>
        </w:sectPr>
      </w:pPr>
    </w:p>
    <w:p>
      <w:pPr>
        <w:pStyle w:val="BodyText"/>
        <w:rPr>
          <w:sz w:val="20"/>
        </w:rPr>
      </w:pPr>
    </w:p>
    <w:p>
      <w:pPr>
        <w:spacing w:after="0"/>
        <w:rPr>
          <w:sz w:val="20"/>
        </w:rPr>
        <w:sectPr>
          <w:pgSz w:w="11900" w:h="16840"/>
          <w:pgMar w:header="586" w:footer="597" w:top="780" w:bottom="780" w:left="640" w:right="600"/>
        </w:sectPr>
      </w:pPr>
    </w:p>
    <w:p>
      <w:pPr>
        <w:pStyle w:val="BodyText"/>
        <w:spacing w:before="6"/>
        <w:rPr>
          <w:sz w:val="20"/>
        </w:rPr>
      </w:pPr>
    </w:p>
    <w:p>
      <w:pPr>
        <w:pStyle w:val="Heading7"/>
        <w:spacing w:before="0"/>
      </w:pPr>
      <w:r>
        <w:rPr>
          <w:color w:val="0093C1"/>
        </w:rPr>
        <w:t>Chart 2.14</w:t>
      </w:r>
    </w:p>
    <w:p>
      <w:pPr>
        <w:spacing w:before="10"/>
        <w:ind w:left="180" w:right="0" w:firstLine="0"/>
        <w:jc w:val="left"/>
        <w:rPr>
          <w:b/>
          <w:sz w:val="20"/>
        </w:rPr>
      </w:pPr>
      <w:r>
        <w:rPr>
          <w:b/>
          <w:color w:val="0093C1"/>
          <w:sz w:val="20"/>
        </w:rPr>
        <w:t>Confidence in profitability</w:t>
      </w:r>
    </w:p>
    <w:p>
      <w:pPr>
        <w:spacing w:line="121" w:lineRule="exact" w:before="59"/>
        <w:ind w:left="2378" w:right="0" w:firstLine="0"/>
        <w:jc w:val="left"/>
        <w:rPr>
          <w:sz w:val="12"/>
        </w:rPr>
      </w:pPr>
      <w:r>
        <w:rPr>
          <w:sz w:val="12"/>
        </w:rPr>
        <w:t>Percentage point balance</w:t>
      </w:r>
    </w:p>
    <w:p>
      <w:pPr>
        <w:spacing w:line="121" w:lineRule="exact" w:before="0"/>
        <w:ind w:left="3593" w:right="0" w:firstLine="0"/>
        <w:jc w:val="left"/>
        <w:rPr>
          <w:sz w:val="12"/>
        </w:rPr>
      </w:pPr>
      <w:r>
        <w:rPr/>
        <w:pict>
          <v:line style="position:absolute;mso-position-horizontal-relative:page;mso-position-vertical-relative:paragraph;z-index:15931392" from="46.208pt,2.94738pt" to="50.875pt,2.94738pt" stroked="true" strokeweight=".5pt" strokecolor="#231f20">
            <v:stroke dashstyle="solid"/>
            <w10:wrap type="none"/>
          </v:line>
        </w:pict>
      </w:r>
      <w:r>
        <w:rPr/>
        <w:pict>
          <v:line style="position:absolute;mso-position-horizontal-relative:page;mso-position-vertical-relative:paragraph;z-index:15931904" from="205.542007pt,2.69738pt" to="210.208007pt,2.69738pt" stroked="true" strokeweight=".5pt" strokecolor="#231f20">
            <v:stroke dashstyle="solid"/>
            <w10:wrap type="none"/>
          </v:line>
        </w:pict>
      </w:r>
      <w:r>
        <w:rPr>
          <w:sz w:val="12"/>
        </w:rPr>
        <w:t>60</w:t>
      </w:r>
    </w:p>
    <w:p>
      <w:pPr>
        <w:pStyle w:val="BodyText"/>
        <w:rPr>
          <w:sz w:val="12"/>
        </w:rPr>
      </w:pPr>
    </w:p>
    <w:p>
      <w:pPr>
        <w:pStyle w:val="BodyText"/>
        <w:spacing w:before="10"/>
        <w:rPr>
          <w:sz w:val="12"/>
        </w:rPr>
      </w:pPr>
    </w:p>
    <w:p>
      <w:pPr>
        <w:spacing w:before="1"/>
        <w:ind w:left="0" w:right="38" w:firstLine="0"/>
        <w:jc w:val="right"/>
        <w:rPr>
          <w:sz w:val="12"/>
        </w:rPr>
      </w:pPr>
      <w:r>
        <w:rPr/>
        <w:pict>
          <v:group style="position:absolute;margin-left:45.875pt;margin-top:1.570752pt;width:164.35pt;height:121.75pt;mso-position-horizontal-relative:page;mso-position-vertical-relative:paragraph;z-index:15930368" coordorigin="918,31" coordsize="3287,2435">
            <v:shape style="position:absolute;left:1072;top:676;width:2675;height:1780" coordorigin="1073,676" coordsize="2675,1780" path="m3673,804l3748,716m1225,1566l1300,1649m1073,676l1148,1439m1148,1439l1225,1566m1300,1649l1378,1309m1378,1309l1455,1481m1455,1481l1530,2199m1530,2199l1608,2456m1608,2456l1683,2159m1683,2159l1760,2074m1838,974l1915,1099m1760,2074l1838,974m1915,1099l1990,1141m1990,1141l2065,846m2065,846l2143,2031m2143,2031l2218,1396m2218,1396l2298,676e" filled="false" stroked="true" strokeweight="1pt" strokecolor="#0066a5">
              <v:path arrowok="t"/>
              <v:stroke dashstyle="solid"/>
            </v:shape>
            <v:line style="position:absolute" from="2363,550" to="2458,550" stroked="true" strokeweight="1.125pt" strokecolor="#0066a5">
              <v:stroke dashstyle="solid"/>
            </v:line>
            <v:shape style="position:absolute;left:2297;top:123;width:1758;height:1993" coordorigin="2298,124" coordsize="1758,1993" path="m2298,676l2373,549m2448,549l2525,339m2525,339l2600,381m2600,381l2678,296m2678,296l2755,124m2755,124l2830,296m2830,296l2908,464m2908,464l2983,716m2983,716l3060,591m3060,591l3135,676m3135,676l3213,506m3213,506l3290,549m3290,549l3365,296m3365,296l3443,166m3443,166l3518,296m3518,296l3598,716m3598,716l3673,804m3748,716l3825,931m3825,931l3900,1309m3900,1309l3978,2116m3978,2116l4055,1946e" filled="false" stroked="true" strokeweight="1pt" strokecolor="#0066a5">
              <v:path arrowok="t"/>
              <v:stroke dashstyle="solid"/>
            </v:shape>
            <v:line style="position:absolute" from="1138,805" to="1235,805" stroked="true" strokeweight="1.125pt" strokecolor="#faab54">
              <v:stroke dashstyle="solid"/>
            </v:line>
            <v:shape style="position:absolute;left:1072;top:166;width:918;height:1993" coordorigin="1073,166" coordsize="918,1993" path="m1530,2031l1608,2159m1915,1269l1990,1309m1073,166l1148,804m1225,804l1300,1014m1300,1014l1378,1099m1378,1099l1455,1354m1455,1354l1530,2031m1608,2159l1683,1864e" filled="false" stroked="true" strokeweight="1pt" strokecolor="#faab54">
              <v:path arrowok="t"/>
              <v:stroke dashstyle="solid"/>
            </v:shape>
            <v:line style="position:absolute" from="1673,1865" to="1770,1865" stroked="true" strokeweight="1.125pt" strokecolor="#faab54">
              <v:stroke dashstyle="solid"/>
            </v:line>
            <v:shape style="position:absolute;left:1760;top:338;width:1453;height:1693" coordorigin="1760,339" coordsize="1453,1693" path="m1760,1864l1838,974m1838,974l1915,1269m1990,1309l2065,974m2065,974l2143,2031m2143,2031l2218,1354m2218,1354l2298,804m2298,804l2373,549m2600,464l2678,421m2373,549l2448,339m2448,339l2525,676m2525,676l2600,464m2678,421l2755,506m2755,506l2830,634m2830,634l2908,591m2908,591l2983,931m2983,931l3060,1056m3060,1056l3135,846m3135,846l3213,421e" filled="false" stroked="true" strokeweight="1pt" strokecolor="#faab54">
              <v:path arrowok="t"/>
              <v:stroke dashstyle="solid"/>
            </v:shape>
            <v:shape style="position:absolute;left:3202;top:31;width:708;height:738" type="#_x0000_t75" stroked="false">
              <v:imagedata r:id="rId70" o:title=""/>
            </v:shape>
            <v:shape style="position:absolute;left:3900;top:758;width:155;height:808" coordorigin="3900,759" coordsize="155,808" path="m3900,759l3978,1481m3978,1481l4055,1566e" filled="false" stroked="true" strokeweight="1pt" strokecolor="#faab54">
              <v:path arrowok="t"/>
              <v:stroke dashstyle="solid"/>
            </v:shape>
            <v:shape style="position:absolute;left:917;top:84;width:3287;height:2119" coordorigin="918,85" coordsize="3287,2119" path="m924,90l1018,90m924,510l1018,510m924,936l1018,936m924,1356l1018,1356m918,1783l1011,1783m924,2203l1018,2203m4111,85l4204,85m4111,505l4204,505m4111,931l4204,931m4111,1351l4204,1351m4104,1778l4198,1778m4111,2198l4204,2198e" filled="false" stroked="true" strokeweight=".5pt" strokecolor="#231f20">
              <v:path arrowok="t"/>
              <v:stroke dashstyle="solid"/>
            </v:shape>
            <v:line style="position:absolute" from="1051,2206" to="4064,2206" stroked="true" strokeweight=".5pt" strokecolor="#000000">
              <v:stroke dashstyle="solid"/>
            </v:line>
            <v:shape style="position:absolute;left:1141;top:320;width:697;height:133" type="#_x0000_t202" filled="false" stroked="false">
              <v:textbox inset="0,0,0,0">
                <w:txbxContent>
                  <w:p>
                    <w:pPr>
                      <w:spacing w:line="133" w:lineRule="exact" w:before="0"/>
                      <w:ind w:left="0" w:right="0" w:firstLine="0"/>
                      <w:jc w:val="left"/>
                      <w:rPr>
                        <w:sz w:val="12"/>
                      </w:rPr>
                    </w:pPr>
                    <w:r>
                      <w:rPr>
                        <w:sz w:val="12"/>
                      </w:rPr>
                      <w:t>Service sector</w:t>
                    </w:r>
                  </w:p>
                </w:txbxContent>
              </v:textbox>
              <w10:wrap type="none"/>
            </v:shape>
            <v:shape style="position:absolute;left:2855;top:1678;width:1050;height:134" type="#_x0000_t202" filled="false" stroked="false">
              <v:textbox inset="0,0,0,0">
                <w:txbxContent>
                  <w:p>
                    <w:pPr>
                      <w:spacing w:line="133" w:lineRule="exact" w:before="0"/>
                      <w:ind w:left="0" w:right="0" w:firstLine="0"/>
                      <w:jc w:val="left"/>
                      <w:rPr>
                        <w:sz w:val="12"/>
                      </w:rPr>
                    </w:pPr>
                    <w:r>
                      <w:rPr>
                        <w:sz w:val="12"/>
                      </w:rPr>
                      <w:t>Manufacturing sector</w:t>
                    </w:r>
                  </w:p>
                </w:txbxContent>
              </v:textbox>
              <w10:wrap type="none"/>
            </v:shape>
            <w10:wrap type="none"/>
          </v:group>
        </w:pict>
      </w:r>
      <w:r>
        <w:rPr>
          <w:sz w:val="12"/>
        </w:rPr>
        <w:t>50</w:t>
      </w:r>
    </w:p>
    <w:p>
      <w:pPr>
        <w:pStyle w:val="BodyText"/>
        <w:rPr>
          <w:sz w:val="12"/>
        </w:rPr>
      </w:pPr>
    </w:p>
    <w:p>
      <w:pPr>
        <w:pStyle w:val="BodyText"/>
        <w:spacing w:before="10"/>
        <w:rPr>
          <w:sz w:val="12"/>
        </w:rPr>
      </w:pPr>
    </w:p>
    <w:p>
      <w:pPr>
        <w:spacing w:before="0"/>
        <w:ind w:left="0" w:right="38" w:firstLine="0"/>
        <w:jc w:val="right"/>
        <w:rPr>
          <w:sz w:val="12"/>
        </w:rPr>
      </w:pPr>
      <w:r>
        <w:rPr>
          <w:sz w:val="12"/>
        </w:rPr>
        <w:t>40</w:t>
      </w:r>
    </w:p>
    <w:p>
      <w:pPr>
        <w:pStyle w:val="BodyText"/>
        <w:rPr>
          <w:sz w:val="12"/>
        </w:rPr>
      </w:pPr>
    </w:p>
    <w:p>
      <w:pPr>
        <w:pStyle w:val="BodyText"/>
        <w:spacing w:before="10"/>
        <w:rPr>
          <w:sz w:val="12"/>
        </w:rPr>
      </w:pPr>
    </w:p>
    <w:p>
      <w:pPr>
        <w:spacing w:before="0"/>
        <w:ind w:left="0" w:right="38" w:firstLine="0"/>
        <w:jc w:val="right"/>
        <w:rPr>
          <w:sz w:val="12"/>
        </w:rPr>
      </w:pPr>
      <w:r>
        <w:rPr>
          <w:sz w:val="12"/>
        </w:rPr>
        <w:t>30</w:t>
      </w:r>
    </w:p>
    <w:p>
      <w:pPr>
        <w:pStyle w:val="BodyText"/>
        <w:rPr>
          <w:sz w:val="12"/>
        </w:rPr>
      </w:pPr>
    </w:p>
    <w:p>
      <w:pPr>
        <w:pStyle w:val="BodyText"/>
        <w:spacing w:before="10"/>
        <w:rPr>
          <w:sz w:val="12"/>
        </w:rPr>
      </w:pPr>
    </w:p>
    <w:p>
      <w:pPr>
        <w:spacing w:before="0"/>
        <w:ind w:left="0" w:right="38" w:firstLine="0"/>
        <w:jc w:val="right"/>
        <w:rPr>
          <w:sz w:val="12"/>
        </w:rPr>
      </w:pPr>
      <w:r>
        <w:rPr>
          <w:sz w:val="12"/>
        </w:rPr>
        <w:t>20</w:t>
      </w:r>
    </w:p>
    <w:p>
      <w:pPr>
        <w:pStyle w:val="BodyText"/>
        <w:rPr>
          <w:sz w:val="12"/>
        </w:rPr>
      </w:pPr>
    </w:p>
    <w:p>
      <w:pPr>
        <w:pStyle w:val="BodyText"/>
        <w:spacing w:before="10"/>
        <w:rPr>
          <w:sz w:val="12"/>
        </w:rPr>
      </w:pPr>
    </w:p>
    <w:p>
      <w:pPr>
        <w:spacing w:line="68" w:lineRule="exact" w:before="0"/>
        <w:ind w:left="3593" w:right="0" w:firstLine="0"/>
        <w:jc w:val="left"/>
        <w:rPr>
          <w:sz w:val="12"/>
        </w:rPr>
      </w:pPr>
      <w:r>
        <w:rPr>
          <w:sz w:val="12"/>
        </w:rPr>
        <w:t>10</w:t>
      </w:r>
    </w:p>
    <w:p>
      <w:pPr>
        <w:pStyle w:val="BodyText"/>
        <w:spacing w:before="5"/>
        <w:rPr>
          <w:sz w:val="21"/>
        </w:rPr>
      </w:pPr>
      <w:r>
        <w:rPr/>
        <w:br w:type="column"/>
      </w:r>
      <w:r>
        <w:rPr>
          <w:sz w:val="21"/>
        </w:rPr>
      </w:r>
    </w:p>
    <w:p>
      <w:pPr>
        <w:pStyle w:val="Heading4"/>
        <w:spacing w:line="242" w:lineRule="auto" w:before="1"/>
        <w:ind w:left="180" w:right="254"/>
      </w:pPr>
      <w:r>
        <w:rPr>
          <w:color w:val="231F20"/>
        </w:rPr>
        <w:t>Firms’ investment intentions are influenced by their capacity utilisation positions, their expectations about future output and profits, their financial positions and the cost of capital. Most of these indicators suggest that the pace of investment growth will slow this year.</w:t>
      </w:r>
    </w:p>
    <w:p>
      <w:pPr>
        <w:spacing w:line="242" w:lineRule="auto" w:before="6"/>
        <w:ind w:left="180" w:right="252" w:firstLine="0"/>
        <w:jc w:val="left"/>
        <w:rPr>
          <w:sz w:val="24"/>
        </w:rPr>
      </w:pPr>
      <w:r>
        <w:rPr>
          <w:color w:val="231F20"/>
          <w:sz w:val="24"/>
        </w:rPr>
        <w:t>Capacity utilisation in the manufacturing sector has fallen relative to its January 1998 peak, reducing the short-term need for new investment. And the number of UK companies issuing profit warnings increased by more than 50% in the year to 1998 Q4 (albeit from a</w:t>
      </w:r>
    </w:p>
    <w:p>
      <w:pPr>
        <w:spacing w:after="0" w:line="242" w:lineRule="auto"/>
        <w:jc w:val="left"/>
        <w:rPr>
          <w:sz w:val="24"/>
        </w:rPr>
        <w:sectPr>
          <w:type w:val="continuous"/>
          <w:pgSz w:w="11900" w:h="16840"/>
          <w:pgMar w:top="1220" w:bottom="280" w:left="640" w:right="600"/>
          <w:cols w:num="2" w:equalWidth="0">
            <w:col w:w="3754" w:space="1066"/>
            <w:col w:w="5840"/>
          </w:cols>
        </w:sectPr>
      </w:pPr>
    </w:p>
    <w:p>
      <w:pPr>
        <w:tabs>
          <w:tab w:pos="4999" w:val="left" w:leader="none"/>
        </w:tabs>
        <w:spacing w:line="300" w:lineRule="exact" w:before="0"/>
        <w:ind w:left="3549" w:right="0" w:firstLine="0"/>
        <w:jc w:val="left"/>
        <w:rPr>
          <w:sz w:val="24"/>
        </w:rPr>
      </w:pPr>
      <w:r>
        <w:rPr>
          <w:position w:val="-7"/>
          <w:sz w:val="16"/>
        </w:rPr>
        <w:t>+</w:t>
        <w:tab/>
      </w:r>
      <w:r>
        <w:rPr>
          <w:color w:val="231F20"/>
          <w:sz w:val="24"/>
        </w:rPr>
        <w:t>low base). The British Chambers of Commerce</w:t>
      </w:r>
      <w:r>
        <w:rPr>
          <w:color w:val="231F20"/>
          <w:spacing w:val="-4"/>
          <w:sz w:val="24"/>
        </w:rPr>
        <w:t> </w:t>
      </w:r>
      <w:r>
        <w:rPr>
          <w:color w:val="231F20"/>
          <w:sz w:val="24"/>
        </w:rPr>
        <w:t>(BCC)</w:t>
      </w:r>
    </w:p>
    <w:p>
      <w:pPr>
        <w:tabs>
          <w:tab w:pos="4999" w:val="left" w:leader="none"/>
        </w:tabs>
        <w:spacing w:line="247" w:lineRule="exact" w:before="0"/>
        <w:ind w:left="3653" w:right="0" w:firstLine="0"/>
        <w:jc w:val="left"/>
        <w:rPr>
          <w:sz w:val="24"/>
        </w:rPr>
      </w:pPr>
      <w:r>
        <w:rPr>
          <w:position w:val="3"/>
          <w:sz w:val="12"/>
        </w:rPr>
        <w:t>0</w:t>
        <w:tab/>
      </w:r>
      <w:r>
        <w:rPr>
          <w:color w:val="231F20"/>
          <w:sz w:val="24"/>
        </w:rPr>
        <w:t>survey similarly found that firms’ confidence</w:t>
      </w:r>
      <w:r>
        <w:rPr>
          <w:color w:val="231F20"/>
          <w:spacing w:val="-5"/>
          <w:sz w:val="24"/>
        </w:rPr>
        <w:t> </w:t>
      </w:r>
      <w:r>
        <w:rPr>
          <w:color w:val="231F20"/>
          <w:sz w:val="24"/>
        </w:rPr>
        <w:t>in</w:t>
      </w:r>
    </w:p>
    <w:p>
      <w:pPr>
        <w:tabs>
          <w:tab w:pos="4999" w:val="left" w:leader="none"/>
        </w:tabs>
        <w:spacing w:line="236" w:lineRule="exact" w:before="4"/>
        <w:ind w:left="3549" w:right="0" w:firstLine="0"/>
        <w:jc w:val="left"/>
        <w:rPr>
          <w:sz w:val="24"/>
        </w:rPr>
      </w:pPr>
      <w:r>
        <w:rPr>
          <w:sz w:val="24"/>
          <w:vertAlign w:val="superscript"/>
        </w:rPr>
        <w:t>–</w:t>
      </w:r>
      <w:r>
        <w:rPr>
          <w:sz w:val="24"/>
          <w:vertAlign w:val="baseline"/>
        </w:rPr>
        <w:tab/>
      </w:r>
      <w:r>
        <w:rPr>
          <w:color w:val="231F20"/>
          <w:sz w:val="24"/>
          <w:vertAlign w:val="baseline"/>
        </w:rPr>
        <w:t>profitability remained low in both the</w:t>
      </w:r>
      <w:r>
        <w:rPr>
          <w:color w:val="231F20"/>
          <w:spacing w:val="-6"/>
          <w:sz w:val="24"/>
          <w:vertAlign w:val="baseline"/>
        </w:rPr>
        <w:t> </w:t>
      </w:r>
      <w:r>
        <w:rPr>
          <w:color w:val="231F20"/>
          <w:sz w:val="24"/>
          <w:vertAlign w:val="baseline"/>
        </w:rPr>
        <w:t>manufacturing</w:t>
      </w:r>
    </w:p>
    <w:p>
      <w:pPr>
        <w:spacing w:after="0" w:line="236" w:lineRule="exact"/>
        <w:jc w:val="left"/>
        <w:rPr>
          <w:sz w:val="24"/>
        </w:rPr>
        <w:sectPr>
          <w:type w:val="continuous"/>
          <w:pgSz w:w="11900" w:h="16840"/>
          <w:pgMar w:top="1220" w:bottom="280" w:left="640" w:right="600"/>
        </w:sectPr>
      </w:pPr>
    </w:p>
    <w:p>
      <w:pPr>
        <w:spacing w:line="120" w:lineRule="exact" w:before="0"/>
        <w:ind w:left="3593" w:right="0" w:firstLine="0"/>
        <w:jc w:val="left"/>
        <w:rPr>
          <w:sz w:val="12"/>
        </w:rPr>
      </w:pPr>
      <w:r>
        <w:rPr/>
        <w:pict>
          <v:group style="position:absolute;margin-left:46.542pt;margin-top:.433218pt;width:164pt;height:3.75pt;mso-position-horizontal-relative:page;mso-position-vertical-relative:paragraph;z-index:15930880" coordorigin="931,9" coordsize="3280,75">
            <v:line style="position:absolute" from="1073,73" to="4055,73" stroked="true" strokeweight=".5pt" strokecolor="#000000">
              <v:stroke dashstyle="solid"/>
            </v:line>
            <v:shape style="position:absolute;left:930;top:8;width:3280;height:74" coordorigin="931,9" coordsize="3280,74" path="m931,79l1024,79m4117,74l4211,74m1071,82l1071,9e" filled="false" stroked="true" strokeweight=".5pt" strokecolor="#231f20">
              <v:path arrowok="t"/>
              <v:stroke dashstyle="solid"/>
            </v:shape>
            <v:shape style="position:absolute;left:1370;top:8;width:2;height:74" coordorigin="1371,9" coordsize="0,74" path="m1371,9l1371,82e" filled="true" fillcolor="#ffffff" stroked="false">
              <v:path arrowok="t"/>
              <v:fill type="solid"/>
            </v:shape>
            <v:line style="position:absolute" from="1371,82" to="1371,9" stroked="true" strokeweight=".5pt" strokecolor="#231f20">
              <v:stroke dashstyle="solid"/>
            </v:line>
            <v:shape style="position:absolute;left:1677;top:8;width:2;height:74" coordorigin="1678,9" coordsize="0,74" path="m1678,9l1678,82e" filled="true" fillcolor="#ffffff" stroked="false">
              <v:path arrowok="t"/>
              <v:fill type="solid"/>
            </v:shape>
            <v:line style="position:absolute" from="1678,82" to="1678,9" stroked="true" strokeweight=".5pt" strokecolor="#231f20">
              <v:stroke dashstyle="solid"/>
            </v:line>
            <v:shape style="position:absolute;left:1984;top:8;width:2;height:74" coordorigin="1984,9" coordsize="0,74" path="m1984,9l1984,82e" filled="true" fillcolor="#ffffff" stroked="false">
              <v:path arrowok="t"/>
              <v:fill type="solid"/>
            </v:shape>
            <v:line style="position:absolute" from="1984,82" to="1984,9" stroked="true" strokeweight=".5pt" strokecolor="#231f20">
              <v:stroke dashstyle="solid"/>
            </v:line>
            <v:shape style="position:absolute;left:2290;top:8;width:2;height:74" coordorigin="2291,9" coordsize="0,74" path="m2291,9l2291,82e" filled="true" fillcolor="#ffffff" stroked="false">
              <v:path arrowok="t"/>
              <v:fill type="solid"/>
            </v:shape>
            <v:line style="position:absolute" from="2291,82" to="2291,9" stroked="true" strokeweight=".5pt" strokecolor="#231f20">
              <v:stroke dashstyle="solid"/>
            </v:line>
            <v:shape style="position:absolute;left:2597;top:8;width:2;height:74" coordorigin="2598,9" coordsize="0,74" path="m2598,9l2598,82e" filled="true" fillcolor="#ffffff" stroked="false">
              <v:path arrowok="t"/>
              <v:fill type="solid"/>
            </v:shape>
            <v:line style="position:absolute" from="2598,82" to="2598,9" stroked="true" strokeweight=".5pt" strokecolor="#231f20">
              <v:stroke dashstyle="solid"/>
            </v:line>
            <v:shape style="position:absolute;left:2910;top:8;width:2;height:74" coordorigin="2911,9" coordsize="0,74" path="m2911,9l2911,82e" filled="true" fillcolor="#ffffff" stroked="false">
              <v:path arrowok="t"/>
              <v:fill type="solid"/>
            </v:shape>
            <v:line style="position:absolute" from="2911,82" to="2911,9" stroked="true" strokeweight=".5pt" strokecolor="#231f20">
              <v:stroke dashstyle="solid"/>
            </v:line>
            <v:shape style="position:absolute;left:3210;top:8;width:2;height:74" coordorigin="3211,9" coordsize="0,74" path="m3211,9l3211,82e" filled="true" fillcolor="#ffffff" stroked="false">
              <v:path arrowok="t"/>
              <v:fill type="solid"/>
            </v:shape>
            <v:line style="position:absolute" from="3211,82" to="3211,9" stroked="true" strokeweight=".5pt" strokecolor="#231f20">
              <v:stroke dashstyle="solid"/>
            </v:line>
            <v:shape style="position:absolute;left:3517;top:8;width:2;height:74" coordorigin="3517,9" coordsize="0,74" path="m3517,9l3517,82e" filled="true" fillcolor="#ffffff" stroked="false">
              <v:path arrowok="t"/>
              <v:fill type="solid"/>
            </v:shape>
            <v:line style="position:absolute" from="3517,82" to="3517,9" stroked="true" strokeweight=".5pt" strokecolor="#231f20">
              <v:stroke dashstyle="solid"/>
            </v:line>
            <v:shape style="position:absolute;left:3817;top:8;width:2;height:74" coordorigin="3817,9" coordsize="0,74" path="m3817,9l3817,82e" filled="true" fillcolor="#ffffff" stroked="false">
              <v:path arrowok="t"/>
              <v:fill type="solid"/>
            </v:shape>
            <v:line style="position:absolute" from="3817,82" to="3817,9" stroked="true" strokeweight=".5pt" strokecolor="#231f20">
              <v:stroke dashstyle="solid"/>
            </v:line>
            <w10:wrap type="none"/>
          </v:group>
        </w:pict>
      </w:r>
      <w:r>
        <w:rPr>
          <w:sz w:val="12"/>
        </w:rPr>
        <w:t>10</w:t>
      </w:r>
    </w:p>
    <w:p>
      <w:pPr>
        <w:spacing w:line="125" w:lineRule="exact" w:before="0"/>
        <w:ind w:left="285" w:right="0" w:firstLine="0"/>
        <w:jc w:val="left"/>
        <w:rPr>
          <w:sz w:val="12"/>
        </w:rPr>
      </w:pPr>
      <w:r>
        <w:rPr>
          <w:sz w:val="12"/>
        </w:rPr>
        <w:t>1989 90 91 92 93 94 95 96 97 98</w:t>
      </w:r>
    </w:p>
    <w:p>
      <w:pPr>
        <w:pStyle w:val="BodyText"/>
        <w:spacing w:before="5"/>
        <w:rPr>
          <w:sz w:val="11"/>
        </w:rPr>
      </w:pPr>
    </w:p>
    <w:p>
      <w:pPr>
        <w:spacing w:before="0"/>
        <w:ind w:left="190" w:right="0" w:firstLine="0"/>
        <w:jc w:val="left"/>
        <w:rPr>
          <w:sz w:val="12"/>
        </w:rPr>
      </w:pPr>
      <w:r>
        <w:rPr>
          <w:color w:val="231F20"/>
          <w:sz w:val="12"/>
        </w:rPr>
        <w:t>Source: BCC.</w:t>
      </w:r>
    </w:p>
    <w:p>
      <w:pPr>
        <w:pStyle w:val="BodyText"/>
        <w:rPr>
          <w:sz w:val="12"/>
        </w:rPr>
      </w:pPr>
    </w:p>
    <w:p>
      <w:pPr>
        <w:pStyle w:val="BodyText"/>
        <w:rPr>
          <w:sz w:val="12"/>
        </w:rPr>
      </w:pPr>
    </w:p>
    <w:p>
      <w:pPr>
        <w:pStyle w:val="BodyText"/>
        <w:spacing w:before="1"/>
        <w:rPr>
          <w:sz w:val="14"/>
        </w:rPr>
      </w:pPr>
    </w:p>
    <w:p>
      <w:pPr>
        <w:pStyle w:val="Heading7"/>
        <w:spacing w:before="0"/>
        <w:ind w:left="200"/>
      </w:pPr>
      <w:r>
        <w:rPr>
          <w:color w:val="0093C1"/>
        </w:rPr>
        <w:t>Chart 2.15</w:t>
      </w:r>
    </w:p>
    <w:p>
      <w:pPr>
        <w:spacing w:before="10"/>
        <w:ind w:left="200" w:right="0" w:firstLine="0"/>
        <w:jc w:val="left"/>
        <w:rPr>
          <w:b/>
          <w:sz w:val="20"/>
        </w:rPr>
      </w:pPr>
      <w:r>
        <w:rPr>
          <w:b/>
          <w:color w:val="0093C1"/>
          <w:sz w:val="20"/>
        </w:rPr>
        <w:t>Manufacturing investment intentions</w:t>
      </w:r>
    </w:p>
    <w:p>
      <w:pPr>
        <w:spacing w:before="44"/>
        <w:ind w:left="190" w:right="0" w:firstLine="0"/>
        <w:jc w:val="left"/>
        <w:rPr>
          <w:sz w:val="24"/>
        </w:rPr>
      </w:pPr>
      <w:r>
        <w:rPr/>
        <w:br w:type="column"/>
      </w:r>
      <w:r>
        <w:rPr>
          <w:color w:val="231F20"/>
          <w:sz w:val="24"/>
        </w:rPr>
        <w:t>and service sectors in 1998 Q4 (see Chart 2.14).</w:t>
      </w:r>
    </w:p>
    <w:p>
      <w:pPr>
        <w:pStyle w:val="BodyText"/>
        <w:spacing w:before="2"/>
        <w:rPr>
          <w:sz w:val="28"/>
        </w:rPr>
      </w:pPr>
    </w:p>
    <w:p>
      <w:pPr>
        <w:spacing w:line="242" w:lineRule="auto" w:before="0"/>
        <w:ind w:left="190" w:right="188" w:firstLine="0"/>
        <w:jc w:val="left"/>
        <w:rPr>
          <w:sz w:val="24"/>
        </w:rPr>
      </w:pPr>
      <w:r>
        <w:rPr>
          <w:color w:val="231F20"/>
          <w:sz w:val="24"/>
        </w:rPr>
        <w:t>Because retained earnings provide the largest share of investment financing for most firms, expected lower profits will affect capital expenditure decisions in 1999.</w:t>
      </w:r>
    </w:p>
    <w:p>
      <w:pPr>
        <w:spacing w:after="0" w:line="242" w:lineRule="auto"/>
        <w:jc w:val="left"/>
        <w:rPr>
          <w:sz w:val="24"/>
        </w:rPr>
        <w:sectPr>
          <w:type w:val="continuous"/>
          <w:pgSz w:w="11900" w:h="16840"/>
          <w:pgMar w:top="1220" w:bottom="280" w:left="640" w:right="600"/>
          <w:cols w:num="2" w:equalWidth="0">
            <w:col w:w="3754" w:space="1056"/>
            <w:col w:w="5850"/>
          </w:cols>
        </w:sectPr>
      </w:pPr>
    </w:p>
    <w:p>
      <w:pPr>
        <w:pStyle w:val="BodyText"/>
        <w:spacing w:before="6"/>
        <w:rPr>
          <w:sz w:val="15"/>
        </w:rPr>
      </w:pPr>
    </w:p>
    <w:p>
      <w:pPr>
        <w:pStyle w:val="BodyText"/>
        <w:spacing w:line="20" w:lineRule="exact"/>
        <w:ind w:left="258"/>
        <w:rPr>
          <w:sz w:val="2"/>
        </w:rPr>
      </w:pPr>
      <w:r>
        <w:rPr>
          <w:sz w:val="2"/>
        </w:rPr>
        <w:pict>
          <v:group style="width:4.7pt;height:.5pt;mso-position-horizontal-relative:char;mso-position-vertical-relative:line" coordorigin="0,0" coordsize="94,10">
            <v:line style="position:absolute" from="0,5" to="93,5" stroked="true" strokeweight=".5pt" strokecolor="#000000">
              <v:stroke dashstyle="solid"/>
            </v:line>
          </v:group>
        </w:pict>
      </w:r>
      <w:r>
        <w:rPr>
          <w:sz w:val="2"/>
        </w:rPr>
      </w:r>
    </w:p>
    <w:p>
      <w:pPr>
        <w:spacing w:before="25"/>
        <w:ind w:left="1866" w:right="0" w:firstLine="0"/>
        <w:jc w:val="left"/>
        <w:rPr>
          <w:sz w:val="12"/>
        </w:rPr>
      </w:pPr>
      <w:r>
        <w:rPr>
          <w:sz w:val="12"/>
        </w:rPr>
        <w:t>BCC survey balance (a)</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14"/>
        </w:rPr>
      </w:pPr>
      <w:r>
        <w:rPr/>
        <w:pict>
          <v:shape style="position:absolute;margin-left:45.167pt;margin-top:10.610352pt;width:4.7pt;height:.1pt;mso-position-horizontal-relative:page;mso-position-vertical-relative:paragraph;z-index:-15528960;mso-wrap-distance-left:0;mso-wrap-distance-right:0" coordorigin="903,212" coordsize="94,0" path="m903,212l997,212e" filled="false" stroked="true" strokeweight=".5pt" strokecolor="#000000">
            <v:path arrowok="t"/>
            <v:stroke dashstyle="solid"/>
            <w10:wrap type="topAndBottom"/>
          </v:shape>
        </w:pict>
      </w:r>
      <w:r>
        <w:rPr/>
        <w:pict>
          <v:shape style="position:absolute;margin-left:45.167pt;margin-top:26.276352pt;width:4.7pt;height:.1pt;mso-position-horizontal-relative:page;mso-position-vertical-relative:paragraph;z-index:-15528448;mso-wrap-distance-left:0;mso-wrap-distance-right:0" coordorigin="903,526" coordsize="94,0" path="m903,526l997,526e" filled="false" stroked="true" strokeweight=".5pt" strokecolor="#000000">
            <v:path arrowok="t"/>
            <v:stroke dashstyle="solid"/>
            <w10:wrap type="topAndBottom"/>
          </v:shape>
        </w:pict>
      </w:r>
    </w:p>
    <w:p>
      <w:pPr>
        <w:pStyle w:val="BodyText"/>
        <w:spacing w:before="5"/>
        <w:rPr>
          <w:sz w:val="20"/>
        </w:rPr>
      </w:pPr>
    </w:p>
    <w:p>
      <w:pPr>
        <w:spacing w:line="118" w:lineRule="exact" w:before="25"/>
        <w:ind w:left="113" w:right="0" w:firstLine="0"/>
        <w:jc w:val="left"/>
        <w:rPr>
          <w:sz w:val="12"/>
        </w:rPr>
      </w:pPr>
      <w:r>
        <w:rPr/>
        <w:br w:type="column"/>
      </w:r>
      <w:r>
        <w:rPr>
          <w:sz w:val="12"/>
        </w:rPr>
        <w:t>Per cent</w:t>
      </w:r>
    </w:p>
    <w:p>
      <w:pPr>
        <w:spacing w:line="118" w:lineRule="exact" w:before="0"/>
        <w:ind w:left="556" w:right="0" w:firstLine="0"/>
        <w:jc w:val="left"/>
        <w:rPr>
          <w:sz w:val="12"/>
        </w:rPr>
      </w:pPr>
      <w:r>
        <w:rPr/>
        <w:pict>
          <v:line style="position:absolute;mso-position-horizontal-relative:page;mso-position-vertical-relative:paragraph;z-index:15933952" from="204.5pt,2.069pt" to="209.167pt,2.069pt" stroked="true" strokeweight=".5pt" strokecolor="#000000">
            <v:stroke dashstyle="solid"/>
            <w10:wrap type="none"/>
          </v:line>
        </w:pict>
      </w:r>
      <w:r>
        <w:rPr>
          <w:sz w:val="12"/>
        </w:rPr>
        <w:t>40</w:t>
      </w:r>
    </w:p>
    <w:p>
      <w:pPr>
        <w:pStyle w:val="BodyText"/>
        <w:spacing w:before="1"/>
        <w:rPr>
          <w:sz w:val="14"/>
        </w:rPr>
      </w:pPr>
    </w:p>
    <w:p>
      <w:pPr>
        <w:spacing w:before="0"/>
        <w:ind w:left="0" w:right="0" w:firstLine="0"/>
        <w:jc w:val="right"/>
        <w:rPr>
          <w:sz w:val="12"/>
        </w:rPr>
      </w:pPr>
      <w:r>
        <w:rPr/>
        <w:pict>
          <v:group style="position:absolute;margin-left:45.167pt;margin-top:-3.732033pt;width:164pt;height:121.3pt;mso-position-horizontal-relative:page;mso-position-vertical-relative:paragraph;z-index:15933440" coordorigin="903,-75" coordsize="3280,2426">
            <v:shape style="position:absolute;left:1084;top:333;width:693;height:1168" coordorigin="1084,334" coordsize="693,1168" path="m1739,364l1777,334m1084,1234l1124,1501e" filled="false" stroked="true" strokeweight="1pt" strokecolor="#f7941d">
              <v:path arrowok="t"/>
              <v:stroke dashstyle="solid"/>
            </v:shape>
            <v:line style="position:absolute" from="1114,1502" to="1172,1502" stroked="true" strokeweight="1.125pt" strokecolor="#f7941d">
              <v:stroke dashstyle="solid"/>
            </v:line>
            <v:shape style="position:absolute;left:1161;top:1023;width:385;height:1318" coordorigin="1162,1024" coordsize="385,1318" path="m1162,1501l1202,2254m1202,2254l1239,2341m1239,2341l1279,2101m1279,2101l1314,1861m1314,1861l1354,1654m1354,1654l1394,1354m1394,1354l1432,1114m1432,1114l1472,1024m1472,1024l1547,1564e" filled="false" stroked="true" strokeweight="1pt" strokecolor="#f7941d">
              <v:path arrowok="t"/>
              <v:stroke dashstyle="solid"/>
            </v:shape>
            <v:line style="position:absolute" from="1565,1104" to="1565,1574" stroked="true" strokeweight="2.875pt" strokecolor="#f7941d">
              <v:stroke dashstyle="solid"/>
            </v:line>
            <v:shape style="position:absolute;left:1584;top:333;width:348;height:780" coordorigin="1584,334" coordsize="348,780" path="m1584,1114l1624,784m1624,784l1664,424m1664,424l1702,604m1702,604l1739,364m1777,334l1817,544m1817,544l1854,424m1854,424l1894,634m1894,634l1932,544e" filled="false" stroked="true" strokeweight="1pt" strokecolor="#f7941d">
              <v:path arrowok="t"/>
              <v:stroke dashstyle="solid"/>
            </v:shape>
            <v:line style="position:absolute" from="1950,534" to="1950,974" stroked="true" strokeweight="2.875pt" strokecolor="#f7941d">
              <v:stroke dashstyle="solid"/>
            </v:line>
            <v:shape style="position:absolute;left:1969;top:363;width:385;height:600" coordorigin="1969,364" coordsize="385,600" path="m1969,964l2009,841m2009,841l2047,904m2047,904l2087,664m2087,664l2124,816m2124,816l2162,724m2162,724l2202,664m2202,664l2239,574m2239,574l2279,364m2279,364l2317,456m2317,456l2354,364e" filled="false" stroked="true" strokeweight="1pt" strokecolor="#f7941d">
              <v:path arrowok="t"/>
              <v:stroke dashstyle="solid"/>
            </v:shape>
            <v:line style="position:absolute" from="2373,-6" to="2373,374" stroked="true" strokeweight="2.875pt" strokecolor="#f7941d">
              <v:stroke dashstyle="solid"/>
            </v:line>
            <v:line style="position:absolute" from="2412,-6" to="2412,404" stroked="true" strokeweight="3pt" strokecolor="#f7941d">
              <v:stroke dashstyle="solid"/>
            </v:line>
            <v:line style="position:absolute" from="2432,394" to="2472,334" stroked="true" strokeweight="1pt" strokecolor="#f7941d">
              <v:stroke dashstyle="solid"/>
            </v:line>
            <v:line style="position:absolute" from="2462,335" to="2519,335" stroked="true" strokeweight="1.125pt" strokecolor="#f7941d">
              <v:stroke dashstyle="solid"/>
            </v:line>
            <v:line style="position:absolute" from="2509,334" to="2547,424" stroked="true" strokeweight="1pt" strokecolor="#f7941d">
              <v:stroke dashstyle="solid"/>
            </v:line>
            <v:line style="position:absolute" from="2565,414" to="2565,884" stroked="true" strokeweight="2.875pt" strokecolor="#f7941d">
              <v:stroke dashstyle="solid"/>
            </v:line>
            <v:line style="position:absolute" from="2652,1202" to="2712,1202" stroked="true" strokeweight="1.125pt" strokecolor="#f7941d">
              <v:stroke dashstyle="solid"/>
            </v:line>
            <v:shape style="position:absolute;left:2584;top:873;width:193;height:540" coordorigin="2584,874" coordsize="193,540" path="m2584,874l2624,1054m2624,1054l2662,1201m2702,1201l2739,1171m2739,1171l2777,1414e" filled="false" stroked="true" strokeweight="1pt" strokecolor="#f7941d">
              <v:path arrowok="t"/>
              <v:stroke dashstyle="solid"/>
            </v:shape>
            <v:line style="position:absolute" from="2797,1404" to="2797,1901" stroked="true" strokeweight="3pt" strokecolor="#f7941d">
              <v:stroke dashstyle="solid"/>
            </v:line>
            <v:shape style="position:absolute;left:2816;top:333;width:1000;height:1650" coordorigin="2817,334" coordsize="1000,1650" path="m2817,1891l2854,1984m2854,1984l2894,1861m2894,1861l2932,1171m2932,1171l2969,1441m2969,1441l3009,1264m3009,1264l3047,1234m3047,1234l3087,1501m3087,1501l3124,1171m3124,1171l3162,1201m3162,1201l3199,1054m3199,1054l3239,994m3239,994l3279,754m3279,754l3317,841m3317,841l3357,784m3357,784l3392,486m3392,486l3432,754m3432,754l3469,574m3469,574l3509,456m3509,456l3549,604m3549,604l3584,664m3584,664l3624,634m3624,634l3662,604m3662,604l3702,424m3702,424l3739,544m3739,544l3779,574m3779,574l3817,334e" filled="false" stroked="true" strokeweight="1pt" strokecolor="#f7941d">
              <v:path arrowok="t"/>
              <v:stroke dashstyle="solid"/>
            </v:shape>
            <v:line style="position:absolute" from="3835,324" to="3835,704" stroked="true" strokeweight="2.875pt" strokecolor="#f7941d">
              <v:stroke dashstyle="solid"/>
            </v:line>
            <v:line style="position:absolute" from="3854,694" to="3894,784" stroked="true" strokeweight="1pt" strokecolor="#f7941d">
              <v:stroke dashstyle="solid"/>
            </v:line>
            <v:line style="position:absolute" from="3913,774" to="3913,1304" stroked="true" strokeweight="2.875pt" strokecolor="#f7941d">
              <v:stroke dashstyle="solid"/>
            </v:line>
            <v:shape style="position:absolute;left:3931;top:1293;width:115;height:630" coordorigin="3932,1294" coordsize="115,630" path="m3932,1294l3972,1594m3972,1594l4009,1924m4009,1924l4047,1594e" filled="false" stroked="true" strokeweight="1pt" strokecolor="#f7941d">
              <v:path arrowok="t"/>
              <v:stroke dashstyle="solid"/>
            </v:shape>
            <v:line style="position:absolute" from="3422,217" to="3479,217" stroked="true" strokeweight="1.125pt" strokecolor="#0066a5">
              <v:stroke dashstyle="solid"/>
            </v:line>
            <v:shape style="position:absolute;left:2546;top:273;width:1385;height:390" coordorigin="2547,274" coordsize="1385,390" path="m3549,274l3584,304m3894,274l3932,486m2547,424l2584,574m2584,574l2624,544m2624,544l2662,664e" filled="false" stroked="true" strokeweight="1pt" strokecolor="#0066a5">
              <v:path arrowok="t"/>
              <v:stroke dashstyle="solid"/>
            </v:shape>
            <v:line style="position:absolute" from="2652,665" to="2712,665" stroked="true" strokeweight="1.125pt" strokecolor="#0066a5">
              <v:stroke dashstyle="solid"/>
            </v:line>
            <v:shape style="position:absolute;left:2701;top:303;width:1345;height:1168" coordorigin="2702,304" coordsize="1345,1168" path="m2702,664l2739,841m2739,841l2777,964m2777,964l2817,1234m2817,1234l2854,1471m2854,1471l2894,1354m2894,1354l2932,1201m2932,1201l2969,1024m2969,1024l3009,1054m3009,1054l3047,934m4009,964l4047,994m3047,934l3087,1024m3317,364l3357,304m3624,304l3662,394m3817,304l3854,364m3932,486l3972,574m3087,1024l3124,874m3124,874l3162,694m3162,694l3199,574m3199,574l3239,456e" filled="false" stroked="true" strokeweight="1pt" strokecolor="#0066a5">
              <v:path arrowok="t"/>
              <v:stroke dashstyle="solid"/>
            </v:shape>
            <v:line style="position:absolute" from="3229,457" to="3289,457" stroked="true" strokeweight="1.125pt" strokecolor="#0066a5">
              <v:stroke dashstyle="solid"/>
            </v:line>
            <v:shape style="position:absolute;left:3279;top:186;width:230;height:270" coordorigin="3279,186" coordsize="230,270" path="m3279,456l3317,364m3357,304l3392,186m3392,186l3432,216m3469,216l3509,274e" filled="false" stroked="true" strokeweight="1pt" strokecolor="#0066a5">
              <v:path arrowok="t"/>
              <v:stroke dashstyle="solid"/>
            </v:shape>
            <v:shape style="position:absolute;left:3499;top:274;width:135;height:30" coordorigin="3499,275" coordsize="135,30" path="m3499,275l3559,275m3574,305l3634,305e" filled="false" stroked="true" strokeweight="1.125pt" strokecolor="#0066a5">
              <v:path arrowok="t"/>
              <v:stroke dashstyle="solid"/>
            </v:shape>
            <v:shape style="position:absolute;left:3661;top:216;width:233;height:208" coordorigin="3662,216" coordsize="233,208" path="m3662,394l3702,304m3702,304l3739,424m3739,424l3779,216m3779,216l3817,304m3854,364l3894,274e" filled="false" stroked="true" strokeweight="1pt" strokecolor="#0066a5">
              <v:path arrowok="t"/>
              <v:stroke dashstyle="solid"/>
            </v:shape>
            <v:line style="position:absolute" from="3990,564" to="3990,974" stroked="true" strokeweight="2.875pt" strokecolor="#0066a5">
              <v:stroke dashstyle="solid"/>
            </v:line>
            <v:line style="position:absolute" from="1239,1556" to="1279,1571" stroked="true" strokeweight="1pt" strokecolor="#009483">
              <v:stroke dashstyle="solid"/>
            </v:line>
            <v:line style="position:absolute" from="1537,1069" to="1594,1069" stroked="true" strokeweight="1.25pt" strokecolor="#009483">
              <v:stroke dashstyle="solid"/>
            </v:line>
            <v:shape style="position:absolute;left:1084;top:1056;width:155;height:500" coordorigin="1084,1056" coordsize="155,500" path="m1084,1056l1124,1154m1124,1154l1162,1259m1162,1259l1202,1486m1202,1486l1239,1556e" filled="false" stroked="true" strokeweight="1pt" strokecolor="#009483">
              <v:path arrowok="t"/>
              <v:stroke dashstyle="solid"/>
            </v:shape>
            <v:line style="position:absolute" from="1269,1572" to="1324,1572" stroked="true" strokeweight="1.125pt" strokecolor="#009483">
              <v:stroke dashstyle="solid"/>
            </v:line>
            <v:shape style="position:absolute;left:1314;top:363;width:503;height:1208" coordorigin="1314,364" coordsize="503,1208" path="m1314,1571l1354,1399m1354,1399l1394,1269m1394,1269l1432,1136m1432,1136l1472,979m1472,979l1509,1014m1509,1014l1547,1066m1584,1071l1624,1061m1624,1061l1664,784m1664,784l1702,581m1702,581l1739,529m1739,529l1777,364m1777,364l1817,401e" filled="false" stroked="true" strokeweight="1pt" strokecolor="#009483">
              <v:path arrowok="t"/>
              <v:stroke dashstyle="solid"/>
            </v:shape>
            <v:line style="position:absolute" from="1835,-34" to="1835,411" stroked="true" strokeweight="2.875pt" strokecolor="#009483">
              <v:stroke dashstyle="solid"/>
            </v:line>
            <v:line style="position:absolute" from="1874,-34" to="1874,501" stroked="true" strokeweight="3pt" strokecolor="#009483">
              <v:stroke dashstyle="solid"/>
            </v:line>
            <v:shape style="position:absolute;left:1894;top:491;width:75;height:283" coordorigin="1894,491" coordsize="75,283" path="m1894,491l1932,774m1932,774l1969,664e" filled="false" stroked="true" strokeweight="1pt" strokecolor="#009483">
              <v:path arrowok="t"/>
              <v:stroke dashstyle="solid"/>
            </v:shape>
            <v:line style="position:absolute" from="1989,654" to="1989,1161" stroked="true" strokeweight="3pt" strokecolor="#009483">
              <v:stroke dashstyle="solid"/>
            </v:line>
            <v:shape style="position:absolute;left:2009;top:878;width:78;height:273" coordorigin="2009,879" coordsize="78,273" path="m2009,1151l2047,1136m2047,1136l2087,879e" filled="false" stroked="true" strokeweight="1pt" strokecolor="#009483">
              <v:path arrowok="t"/>
              <v:stroke dashstyle="solid"/>
            </v:shape>
            <v:line style="position:absolute" from="2105,869" to="2105,1254" stroked="true" strokeweight="2.875pt" strokecolor="#009483">
              <v:stroke dashstyle="solid"/>
            </v:line>
            <v:line style="position:absolute" from="2124,1244" to="2162,1146" stroked="true" strokeweight="1pt" strokecolor="#009483">
              <v:stroke dashstyle="solid"/>
            </v:line>
            <v:line style="position:absolute" from="2182,716" to="2182,1156" stroked="true" strokeweight="3pt" strokecolor="#009483">
              <v:stroke dashstyle="solid"/>
            </v:line>
            <v:shape style="position:absolute;left:2201;top:473;width:270;height:365" coordorigin="2202,474" coordsize="270,365" path="m2202,726l2239,836m2239,836l2279,561m2279,561l2317,474m2317,474l2354,524m2354,524l2392,549m2392,549l2432,839m2432,839l2472,679e" filled="false" stroked="true" strokeweight="1pt" strokecolor="#009483">
              <v:path arrowok="t"/>
              <v:stroke dashstyle="solid"/>
            </v:shape>
            <v:line style="position:absolute" from="2462,677" to="2519,677" stroked="true" strokeweight="1.125pt" strokecolor="#009483">
              <v:stroke dashstyle="solid"/>
            </v:line>
            <v:shape style="position:absolute;left:2509;top:321;width:923;height:1018" coordorigin="2509,321" coordsize="923,1018" path="m2509,676l2547,776m2547,776l2584,696m2584,696l2624,764m2624,764l2662,1096m2662,1096l2702,1226m2702,1226l2739,1239m2739,1239l2777,1339m2777,1339l2817,1239m2817,1239l2854,1156m2854,1156l2894,1196m2894,1196l2932,1329m2932,1329l2969,1254m2969,1254l3009,1139m3009,1139l3047,1096m3047,1096l3087,1076m3087,1076l3124,1104m3124,1104l3162,1206m3162,1206l3199,1119m3199,1119l3239,956m3239,956l3279,891m3279,891l3317,711m3317,711l3357,524m3357,524l3392,496m3392,496l3432,321e" filled="false" stroked="true" strokeweight="1pt" strokecolor="#009483">
              <v:path arrowok="t"/>
              <v:stroke dashstyle="solid"/>
            </v:shape>
            <v:line style="position:absolute" from="3422,319" to="3479,319" stroked="true" strokeweight="1.25pt" strokecolor="#009483">
              <v:stroke dashstyle="solid"/>
            </v:line>
            <v:shape style="position:absolute;left:3469;top:316;width:80;height:390" coordorigin="3469,316" coordsize="80,390" path="m3469,316l3509,624m3509,624l3549,706e" filled="false" stroked="true" strokeweight="1pt" strokecolor="#009483">
              <v:path arrowok="t"/>
              <v:stroke dashstyle="solid"/>
            </v:shape>
            <v:line style="position:absolute" from="3567,696" to="3567,1156" stroked="true" strokeweight="2.75pt" strokecolor="#009483">
              <v:stroke dashstyle="solid"/>
            </v:line>
            <v:shape style="position:absolute;left:3584;top:43;width:155;height:1103" coordorigin="3584,44" coordsize="155,1103" path="m3584,1146l3624,1024m3624,1024l3662,811m3662,811l3702,716m3702,716l3739,44e" filled="false" stroked="true" strokeweight="1pt" strokecolor="#009483">
              <v:path arrowok="t"/>
              <v:stroke dashstyle="solid"/>
            </v:shape>
            <v:line style="position:absolute" from="3759,34" to="3759,554" stroked="true" strokeweight="3pt" strokecolor="#009483">
              <v:stroke dashstyle="solid"/>
            </v:line>
            <v:shape style="position:absolute;left:3779;top:543;width:75;height:183" coordorigin="3779,544" coordsize="75,183" path="m3779,544l3817,726m3817,726l3854,666e" filled="false" stroked="true" strokeweight="1pt" strokecolor="#009483">
              <v:path arrowok="t"/>
              <v:stroke dashstyle="solid"/>
            </v:shape>
            <v:line style="position:absolute" from="3874,656" to="3874,1059" stroked="true" strokeweight="3pt" strokecolor="#009483">
              <v:stroke dashstyle="solid"/>
            </v:line>
            <v:line style="position:absolute" from="3884,1051" to="3942,1051" stroked="true" strokeweight="1.25pt" strokecolor="#009483">
              <v:stroke dashstyle="solid"/>
            </v:line>
            <v:line style="position:absolute" from="4045,950" to="1048,950" stroked="true" strokeweight=".5pt" strokecolor="#000000">
              <v:stroke dashstyle="solid"/>
            </v:line>
            <v:shape style="position:absolute;left:3218;top:-75;width:163;height:242" type="#_x0000_t75" stroked="false">
              <v:imagedata r:id="rId71" o:title=""/>
            </v:shape>
            <v:shape style="position:absolute;left:3405;top:1171;width:148;height:416" type="#_x0000_t75" stroked="false">
              <v:imagedata r:id="rId72" o:title=""/>
            </v:shape>
            <v:shape style="position:absolute;left:903;top:56;width:3280;height:2102" coordorigin="903,56" coordsize="3280,2102" path="m903,56l997,56m903,356l997,356m903,656l997,656m903,956l997,956m903,1263l997,1263m903,1556l997,1556m903,1850l997,1850m903,2156l997,2156m4090,58l4183,58m4090,358l4183,358m4090,658l4183,658m4090,958l4183,958m4090,1265l4183,1265m4090,1558l4183,1558m4090,1851l4183,1851m4090,2158l4183,2158e" filled="false" stroked="true" strokeweight=".5pt" strokecolor="#000000">
              <v:path arrowok="t"/>
              <v:stroke dashstyle="solid"/>
            </v:shape>
            <v:shape style="position:absolute;left:3040;top:1559;width:904;height:373" type="#_x0000_t202" filled="false" stroked="false">
              <v:textbox inset="0,0,0,0">
                <w:txbxContent>
                  <w:p>
                    <w:pPr>
                      <w:spacing w:line="124" w:lineRule="exact" w:before="0"/>
                      <w:ind w:left="0" w:right="0" w:firstLine="0"/>
                      <w:jc w:val="left"/>
                      <w:rPr>
                        <w:sz w:val="12"/>
                      </w:rPr>
                    </w:pPr>
                    <w:r>
                      <w:rPr>
                        <w:sz w:val="12"/>
                      </w:rPr>
                      <w:t>Annual growth</w:t>
                    </w:r>
                  </w:p>
                  <w:p>
                    <w:pPr>
                      <w:spacing w:line="208" w:lineRule="auto" w:before="5"/>
                      <w:ind w:left="60" w:right="0" w:firstLine="0"/>
                      <w:jc w:val="left"/>
                      <w:rPr>
                        <w:sz w:val="12"/>
                      </w:rPr>
                    </w:pPr>
                    <w:r>
                      <w:rPr>
                        <w:sz w:val="12"/>
                      </w:rPr>
                      <w:t>in manufacturing investment</w:t>
                    </w:r>
                  </w:p>
                </w:txbxContent>
              </v:textbox>
              <w10:wrap type="none"/>
            </v:shape>
            <v:shape style="position:absolute;left:1295;top:2179;width:1130;height:134" type="#_x0000_t202" filled="false" stroked="false">
              <v:textbox inset="0,0,0,0">
                <w:txbxContent>
                  <w:p>
                    <w:pPr>
                      <w:spacing w:line="133" w:lineRule="exact" w:before="0"/>
                      <w:ind w:left="0" w:right="0" w:firstLine="0"/>
                      <w:jc w:val="left"/>
                      <w:rPr>
                        <w:sz w:val="12"/>
                      </w:rPr>
                    </w:pPr>
                    <w:r>
                      <w:rPr>
                        <w:sz w:val="12"/>
                      </w:rPr>
                      <w:t>CBI survey balance (a)</w:t>
                    </w:r>
                  </w:p>
                </w:txbxContent>
              </v:textbox>
              <w10:wrap type="none"/>
            </v:shape>
            <w10:wrap type="none"/>
          </v:group>
        </w:pict>
      </w:r>
      <w:r>
        <w:rPr>
          <w:sz w:val="12"/>
        </w:rPr>
        <w:t>30</w:t>
      </w:r>
    </w:p>
    <w:p>
      <w:pPr>
        <w:pStyle w:val="BodyText"/>
        <w:spacing w:before="1"/>
        <w:rPr>
          <w:sz w:val="14"/>
        </w:rPr>
      </w:pPr>
    </w:p>
    <w:p>
      <w:pPr>
        <w:spacing w:before="0"/>
        <w:ind w:left="0" w:right="0" w:firstLine="0"/>
        <w:jc w:val="right"/>
        <w:rPr>
          <w:sz w:val="12"/>
        </w:rPr>
      </w:pPr>
      <w:r>
        <w:rPr>
          <w:sz w:val="12"/>
        </w:rPr>
        <w:t>20</w:t>
      </w:r>
    </w:p>
    <w:p>
      <w:pPr>
        <w:pStyle w:val="BodyText"/>
        <w:spacing w:before="1"/>
        <w:rPr>
          <w:sz w:val="14"/>
        </w:rPr>
      </w:pPr>
    </w:p>
    <w:p>
      <w:pPr>
        <w:spacing w:line="126" w:lineRule="exact" w:before="0"/>
        <w:ind w:left="556" w:right="0" w:firstLine="0"/>
        <w:jc w:val="left"/>
        <w:rPr>
          <w:sz w:val="12"/>
        </w:rPr>
      </w:pPr>
      <w:r>
        <w:rPr>
          <w:sz w:val="12"/>
        </w:rPr>
        <w:t>10</w:t>
      </w:r>
    </w:p>
    <w:p>
      <w:pPr>
        <w:spacing w:line="172" w:lineRule="exact" w:before="0"/>
        <w:ind w:left="482" w:right="0" w:firstLine="0"/>
        <w:jc w:val="left"/>
        <w:rPr>
          <w:sz w:val="16"/>
        </w:rPr>
      </w:pPr>
      <w:r>
        <w:rPr>
          <w:sz w:val="16"/>
        </w:rPr>
        <w:t>+</w:t>
      </w:r>
    </w:p>
    <w:p>
      <w:pPr>
        <w:spacing w:line="177" w:lineRule="auto" w:before="10"/>
        <w:ind w:left="482" w:right="0" w:firstLine="0"/>
        <w:jc w:val="left"/>
        <w:rPr>
          <w:sz w:val="12"/>
        </w:rPr>
      </w:pPr>
      <w:r>
        <w:rPr>
          <w:position w:val="-10"/>
          <w:sz w:val="16"/>
        </w:rPr>
        <w:t>–</w:t>
      </w:r>
      <w:r>
        <w:rPr>
          <w:spacing w:val="13"/>
          <w:position w:val="-10"/>
          <w:sz w:val="16"/>
        </w:rPr>
        <w:t> </w:t>
      </w:r>
      <w:r>
        <w:rPr>
          <w:spacing w:val="-19"/>
          <w:sz w:val="12"/>
        </w:rPr>
        <w:t>0</w:t>
      </w:r>
    </w:p>
    <w:p>
      <w:pPr>
        <w:spacing w:before="79"/>
        <w:ind w:left="0" w:right="0" w:firstLine="0"/>
        <w:jc w:val="right"/>
        <w:rPr>
          <w:sz w:val="12"/>
        </w:rPr>
      </w:pPr>
      <w:r>
        <w:rPr>
          <w:sz w:val="12"/>
        </w:rPr>
        <w:t>10</w:t>
      </w:r>
    </w:p>
    <w:p>
      <w:pPr>
        <w:pStyle w:val="BodyText"/>
        <w:spacing w:before="1"/>
        <w:rPr>
          <w:sz w:val="14"/>
        </w:rPr>
      </w:pPr>
    </w:p>
    <w:p>
      <w:pPr>
        <w:spacing w:before="0"/>
        <w:ind w:left="0" w:right="0" w:firstLine="0"/>
        <w:jc w:val="right"/>
        <w:rPr>
          <w:sz w:val="12"/>
        </w:rPr>
      </w:pPr>
      <w:r>
        <w:rPr>
          <w:sz w:val="12"/>
        </w:rPr>
        <w:t>20</w:t>
      </w:r>
    </w:p>
    <w:p>
      <w:pPr>
        <w:pStyle w:val="BodyText"/>
        <w:spacing w:before="1"/>
        <w:rPr>
          <w:sz w:val="14"/>
        </w:rPr>
      </w:pPr>
    </w:p>
    <w:p>
      <w:pPr>
        <w:spacing w:before="0"/>
        <w:ind w:left="0" w:right="0" w:firstLine="0"/>
        <w:jc w:val="right"/>
        <w:rPr>
          <w:sz w:val="12"/>
        </w:rPr>
      </w:pPr>
      <w:r>
        <w:rPr>
          <w:sz w:val="12"/>
        </w:rPr>
        <w:t>30</w:t>
      </w:r>
    </w:p>
    <w:p>
      <w:pPr>
        <w:pStyle w:val="BodyText"/>
        <w:spacing w:before="1"/>
        <w:rPr>
          <w:sz w:val="14"/>
        </w:rPr>
      </w:pPr>
    </w:p>
    <w:p>
      <w:pPr>
        <w:spacing w:before="0"/>
        <w:ind w:left="0" w:right="0" w:firstLine="0"/>
        <w:jc w:val="right"/>
        <w:rPr>
          <w:sz w:val="12"/>
        </w:rPr>
      </w:pPr>
      <w:r>
        <w:rPr>
          <w:sz w:val="12"/>
        </w:rPr>
        <w:t>40</w:t>
      </w:r>
    </w:p>
    <w:p>
      <w:pPr>
        <w:pStyle w:val="BodyText"/>
        <w:spacing w:before="1"/>
        <w:rPr>
          <w:sz w:val="14"/>
        </w:rPr>
      </w:pPr>
    </w:p>
    <w:p>
      <w:pPr>
        <w:spacing w:before="0"/>
        <w:ind w:left="0" w:right="0" w:firstLine="0"/>
        <w:jc w:val="right"/>
        <w:rPr>
          <w:sz w:val="12"/>
        </w:rPr>
      </w:pPr>
      <w:r>
        <w:rPr/>
        <w:pict>
          <v:line style="position:absolute;mso-position-horizontal-relative:page;mso-position-vertical-relative:paragraph;z-index:15934464" from="204.5pt,2.684753pt" to="209.167pt,2.684753pt" stroked="true" strokeweight=".5pt" strokecolor="#000000">
            <v:stroke dashstyle="solid"/>
            <w10:wrap type="none"/>
          </v:line>
        </w:pict>
      </w:r>
      <w:r>
        <w:rPr>
          <w:sz w:val="12"/>
        </w:rPr>
        <w:t>50</w:t>
      </w:r>
    </w:p>
    <w:p>
      <w:pPr>
        <w:pStyle w:val="BodyText"/>
        <w:spacing w:before="10"/>
        <w:rPr>
          <w:sz w:val="13"/>
        </w:rPr>
      </w:pPr>
    </w:p>
    <w:p>
      <w:pPr>
        <w:spacing w:line="104" w:lineRule="exact" w:before="0"/>
        <w:ind w:left="556" w:right="0" w:firstLine="0"/>
        <w:jc w:val="left"/>
        <w:rPr>
          <w:sz w:val="12"/>
        </w:rPr>
      </w:pPr>
      <w:r>
        <w:rPr/>
        <w:pict>
          <v:group style="position:absolute;margin-left:53.833pt;margin-top:-1.190430pt;width:155.35pt;height:4.95pt;mso-position-horizontal-relative:page;mso-position-vertical-relative:paragraph;z-index:15934976" coordorigin="1077,-24" coordsize="3107,99">
            <v:shape style="position:absolute;left:1083;top:-24;width:3100;height:94" coordorigin="1083,-24" coordsize="3100,94" path="m4090,70l4183,70m4028,63l4028,-24m1083,-24l1083,63m1237,-24l1237,63m1400,-24l1400,63m1553,-24l1553,63m1707,-24l1707,63m1860,-24l1860,63m2015,-24l2015,63m2168,-24l2168,63m2332,-24l2332,63m2485,-24l2485,63m2638,-24l2638,63m2792,-24l2792,63m2943,-24l2943,63m3096,-24l3096,63m3259,-24l3259,63m3413,-24l3413,63m3566,-24l3566,63m3719,-24l3719,63m3874,-24l3874,63e" filled="false" stroked="true" strokeweight=".5pt" strokecolor="#000000">
              <v:path arrowok="t"/>
              <v:stroke dashstyle="solid"/>
            </v:shape>
            <v:shape style="position:absolute;left:1076;top:57;width:2960;height:2" coordorigin="1077,58" coordsize="2960,0" path="m4037,58l1077,58e" filled="true" fillcolor="#ffffff" stroked="false">
              <v:path arrowok="t"/>
              <v:fill type="solid"/>
            </v:shape>
            <v:line style="position:absolute" from="1077,58" to="4037,58" stroked="true" strokeweight=".5pt" strokecolor="#000000">
              <v:stroke dashstyle="solid"/>
            </v:line>
            <w10:wrap type="none"/>
          </v:group>
        </w:pict>
      </w:r>
      <w:r>
        <w:rPr>
          <w:sz w:val="12"/>
        </w:rPr>
        <w:t>60</w:t>
      </w:r>
    </w:p>
    <w:p>
      <w:pPr>
        <w:pStyle w:val="Heading4"/>
        <w:spacing w:line="242" w:lineRule="auto" w:before="4"/>
        <w:ind w:left="1227" w:right="223"/>
      </w:pPr>
      <w:r>
        <w:rPr/>
        <w:br w:type="column"/>
      </w:r>
      <w:r>
        <w:rPr>
          <w:color w:val="231F20"/>
        </w:rPr>
        <w:t>However, external financing is also important. The real cost of borrowing faced by firms is likely to have fallen in the last few months, because of lower interest rates charged by banks, lower real bond yields and increased </w:t>
      </w:r>
      <w:hyperlink w:history="true" w:anchor="_bookmark1">
        <w:r>
          <w:rPr>
            <w:color w:val="231F20"/>
          </w:rPr>
          <w:t>equity prices (see Section 1).</w:t>
        </w:r>
      </w:hyperlink>
      <w:r>
        <w:rPr>
          <w:color w:val="231F20"/>
        </w:rPr>
        <w:t> Overall, therefore, the real cost of capital faced by most firms seems unlikely to be a constraint on investment decisions at present. Survey evidence supports this conclusion—in recent CBI surveys, only a small fraction of manufacturing firms reported that the cost of finance was likely to limit capital expenditure in the next twelve months.</w:t>
      </w:r>
    </w:p>
    <w:p>
      <w:pPr>
        <w:spacing w:after="0" w:line="242" w:lineRule="auto"/>
        <w:sectPr>
          <w:type w:val="continuous"/>
          <w:pgSz w:w="11900" w:h="16840"/>
          <w:pgMar w:top="1220" w:bottom="280" w:left="640" w:right="600"/>
          <w:cols w:num="3" w:equalWidth="0">
            <w:col w:w="3017" w:space="40"/>
            <w:col w:w="677" w:space="39"/>
            <w:col w:w="6887"/>
          </w:cols>
        </w:sectPr>
      </w:pPr>
    </w:p>
    <w:p>
      <w:pPr>
        <w:spacing w:line="134" w:lineRule="exact" w:before="0"/>
        <w:ind w:left="320" w:right="0" w:firstLine="0"/>
        <w:jc w:val="left"/>
        <w:rPr>
          <w:sz w:val="12"/>
        </w:rPr>
      </w:pPr>
      <w:r>
        <w:rPr>
          <w:sz w:val="12"/>
        </w:rPr>
        <w:t>1980 82 84 86 88 90 92 94 96 98</w:t>
      </w:r>
    </w:p>
    <w:p>
      <w:pPr>
        <w:pStyle w:val="BodyText"/>
        <w:rPr>
          <w:sz w:val="10"/>
        </w:rPr>
      </w:pPr>
    </w:p>
    <w:p>
      <w:pPr>
        <w:pStyle w:val="ListParagraph"/>
        <w:numPr>
          <w:ilvl w:val="2"/>
          <w:numId w:val="14"/>
        </w:numPr>
        <w:tabs>
          <w:tab w:pos="410" w:val="left" w:leader="none"/>
        </w:tabs>
        <w:spacing w:line="208" w:lineRule="auto" w:before="0" w:after="0"/>
        <w:ind w:left="410" w:right="38" w:hanging="240"/>
        <w:jc w:val="left"/>
        <w:rPr>
          <w:sz w:val="12"/>
        </w:rPr>
      </w:pPr>
      <w:r>
        <w:rPr>
          <w:color w:val="231F20"/>
          <w:sz w:val="12"/>
        </w:rPr>
        <w:t>Survey balances determined by subtracting the percentage of companies reporting decreases from the percentage of companies reporting increases. Survey balances have been advanced two quarters, as they relate to</w:t>
      </w:r>
      <w:r>
        <w:rPr>
          <w:color w:val="231F20"/>
          <w:spacing w:val="-18"/>
          <w:sz w:val="12"/>
        </w:rPr>
        <w:t> </w:t>
      </w:r>
      <w:r>
        <w:rPr>
          <w:color w:val="231F20"/>
          <w:sz w:val="12"/>
        </w:rPr>
        <w:t>intentions.</w:t>
      </w:r>
    </w:p>
    <w:p>
      <w:pPr>
        <w:pStyle w:val="BodyText"/>
        <w:rPr>
          <w:sz w:val="12"/>
        </w:rPr>
      </w:pPr>
    </w:p>
    <w:p>
      <w:pPr>
        <w:pStyle w:val="BodyText"/>
        <w:rPr>
          <w:sz w:val="12"/>
        </w:rPr>
      </w:pPr>
    </w:p>
    <w:p>
      <w:pPr>
        <w:pStyle w:val="Heading7"/>
        <w:spacing w:before="106"/>
        <w:ind w:left="194"/>
      </w:pPr>
      <w:r>
        <w:rPr>
          <w:color w:val="0093C1"/>
        </w:rPr>
        <w:t>Chart 2.16</w:t>
      </w:r>
    </w:p>
    <w:p>
      <w:pPr>
        <w:spacing w:before="10"/>
        <w:ind w:left="194" w:right="0" w:firstLine="0"/>
        <w:jc w:val="left"/>
        <w:rPr>
          <w:b/>
          <w:sz w:val="20"/>
        </w:rPr>
      </w:pPr>
      <w:r>
        <w:rPr>
          <w:b/>
          <w:color w:val="0093C1"/>
          <w:sz w:val="20"/>
        </w:rPr>
        <w:t>Service sector investment intentions</w:t>
      </w:r>
    </w:p>
    <w:p>
      <w:pPr>
        <w:spacing w:line="125" w:lineRule="exact" w:before="49"/>
        <w:ind w:left="3228" w:right="0" w:firstLine="0"/>
        <w:jc w:val="left"/>
        <w:rPr>
          <w:sz w:val="12"/>
        </w:rPr>
      </w:pPr>
      <w:r>
        <w:rPr>
          <w:sz w:val="12"/>
        </w:rPr>
        <w:t>Per cent</w:t>
      </w:r>
    </w:p>
    <w:p>
      <w:pPr>
        <w:spacing w:line="125" w:lineRule="exact" w:before="0"/>
        <w:ind w:left="3658" w:right="0" w:firstLine="0"/>
        <w:jc w:val="left"/>
        <w:rPr>
          <w:sz w:val="12"/>
        </w:rPr>
      </w:pPr>
      <w:r>
        <w:rPr/>
        <w:pict>
          <v:line style="position:absolute;mso-position-horizontal-relative:page;mso-position-vertical-relative:paragraph;z-index:15938048" from="43.220001pt,2.654175pt" to="49.553001pt,2.654175pt" stroked="true" strokeweight=".5pt" strokecolor="#000000">
            <v:stroke dashstyle="solid"/>
            <w10:wrap type="none"/>
          </v:line>
        </w:pict>
      </w:r>
      <w:r>
        <w:rPr/>
        <w:pict>
          <v:line style="position:absolute;mso-position-horizontal-relative:page;mso-position-vertical-relative:paragraph;z-index:15939072" from="205.470001pt,3.071175pt" to="211.803001pt,3.071175pt" stroked="true" strokeweight=".5pt" strokecolor="#000000">
            <v:stroke dashstyle="solid"/>
            <w10:wrap type="none"/>
          </v:line>
        </w:pict>
      </w:r>
      <w:r>
        <w:rPr>
          <w:sz w:val="12"/>
        </w:rPr>
        <w:t>40</w:t>
      </w:r>
    </w:p>
    <w:p>
      <w:pPr>
        <w:pStyle w:val="BodyText"/>
        <w:rPr>
          <w:sz w:val="12"/>
        </w:rPr>
      </w:pPr>
    </w:p>
    <w:p>
      <w:pPr>
        <w:spacing w:before="91"/>
        <w:ind w:left="0" w:right="424" w:firstLine="0"/>
        <w:jc w:val="right"/>
        <w:rPr>
          <w:sz w:val="12"/>
        </w:rPr>
      </w:pPr>
      <w:r>
        <w:rPr/>
        <w:pict>
          <v:group style="position:absolute;margin-left:43.387001pt;margin-top:5.392377pt;width:172.2pt;height:99.05pt;mso-position-horizontal-relative:page;mso-position-vertical-relative:paragraph;z-index:15937536" coordorigin="868,108" coordsize="3444,1981">
            <v:shape style="position:absolute;left:1051;top:117;width:2995;height:1705" coordorigin="1051,118" coordsize="2995,1705" path="m1051,260l1126,623,1201,703,1286,765,1361,765,1436,955,1586,1460,1661,1823,1746,1650,1821,1460,1896,1490,1971,1318,2046,1175,2131,1428,2206,1238,2281,1065,2356,908,2431,733,2506,733,2591,703,2666,655,2741,733,2816,623,2891,290,2966,543,3051,590,3126,590,3201,403,3276,403,3351,513,3436,403,3511,260,3586,260,3661,118,3736,403,3811,323,3896,290,3971,765,4046,655e" filled="false" stroked="true" strokeweight="1pt" strokecolor="#522e91">
              <v:path arrowok="t"/>
              <v:stroke dashstyle="solid"/>
            </v:shape>
            <v:shape style="position:absolute;left:1051;top:340;width:2760;height:1720" coordorigin="1051,340" coordsize="2760,1720" path="m1051,878l1126,1130,1201,1335,1286,1318,1361,1430,1436,1555,1511,1618,1586,1935,1661,2060,1746,1808,1821,1618,1896,1540,1971,1475,2046,1570,2134,1523,2206,1445,2281,1083,2356,1130,2431,498,2506,970,2594,718,2666,608,2741,1335,2816,783,2891,845,2966,970,3054,340,3126,465,3201,718,3276,845,3351,955,3439,970,3514,878,3586,450,3661,688,3736,688,3811,718e" filled="false" stroked="true" strokeweight="1pt" strokecolor="#ed1b2d">
              <v:path arrowok="t"/>
              <v:stroke dashstyle="solid"/>
            </v:shape>
            <v:line style="position:absolute" from="874,154" to="1001,154" stroked="true" strokeweight=".5pt" strokecolor="#000000">
              <v:stroke dashstyle="solid"/>
            </v:line>
            <v:line style="position:absolute" from="1004,1264" to="4051,1264" stroked="true" strokeweight=".5pt" strokecolor="#000000">
              <v:stroke dashstyle="solid"/>
            </v:line>
            <v:shape style="position:absolute;left:867;top:162;width:3379;height:1840" coordorigin="868,162" coordsize="3379,1840" path="m874,520l1001,520m874,887l1001,887m868,1267l994,1267m874,1627l1001,1627m868,1994l994,1994m4119,162l4246,162m4119,529l4246,529m4119,895l4246,895m4113,1275l4239,1275m4119,1635l4246,1635m4113,2002l4239,2002e" filled="false" stroked="true" strokeweight=".5pt" strokecolor="#000000">
              <v:path arrowok="t"/>
              <v:stroke dashstyle="solid"/>
            </v:shape>
            <v:shape style="position:absolute;left:1096;top:210;width:1433;height:134" type="#_x0000_t202" filled="false" stroked="false">
              <v:textbox inset="0,0,0,0">
                <w:txbxContent>
                  <w:p>
                    <w:pPr>
                      <w:spacing w:line="133" w:lineRule="exact" w:before="0"/>
                      <w:ind w:left="0" w:right="0" w:firstLine="0"/>
                      <w:jc w:val="left"/>
                      <w:rPr>
                        <w:sz w:val="12"/>
                      </w:rPr>
                    </w:pPr>
                    <w:r>
                      <w:rPr>
                        <w:sz w:val="12"/>
                      </w:rPr>
                      <w:t>BCC plant and machinery (a)</w:t>
                    </w:r>
                  </w:p>
                </w:txbxContent>
              </v:textbox>
              <w10:wrap type="none"/>
            </v:shape>
            <v:shape style="position:absolute;left:4200;top:1020;width:111;height:477" type="#_x0000_t202" filled="false" stroked="false">
              <v:textbox inset="0,0,0,0">
                <w:txbxContent>
                  <w:p>
                    <w:pPr>
                      <w:spacing w:line="177" w:lineRule="exact" w:before="0"/>
                      <w:ind w:left="0" w:right="0" w:firstLine="0"/>
                      <w:jc w:val="left"/>
                      <w:rPr>
                        <w:sz w:val="16"/>
                      </w:rPr>
                    </w:pPr>
                    <w:r>
                      <w:rPr>
                        <w:sz w:val="16"/>
                      </w:rPr>
                      <w:t>+</w:t>
                    </w:r>
                  </w:p>
                  <w:p>
                    <w:pPr>
                      <w:spacing w:before="115"/>
                      <w:ind w:left="0" w:right="0" w:firstLine="0"/>
                      <w:jc w:val="left"/>
                      <w:rPr>
                        <w:sz w:val="16"/>
                      </w:rPr>
                    </w:pPr>
                    <w:r>
                      <w:rPr>
                        <w:color w:val="231F20"/>
                        <w:sz w:val="16"/>
                      </w:rPr>
                      <w:t>–</w:t>
                    </w:r>
                  </w:p>
                </w:txbxContent>
              </v:textbox>
              <w10:wrap type="none"/>
            </v:shape>
            <v:shape style="position:absolute;left:1703;top:1955;width:2110;height:134" type="#_x0000_t202" filled="false" stroked="false">
              <v:textbox inset="0,0,0,0">
                <w:txbxContent>
                  <w:p>
                    <w:pPr>
                      <w:spacing w:line="133" w:lineRule="exact" w:before="0"/>
                      <w:ind w:left="0" w:right="0" w:firstLine="0"/>
                      <w:jc w:val="left"/>
                      <w:rPr>
                        <w:sz w:val="12"/>
                      </w:rPr>
                    </w:pPr>
                    <w:r>
                      <w:rPr>
                        <w:sz w:val="12"/>
                      </w:rPr>
                      <w:t>Annual growth in service sector investment</w:t>
                    </w:r>
                  </w:p>
                </w:txbxContent>
              </v:textbox>
              <w10:wrap type="none"/>
            </v:shape>
            <w10:wrap type="none"/>
          </v:group>
        </w:pict>
      </w:r>
      <w:r>
        <w:rPr>
          <w:sz w:val="12"/>
        </w:rPr>
        <w:t>30</w:t>
      </w:r>
    </w:p>
    <w:p>
      <w:pPr>
        <w:pStyle w:val="BodyText"/>
        <w:rPr>
          <w:sz w:val="12"/>
        </w:rPr>
      </w:pPr>
    </w:p>
    <w:p>
      <w:pPr>
        <w:spacing w:before="91"/>
        <w:ind w:left="0" w:right="424" w:firstLine="0"/>
        <w:jc w:val="right"/>
        <w:rPr>
          <w:sz w:val="12"/>
        </w:rPr>
      </w:pPr>
      <w:r>
        <w:rPr>
          <w:sz w:val="12"/>
        </w:rPr>
        <w:t>20</w:t>
      </w:r>
    </w:p>
    <w:p>
      <w:pPr>
        <w:pStyle w:val="BodyText"/>
        <w:rPr>
          <w:sz w:val="12"/>
        </w:rPr>
      </w:pPr>
    </w:p>
    <w:p>
      <w:pPr>
        <w:spacing w:before="91"/>
        <w:ind w:left="0" w:right="424" w:firstLine="0"/>
        <w:jc w:val="right"/>
        <w:rPr>
          <w:sz w:val="12"/>
        </w:rPr>
      </w:pPr>
      <w:r>
        <w:rPr>
          <w:sz w:val="12"/>
        </w:rPr>
        <w:t>10</w:t>
      </w:r>
    </w:p>
    <w:p>
      <w:pPr>
        <w:pStyle w:val="BodyText"/>
        <w:rPr>
          <w:sz w:val="12"/>
        </w:rPr>
      </w:pPr>
    </w:p>
    <w:p>
      <w:pPr>
        <w:spacing w:before="90"/>
        <w:ind w:left="0" w:right="424" w:firstLine="0"/>
        <w:jc w:val="right"/>
        <w:rPr>
          <w:sz w:val="12"/>
        </w:rPr>
      </w:pPr>
      <w:r>
        <w:rPr>
          <w:sz w:val="12"/>
        </w:rPr>
        <w:t>0</w:t>
      </w:r>
    </w:p>
    <w:p>
      <w:pPr>
        <w:pStyle w:val="BodyText"/>
        <w:rPr>
          <w:sz w:val="12"/>
        </w:rPr>
      </w:pPr>
    </w:p>
    <w:p>
      <w:pPr>
        <w:spacing w:before="91"/>
        <w:ind w:left="0" w:right="424" w:firstLine="0"/>
        <w:jc w:val="right"/>
        <w:rPr>
          <w:sz w:val="12"/>
        </w:rPr>
      </w:pPr>
      <w:r>
        <w:rPr>
          <w:sz w:val="12"/>
        </w:rPr>
        <w:t>10</w:t>
      </w:r>
    </w:p>
    <w:p>
      <w:pPr>
        <w:pStyle w:val="BodyText"/>
        <w:rPr>
          <w:sz w:val="12"/>
        </w:rPr>
      </w:pPr>
    </w:p>
    <w:p>
      <w:pPr>
        <w:spacing w:before="91"/>
        <w:ind w:left="0" w:right="424" w:firstLine="0"/>
        <w:jc w:val="right"/>
        <w:rPr>
          <w:sz w:val="12"/>
        </w:rPr>
      </w:pPr>
      <w:r>
        <w:rPr>
          <w:sz w:val="12"/>
        </w:rPr>
        <w:t>20</w:t>
      </w:r>
    </w:p>
    <w:p>
      <w:pPr>
        <w:pStyle w:val="BodyText"/>
        <w:rPr>
          <w:sz w:val="12"/>
        </w:rPr>
      </w:pPr>
    </w:p>
    <w:p>
      <w:pPr>
        <w:spacing w:before="91"/>
        <w:ind w:left="0" w:right="424" w:firstLine="0"/>
        <w:jc w:val="right"/>
        <w:rPr>
          <w:sz w:val="12"/>
        </w:rPr>
      </w:pPr>
      <w:r>
        <w:rPr/>
        <w:pict>
          <v:line style="position:absolute;mso-position-horizontal-relative:page;mso-position-vertical-relative:paragraph;z-index:15938560" from="43.720001pt,7.620366pt" to="50.053001pt,7.620366pt" stroked="true" strokeweight=".5pt" strokecolor="#000000">
            <v:stroke dashstyle="solid"/>
            <w10:wrap type="none"/>
          </v:line>
        </w:pict>
      </w:r>
      <w:r>
        <w:rPr/>
        <w:pict>
          <v:line style="position:absolute;mso-position-horizontal-relative:page;mso-position-vertical-relative:paragraph;z-index:15939584" from="205.970001pt,8.036366pt" to="212.303001pt,8.036366pt" stroked="true" strokeweight=".5pt" strokecolor="#000000">
            <v:stroke dashstyle="solid"/>
            <w10:wrap type="none"/>
          </v:line>
        </w:pict>
      </w:r>
      <w:r>
        <w:rPr>
          <w:sz w:val="12"/>
        </w:rPr>
        <w:t>30</w:t>
      </w:r>
    </w:p>
    <w:p>
      <w:pPr>
        <w:pStyle w:val="BodyText"/>
        <w:rPr>
          <w:sz w:val="12"/>
        </w:rPr>
      </w:pPr>
    </w:p>
    <w:p>
      <w:pPr>
        <w:spacing w:line="125" w:lineRule="exact" w:before="91"/>
        <w:ind w:left="3658" w:right="0" w:firstLine="0"/>
        <w:jc w:val="left"/>
        <w:rPr>
          <w:sz w:val="12"/>
        </w:rPr>
      </w:pPr>
      <w:r>
        <w:rPr/>
        <w:pict>
          <v:group style="position:absolute;margin-left:43.720001pt;margin-top:5.776555pt;width:168.6pt;height:3.25pt;mso-position-horizontal-relative:page;mso-position-vertical-relative:paragraph;z-index:15935488" coordorigin="874,116" coordsize="3372,65">
            <v:line style="position:absolute" from="1051,172" to="4046,175" stroked="true" strokeweight=".5pt" strokecolor="#000000">
              <v:stroke dashstyle="solid"/>
            </v:line>
            <v:shape style="position:absolute;left:874;top:115;width:3372;height:60" coordorigin="874,116" coordsize="3372,60" path="m874,159l1001,159m4119,167l4246,167m1044,116l1044,176e" filled="false" stroked="true" strokeweight=".5pt" strokecolor="#000000">
              <v:path arrowok="t"/>
              <v:stroke dashstyle="solid"/>
            </v:shape>
            <v:shape style="position:absolute;left:1357;top:115;width:2;height:60" coordorigin="1358,116" coordsize="0,60" path="m1358,116l1358,176e" filled="true" fillcolor="#ffffff" stroked="false">
              <v:path arrowok="t"/>
              <v:fill type="solid"/>
            </v:shape>
            <v:line style="position:absolute" from="1358,116" to="1358,176" stroked="true" strokeweight=".5pt" strokecolor="#000000">
              <v:stroke dashstyle="solid"/>
            </v:line>
            <v:shape style="position:absolute;left:1657;top:115;width:2;height:60" coordorigin="1658,116" coordsize="0,60" path="m1658,116l1658,176e" filled="true" fillcolor="#ffffff" stroked="false">
              <v:path arrowok="t"/>
              <v:fill type="solid"/>
            </v:shape>
            <v:line style="position:absolute" from="1658,116" to="1658,176" stroked="true" strokeweight=".5pt" strokecolor="#000000">
              <v:stroke dashstyle="solid"/>
            </v:line>
            <v:shape style="position:absolute;left:1964;top:115;width:2;height:60" coordorigin="1964,116" coordsize="0,60" path="m1964,116l1964,176e" filled="true" fillcolor="#ffffff" stroked="false">
              <v:path arrowok="t"/>
              <v:fill type="solid"/>
            </v:shape>
            <v:line style="position:absolute" from="1964,116" to="1964,176" stroked="true" strokeweight=".5pt" strokecolor="#000000">
              <v:stroke dashstyle="solid"/>
            </v:line>
            <v:shape style="position:absolute;left:2284;top:115;width:2;height:60" coordorigin="2284,116" coordsize="0,60" path="m2284,116l2284,176e" filled="true" fillcolor="#ffffff" stroked="false">
              <v:path arrowok="t"/>
              <v:fill type="solid"/>
            </v:shape>
            <v:line style="position:absolute" from="2284,116" to="2284,176" stroked="true" strokeweight=".5pt" strokecolor="#000000">
              <v:stroke dashstyle="solid"/>
            </v:line>
            <v:shape style="position:absolute;left:2591;top:115;width:2;height:60" coordorigin="2591,116" coordsize="0,60" path="m2591,116l2591,176e" filled="true" fillcolor="#ffffff" stroked="false">
              <v:path arrowok="t"/>
              <v:fill type="solid"/>
            </v:shape>
            <v:line style="position:absolute" from="2591,116" to="2591,176" stroked="true" strokeweight=".5pt" strokecolor="#000000">
              <v:stroke dashstyle="solid"/>
            </v:line>
            <v:shape style="position:absolute;left:2884;top:115;width:2;height:60" coordorigin="2884,116" coordsize="0,60" path="m2884,116l2884,176e" filled="true" fillcolor="#ffffff" stroked="false">
              <v:path arrowok="t"/>
              <v:fill type="solid"/>
            </v:shape>
            <v:line style="position:absolute" from="2884,116" to="2884,176" stroked="true" strokeweight=".5pt" strokecolor="#000000">
              <v:stroke dashstyle="solid"/>
            </v:line>
            <v:shape style="position:absolute;left:3204;top:115;width:2;height:60" coordorigin="3204,116" coordsize="0,60" path="m3204,116l3204,176e" filled="true" fillcolor="#ffffff" stroked="false">
              <v:path arrowok="t"/>
              <v:fill type="solid"/>
            </v:shape>
            <v:line style="position:absolute" from="3204,116" to="3204,176" stroked="true" strokeweight=".5pt" strokecolor="#000000">
              <v:stroke dashstyle="solid"/>
            </v:line>
            <v:shape style="position:absolute;left:3504;top:115;width:2;height:60" coordorigin="3504,116" coordsize="0,60" path="m3504,116l3504,176e" filled="true" fillcolor="#ffffff" stroked="false">
              <v:path arrowok="t"/>
              <v:fill type="solid"/>
            </v:shape>
            <v:line style="position:absolute" from="3504,116" to="3504,176" stroked="true" strokeweight=".5pt" strokecolor="#000000">
              <v:stroke dashstyle="solid"/>
            </v:line>
            <v:shape style="position:absolute;left:3811;top:115;width:2;height:60" coordorigin="3811,116" coordsize="0,60" path="m3811,116l3811,176e" filled="true" fillcolor="#ffffff" stroked="false">
              <v:path arrowok="t"/>
              <v:fill type="solid"/>
            </v:shape>
            <v:line style="position:absolute" from="3811,116" to="3811,176" stroked="true" strokeweight=".5pt" strokecolor="#000000">
              <v:stroke dashstyle="solid"/>
            </v:line>
            <w10:wrap type="none"/>
          </v:group>
        </w:pict>
      </w:r>
      <w:r>
        <w:rPr>
          <w:sz w:val="12"/>
        </w:rPr>
        <w:t>40</w:t>
      </w:r>
    </w:p>
    <w:p>
      <w:pPr>
        <w:spacing w:line="125" w:lineRule="exact" w:before="0"/>
        <w:ind w:left="409" w:right="0" w:firstLine="0"/>
        <w:jc w:val="left"/>
        <w:rPr>
          <w:sz w:val="12"/>
        </w:rPr>
      </w:pPr>
      <w:r>
        <w:rPr>
          <w:sz w:val="12"/>
        </w:rPr>
        <w:t>1989 90 91 92 93 94 95 96 97 98</w:t>
      </w:r>
    </w:p>
    <w:p>
      <w:pPr>
        <w:pStyle w:val="BodyText"/>
        <w:spacing w:before="8"/>
        <w:rPr>
          <w:sz w:val="16"/>
        </w:rPr>
      </w:pPr>
    </w:p>
    <w:p>
      <w:pPr>
        <w:spacing w:line="208" w:lineRule="auto" w:before="0"/>
        <w:ind w:left="419" w:right="38" w:hanging="240"/>
        <w:jc w:val="left"/>
        <w:rPr>
          <w:sz w:val="12"/>
        </w:rPr>
      </w:pPr>
      <w:r>
        <w:rPr>
          <w:color w:val="231F20"/>
          <w:sz w:val="12"/>
        </w:rPr>
        <w:t>(a) Survey balance determined by subtracting the percentage of companies reporting decreases from the percentage of companies reporting increases. The survey balance has been advanced two quarters, as it relates to</w:t>
      </w:r>
      <w:r>
        <w:rPr>
          <w:color w:val="231F20"/>
          <w:spacing w:val="-17"/>
          <w:sz w:val="12"/>
        </w:rPr>
        <w:t> </w:t>
      </w:r>
      <w:r>
        <w:rPr>
          <w:color w:val="231F20"/>
          <w:sz w:val="12"/>
        </w:rPr>
        <w:t>intentions.</w:t>
      </w:r>
    </w:p>
    <w:p>
      <w:pPr>
        <w:pStyle w:val="Heading4"/>
        <w:spacing w:line="242" w:lineRule="auto" w:before="182"/>
        <w:ind w:right="282"/>
        <w:jc w:val="both"/>
      </w:pPr>
      <w:r>
        <w:rPr/>
        <w:br w:type="column"/>
      </w:r>
      <w:r>
        <w:rPr>
          <w:color w:val="231F20"/>
        </w:rPr>
        <w:t>Survey evidence suggests that the overall growth rate</w:t>
      </w:r>
      <w:r>
        <w:rPr>
          <w:color w:val="231F20"/>
          <w:spacing w:val="-27"/>
        </w:rPr>
        <w:t> </w:t>
      </w:r>
      <w:r>
        <w:rPr>
          <w:color w:val="231F20"/>
        </w:rPr>
        <w:t>of business investment will slow sharply this year and</w:t>
      </w:r>
      <w:r>
        <w:rPr>
          <w:color w:val="231F20"/>
          <w:spacing w:val="-23"/>
        </w:rPr>
        <w:t> </w:t>
      </w:r>
      <w:r>
        <w:rPr>
          <w:color w:val="231F20"/>
          <w:spacing w:val="-6"/>
        </w:rPr>
        <w:t>may </w:t>
      </w:r>
      <w:r>
        <w:rPr>
          <w:color w:val="231F20"/>
        </w:rPr>
        <w:t>well turn negative (see Charts 2.15 and</w:t>
      </w:r>
      <w:r>
        <w:rPr>
          <w:color w:val="231F20"/>
          <w:spacing w:val="-5"/>
        </w:rPr>
        <w:t> </w:t>
      </w:r>
      <w:r>
        <w:rPr>
          <w:color w:val="231F20"/>
        </w:rPr>
        <w:t>2.16).</w:t>
      </w:r>
    </w:p>
    <w:p>
      <w:pPr>
        <w:spacing w:line="242" w:lineRule="auto" w:before="4"/>
        <w:ind w:left="170" w:right="287" w:firstLine="0"/>
        <w:jc w:val="left"/>
        <w:rPr>
          <w:sz w:val="24"/>
        </w:rPr>
      </w:pPr>
      <w:r>
        <w:rPr>
          <w:color w:val="231F20"/>
          <w:sz w:val="24"/>
        </w:rPr>
        <w:t>Investment intentions in the manufacturing sector remain very subdued. They have also weakened in the service sector, though the latest BCC survey balance remained positive, indicating continued increases in capital expenditure.</w:t>
      </w:r>
    </w:p>
    <w:p>
      <w:pPr>
        <w:pStyle w:val="BodyText"/>
        <w:spacing w:before="4"/>
        <w:rPr>
          <w:sz w:val="28"/>
        </w:rPr>
      </w:pPr>
    </w:p>
    <w:p>
      <w:pPr>
        <w:spacing w:line="242" w:lineRule="auto" w:before="0"/>
        <w:ind w:left="170" w:right="261" w:firstLine="0"/>
        <w:jc w:val="left"/>
        <w:rPr>
          <w:sz w:val="24"/>
        </w:rPr>
      </w:pPr>
      <w:r>
        <w:rPr>
          <w:color w:val="231F20"/>
          <w:sz w:val="24"/>
        </w:rPr>
        <w:t>Real general government investment in the second and third quarters of 1998 was 2.4% higher than in the same period a year earlier, following a fall of more than 12% in financial year 1997/98. As the November</w:t>
      </w:r>
    </w:p>
    <w:p>
      <w:pPr>
        <w:spacing w:line="242" w:lineRule="auto" w:before="5"/>
        <w:ind w:left="170" w:right="0" w:firstLine="0"/>
        <w:jc w:val="left"/>
        <w:rPr>
          <w:sz w:val="24"/>
        </w:rPr>
      </w:pPr>
      <w:r>
        <w:rPr>
          <w:i/>
          <w:color w:val="231F20"/>
          <w:sz w:val="24"/>
        </w:rPr>
        <w:t>Pre-Budget Report </w:t>
      </w:r>
      <w:r>
        <w:rPr>
          <w:color w:val="231F20"/>
          <w:sz w:val="24"/>
        </w:rPr>
        <w:t>indicated a 5.6% increase in the nominal capital budget for this financial year, it seems likely that the growth rate of real government investment will continue to increase in 1998 Q4 and 1999 Q1.</w:t>
      </w:r>
    </w:p>
    <w:p>
      <w:pPr>
        <w:spacing w:line="242" w:lineRule="auto" w:before="5"/>
        <w:ind w:left="170" w:right="287" w:firstLine="0"/>
        <w:jc w:val="left"/>
        <w:rPr>
          <w:sz w:val="24"/>
        </w:rPr>
      </w:pPr>
      <w:r>
        <w:rPr>
          <w:color w:val="231F20"/>
          <w:sz w:val="24"/>
        </w:rPr>
        <w:t>Looking further ahead, the Government has committed itself to doubling the ratio of public sector net investment to GDP over the next three years. So the growth rate of government capital expenditure is likely</w:t>
      </w:r>
    </w:p>
    <w:p>
      <w:pPr>
        <w:spacing w:after="0" w:line="242" w:lineRule="auto"/>
        <w:jc w:val="left"/>
        <w:rPr>
          <w:sz w:val="24"/>
        </w:rPr>
        <w:sectPr>
          <w:type w:val="continuous"/>
          <w:pgSz w:w="11900" w:h="16840"/>
          <w:pgMar w:top="1220" w:bottom="280" w:left="640" w:right="600"/>
          <w:cols w:num="2" w:equalWidth="0">
            <w:col w:w="4206" w:space="624"/>
            <w:col w:w="5830"/>
          </w:cols>
        </w:sectPr>
      </w:pPr>
    </w:p>
    <w:p>
      <w:pPr>
        <w:pStyle w:val="BodyText"/>
        <w:rPr>
          <w:sz w:val="20"/>
        </w:rPr>
      </w:pPr>
    </w:p>
    <w:p>
      <w:pPr>
        <w:spacing w:line="242" w:lineRule="auto" w:before="227"/>
        <w:ind w:left="4960" w:right="312" w:firstLine="0"/>
        <w:jc w:val="left"/>
        <w:rPr>
          <w:sz w:val="16"/>
        </w:rPr>
      </w:pPr>
      <w:bookmarkStart w:name="Inventory investment" w:id="40"/>
      <w:bookmarkEnd w:id="40"/>
      <w:r>
        <w:rPr/>
      </w:r>
      <w:bookmarkStart w:name="Public sector demand" w:id="41"/>
      <w:bookmarkEnd w:id="41"/>
      <w:r>
        <w:rPr/>
      </w:r>
      <w:bookmarkStart w:name="_bookmark14" w:id="42"/>
      <w:bookmarkEnd w:id="42"/>
      <w:r>
        <w:rPr/>
      </w:r>
      <w:r>
        <w:rPr>
          <w:color w:val="231F20"/>
          <w:sz w:val="24"/>
        </w:rPr>
        <w:t>to increase sharply in the next financial year. Millennium-related construction spending will probably also boost investment this year and may bring some expenditures forward, though it may lead to some substitution between private and public investment spending.</w:t>
      </w:r>
      <w:r>
        <w:rPr>
          <w:color w:val="231F20"/>
          <w:position w:val="5"/>
          <w:sz w:val="16"/>
        </w:rPr>
        <w:t>(1)</w:t>
      </w:r>
    </w:p>
    <w:p>
      <w:pPr>
        <w:pStyle w:val="BodyText"/>
        <w:spacing w:before="8"/>
        <w:rPr>
          <w:sz w:val="20"/>
        </w:rPr>
      </w:pPr>
    </w:p>
    <w:p>
      <w:pPr>
        <w:spacing w:after="0"/>
        <w:rPr>
          <w:sz w:val="20"/>
        </w:rPr>
        <w:sectPr>
          <w:pgSz w:w="11900" w:h="16840"/>
          <w:pgMar w:header="586" w:footer="617" w:top="780" w:bottom="800" w:left="640" w:right="600"/>
        </w:sect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Heading7"/>
        <w:spacing w:before="193"/>
      </w:pPr>
      <w:r>
        <w:rPr>
          <w:color w:val="0093C1"/>
        </w:rPr>
        <w:t>Chart 2.17</w:t>
      </w:r>
    </w:p>
    <w:p>
      <w:pPr>
        <w:spacing w:before="10"/>
        <w:ind w:left="180" w:right="0" w:firstLine="0"/>
        <w:jc w:val="left"/>
        <w:rPr>
          <w:b/>
          <w:sz w:val="20"/>
        </w:rPr>
      </w:pPr>
      <w:r>
        <w:rPr>
          <w:b/>
          <w:color w:val="0093C1"/>
          <w:sz w:val="20"/>
        </w:rPr>
        <w:t>Change in inventories</w:t>
      </w:r>
    </w:p>
    <w:p>
      <w:pPr>
        <w:spacing w:before="195"/>
        <w:ind w:left="588" w:right="0" w:firstLine="0"/>
        <w:jc w:val="left"/>
        <w:rPr>
          <w:sz w:val="12"/>
        </w:rPr>
      </w:pPr>
      <w:r>
        <w:rPr/>
        <w:pict>
          <v:group style="position:absolute;margin-left:45.813pt;margin-top:8.174373pt;width:9.2pt;height:9.2pt;mso-position-horizontal-relative:page;mso-position-vertical-relative:paragraph;z-index:15945216" coordorigin="916,163" coordsize="184,184">
            <v:rect style="position:absolute;left:921;top:168;width:174;height:174" filled="true" fillcolor="#edc5dd" stroked="false">
              <v:fill type="solid"/>
            </v:rect>
            <v:rect style="position:absolute;left:921;top:168;width:174;height:174" filled="false" stroked="true" strokeweight=".5pt" strokecolor="#231f20">
              <v:stroke dashstyle="solid"/>
            </v:rect>
            <w10:wrap type="none"/>
          </v:group>
        </w:pict>
      </w:r>
      <w:r>
        <w:rPr>
          <w:color w:val="231F20"/>
          <w:sz w:val="12"/>
        </w:rPr>
        <w:t>Change in inventories (a) (right-hand scale)</w:t>
      </w:r>
    </w:p>
    <w:p>
      <w:pPr>
        <w:pStyle w:val="Heading5"/>
        <w:spacing w:before="90"/>
        <w:ind w:left="180"/>
        <w:rPr>
          <w:i/>
        </w:rPr>
      </w:pPr>
      <w:r>
        <w:rPr>
          <w:i w:val="0"/>
        </w:rPr>
        <w:br w:type="column"/>
      </w:r>
      <w:r>
        <w:rPr>
          <w:i/>
          <w:color w:val="009483"/>
        </w:rPr>
        <w:t>Inventory investment</w:t>
      </w:r>
    </w:p>
    <w:p>
      <w:pPr>
        <w:spacing w:line="242" w:lineRule="auto" w:before="184"/>
        <w:ind w:left="180" w:right="353" w:firstLine="0"/>
        <w:jc w:val="left"/>
        <w:rPr>
          <w:sz w:val="24"/>
        </w:rPr>
      </w:pPr>
      <w:r>
        <w:rPr>
          <w:color w:val="231F20"/>
          <w:sz w:val="24"/>
        </w:rPr>
        <w:t>There is evidence that the slowdown in consumption growth took some firms by surprise, causing an involuntary accumulation of inventories. Between the first and third quarters of 1998, manufacturing and retail sector stock-output ratios for finished goods increased by 1</w:t>
      </w:r>
      <w:r>
        <w:rPr>
          <w:color w:val="231F20"/>
          <w:position w:val="8"/>
          <w:sz w:val="12"/>
        </w:rPr>
        <w:t>3</w:t>
      </w:r>
      <w:r>
        <w:rPr>
          <w:color w:val="231F20"/>
          <w:sz w:val="24"/>
        </w:rPr>
        <w:t>/</w:t>
      </w:r>
      <w:r>
        <w:rPr>
          <w:color w:val="231F20"/>
          <w:sz w:val="12"/>
        </w:rPr>
        <w:t>4 </w:t>
      </w:r>
      <w:r>
        <w:rPr>
          <w:color w:val="231F20"/>
          <w:sz w:val="24"/>
        </w:rPr>
        <w:t>percentage points and 2</w:t>
      </w:r>
      <w:r>
        <w:rPr>
          <w:color w:val="231F20"/>
          <w:position w:val="8"/>
          <w:sz w:val="12"/>
        </w:rPr>
        <w:t>3</w:t>
      </w:r>
      <w:r>
        <w:rPr>
          <w:color w:val="231F20"/>
          <w:sz w:val="24"/>
        </w:rPr>
        <w:t>/</w:t>
      </w:r>
      <w:r>
        <w:rPr>
          <w:color w:val="231F20"/>
          <w:sz w:val="12"/>
        </w:rPr>
        <w:t>4 </w:t>
      </w:r>
      <w:r>
        <w:rPr>
          <w:color w:val="231F20"/>
          <w:sz w:val="24"/>
        </w:rPr>
        <w:t>percentage points respectively. In addition, CBI surveys </w:t>
      </w:r>
      <w:r>
        <w:rPr>
          <w:color w:val="231F20"/>
          <w:spacing w:val="-3"/>
          <w:sz w:val="24"/>
        </w:rPr>
        <w:t>have </w:t>
      </w:r>
      <w:r>
        <w:rPr>
          <w:color w:val="231F20"/>
          <w:sz w:val="24"/>
        </w:rPr>
        <w:t>found that the balance of manufacturing firms</w:t>
      </w:r>
      <w:r>
        <w:rPr>
          <w:color w:val="231F20"/>
          <w:spacing w:val="-24"/>
          <w:sz w:val="24"/>
        </w:rPr>
        <w:t> </w:t>
      </w:r>
      <w:r>
        <w:rPr>
          <w:color w:val="231F20"/>
          <w:sz w:val="24"/>
        </w:rPr>
        <w:t>reporting more-than-adequate inventory levels increased in both Q3 and Q4 last year, to the highest levels</w:t>
      </w:r>
      <w:r>
        <w:rPr>
          <w:color w:val="231F20"/>
          <w:spacing w:val="-8"/>
          <w:sz w:val="24"/>
        </w:rPr>
        <w:t> </w:t>
      </w:r>
      <w:r>
        <w:rPr>
          <w:color w:val="231F20"/>
          <w:sz w:val="24"/>
        </w:rPr>
        <w:t>since</w:t>
      </w:r>
    </w:p>
    <w:p>
      <w:pPr>
        <w:spacing w:line="242" w:lineRule="auto" w:before="12"/>
        <w:ind w:left="180" w:right="435" w:firstLine="0"/>
        <w:jc w:val="left"/>
        <w:rPr>
          <w:sz w:val="24"/>
        </w:rPr>
      </w:pPr>
      <w:r>
        <w:rPr>
          <w:color w:val="231F20"/>
          <w:sz w:val="24"/>
        </w:rPr>
        <w:t>1991. However, there appears to be less of an inventory overhang in the retail and wholesale sectors: the number of firms reporting to the CBI Distributive</w:t>
      </w:r>
    </w:p>
    <w:p>
      <w:pPr>
        <w:spacing w:after="0" w:line="242" w:lineRule="auto"/>
        <w:jc w:val="left"/>
        <w:rPr>
          <w:sz w:val="24"/>
        </w:rPr>
        <w:sectPr>
          <w:type w:val="continuous"/>
          <w:pgSz w:w="11900" w:h="16840"/>
          <w:pgMar w:top="1220" w:bottom="280" w:left="640" w:right="600"/>
          <w:cols w:num="2" w:equalWidth="0">
            <w:col w:w="2725" w:space="2055"/>
            <w:col w:w="5880"/>
          </w:cols>
        </w:sectPr>
      </w:pPr>
    </w:p>
    <w:p>
      <w:pPr>
        <w:spacing w:line="99" w:lineRule="exact" w:before="0"/>
        <w:ind w:left="279" w:right="0" w:firstLine="0"/>
        <w:jc w:val="left"/>
        <w:rPr>
          <w:sz w:val="12"/>
        </w:rPr>
      </w:pPr>
      <w:r>
        <w:rPr>
          <w:color w:val="231F20"/>
          <w:sz w:val="12"/>
        </w:rPr>
        <w:t>Percentage changes</w:t>
      </w:r>
    </w:p>
    <w:p>
      <w:pPr>
        <w:spacing w:before="2"/>
        <w:ind w:left="182" w:right="0" w:firstLine="0"/>
        <w:jc w:val="left"/>
        <w:rPr>
          <w:sz w:val="12"/>
        </w:rPr>
      </w:pPr>
      <w:r>
        <w:rPr/>
        <w:pict>
          <v:group style="position:absolute;margin-left:54.25pt;margin-top:7.545372pt;width:142.85pt;height:141.75pt;mso-position-horizontal-relative:page;mso-position-vertical-relative:paragraph;z-index:-21076992" coordorigin="1085,151" coordsize="2857,2835">
            <v:rect style="position:absolute;left:1090;top:2147;width:40;height:61" filled="true" fillcolor="#edc5dd" stroked="false">
              <v:fill type="solid"/>
            </v:rect>
            <v:rect style="position:absolute;left:1090;top:2147;width:40;height:61" filled="false" stroked="true" strokeweight=".5pt" strokecolor="#231f20">
              <v:stroke dashstyle="solid"/>
            </v:rect>
            <v:rect style="position:absolute;left:1147;top:1756;width:36;height:392" filled="true" fillcolor="#edc5dd" stroked="false">
              <v:fill type="solid"/>
            </v:rect>
            <v:rect style="position:absolute;left:1147;top:1756;width:36;height:392" filled="false" stroked="true" strokeweight=".5pt" strokecolor="#231f20">
              <v:stroke dashstyle="solid"/>
            </v:rect>
            <v:rect style="position:absolute;left:1197;top:1846;width:36;height:302" filled="true" fillcolor="#edc5dd" stroked="false">
              <v:fill type="solid"/>
            </v:rect>
            <v:rect style="position:absolute;left:1197;top:1846;width:36;height:302" filled="false" stroked="true" strokeweight=".5pt" strokecolor="#231f20">
              <v:stroke dashstyle="solid"/>
            </v:rect>
            <v:rect style="position:absolute;left:1252;top:2147;width:34;height:46" filled="true" fillcolor="#edc5dd" stroked="false">
              <v:fill type="solid"/>
            </v:rect>
            <v:rect style="position:absolute;left:1252;top:2147;width:34;height:46" filled="false" stroked="true" strokeweight=".5pt" strokecolor="#231f20">
              <v:stroke dashstyle="solid"/>
            </v:rect>
            <v:rect style="position:absolute;left:1300;top:1937;width:31;height:211" filled="true" fillcolor="#edc5dd" stroked="false">
              <v:fill type="solid"/>
            </v:rect>
            <v:rect style="position:absolute;left:1300;top:1937;width:31;height:211" filled="false" stroked="true" strokeweight=".5pt" strokecolor="#231f20">
              <v:stroke dashstyle="solid"/>
            </v:rect>
            <v:rect style="position:absolute;left:1350;top:1982;width:32;height:166" filled="true" fillcolor="#edc5dd" stroked="false">
              <v:fill type="solid"/>
            </v:rect>
            <v:rect style="position:absolute;left:1350;top:1982;width:32;height:166" filled="false" stroked="true" strokeweight=".5pt" strokecolor="#231f20">
              <v:stroke dashstyle="solid"/>
            </v:rect>
            <v:rect style="position:absolute;left:1397;top:2147;width:38;height:136" filled="true" fillcolor="#edc5dd" stroked="false">
              <v:fill type="solid"/>
            </v:rect>
            <v:rect style="position:absolute;left:1397;top:2147;width:38;height:136" filled="false" stroked="true" strokeweight=".5pt" strokecolor="#231f20">
              <v:stroke dashstyle="solid"/>
            </v:rect>
            <v:rect style="position:absolute;left:1451;top:1711;width:31;height:437" filled="true" fillcolor="#edc5dd" stroked="false">
              <v:fill type="solid"/>
            </v:rect>
            <v:rect style="position:absolute;left:1451;top:1711;width:31;height:437" filled="false" stroked="true" strokeweight=".5pt" strokecolor="#231f20">
              <v:stroke dashstyle="solid"/>
            </v:rect>
            <v:shape style="position:absolute;left:1496;top:2147;width:32;height:2" coordorigin="1496,2148" coordsize="32,0" path="m1527,2148l1496,2148,1527,2148xe" filled="true" fillcolor="#edc5dd" stroked="false">
              <v:path arrowok="t"/>
              <v:fill type="solid"/>
            </v:shape>
            <v:shape style="position:absolute;left:1496;top:2147;width:32;height:2" coordorigin="1496,2148" coordsize="32,0" path="m1496,2148l1527,2148,1496,2148e" filled="false" stroked="true" strokeweight=".5pt" strokecolor="#231f20">
              <v:path arrowok="t"/>
              <v:stroke dashstyle="solid"/>
            </v:shape>
            <v:rect style="position:absolute;left:1545;top:1876;width:40;height:271" filled="true" fillcolor="#edc5dd" stroked="false">
              <v:fill type="solid"/>
            </v:rect>
            <v:rect style="position:absolute;left:1545;top:1876;width:40;height:271" filled="false" stroked="true" strokeweight=".5pt" strokecolor="#231f20">
              <v:stroke dashstyle="solid"/>
            </v:rect>
            <v:rect style="position:absolute;left:1600;top:1560;width:36;height:588" filled="true" fillcolor="#edc5dd" stroked="false">
              <v:fill type="solid"/>
            </v:rect>
            <v:rect style="position:absolute;left:1600;top:1560;width:36;height:588" filled="false" stroked="true" strokeweight=".5pt" strokecolor="#231f20">
              <v:stroke dashstyle="solid"/>
            </v:rect>
            <v:rect style="position:absolute;left:1652;top:2057;width:40;height:91" filled="true" fillcolor="#edc5dd" stroked="false">
              <v:fill type="solid"/>
            </v:rect>
            <v:rect style="position:absolute;left:1652;top:2057;width:40;height:91" filled="false" stroked="true" strokeweight=".5pt" strokecolor="#231f20">
              <v:stroke dashstyle="solid"/>
            </v:rect>
            <v:rect style="position:absolute;left:1707;top:1620;width:31;height:527" filled="true" fillcolor="#edc5dd" stroked="false">
              <v:fill type="solid"/>
            </v:rect>
            <v:rect style="position:absolute;left:1707;top:1620;width:31;height:527" filled="false" stroked="true" strokeweight=".5pt" strokecolor="#231f20">
              <v:stroke dashstyle="solid"/>
            </v:rect>
            <v:rect style="position:absolute;left:1752;top:1590;width:36;height:557" filled="true" fillcolor="#edc5dd" stroked="false">
              <v:fill type="solid"/>
            </v:rect>
            <v:rect style="position:absolute;left:1752;top:1590;width:36;height:557" filled="false" stroked="true" strokeweight=".5pt" strokecolor="#231f20">
              <v:stroke dashstyle="solid"/>
            </v:rect>
            <v:rect style="position:absolute;left:1802;top:1816;width:41;height:332" filled="true" fillcolor="#edc5dd" stroked="false">
              <v:fill type="solid"/>
            </v:rect>
            <v:rect style="position:absolute;left:1802;top:1816;width:41;height:332" filled="false" stroked="true" strokeweight=".5pt" strokecolor="#231f20">
              <v:stroke dashstyle="solid"/>
            </v:rect>
            <v:rect style="position:absolute;left:1857;top:612;width:36;height:1536" filled="true" fillcolor="#edc5dd" stroked="false">
              <v:fill type="solid"/>
            </v:rect>
            <v:rect style="position:absolute;left:1857;top:612;width:36;height:1536" filled="false" stroked="true" strokeweight=".5pt" strokecolor="#231f20">
              <v:stroke dashstyle="solid"/>
            </v:rect>
            <v:rect style="position:absolute;left:1909;top:1500;width:39;height:648" filled="true" fillcolor="#edc5dd" stroked="false">
              <v:fill type="solid"/>
            </v:rect>
            <v:rect style="position:absolute;left:1909;top:1500;width:39;height:648" filled="false" stroked="true" strokeweight=".5pt" strokecolor="#231f20">
              <v:stroke dashstyle="solid"/>
            </v:rect>
            <v:rect style="position:absolute;left:1963;top:1605;width:31;height:542" filled="true" fillcolor="#edc5dd" stroked="false">
              <v:fill type="solid"/>
            </v:rect>
            <v:rect style="position:absolute;left:1963;top:1605;width:31;height:542" filled="false" stroked="true" strokeweight=".5pt" strokecolor="#231f20">
              <v:stroke dashstyle="solid"/>
            </v:rect>
            <v:rect style="position:absolute;left:2008;top:1922;width:32;height:226" filled="true" fillcolor="#edc5dd" stroked="false">
              <v:fill type="solid"/>
            </v:rect>
            <v:rect style="position:absolute;left:2008;top:1922;width:32;height:226" filled="false" stroked="true" strokeweight=".5pt" strokecolor="#231f20">
              <v:stroke dashstyle="solid"/>
            </v:rect>
            <v:rect style="position:absolute;left:2060;top:1982;width:38;height:166" filled="true" fillcolor="#edc5dd" stroked="false">
              <v:fill type="solid"/>
            </v:rect>
            <v:rect style="position:absolute;left:2060;top:1982;width:38;height:166" filled="false" stroked="true" strokeweight=".5pt" strokecolor="#231f20">
              <v:stroke dashstyle="solid"/>
            </v:rect>
            <v:rect style="position:absolute;left:2113;top:1967;width:31;height:181" filled="true" fillcolor="#edc5dd" stroked="false">
              <v:fill type="solid"/>
            </v:rect>
            <v:rect style="position:absolute;left:2113;top:1967;width:31;height:181" filled="false" stroked="true" strokeweight=".5pt" strokecolor="#231f20">
              <v:stroke dashstyle="solid"/>
            </v:rect>
            <v:rect style="position:absolute;left:2158;top:2102;width:32;height:46" filled="true" fillcolor="#edc5dd" stroked="false">
              <v:fill type="solid"/>
            </v:rect>
            <v:rect style="position:absolute;left:2158;top:2102;width:32;height:46" filled="false" stroked="true" strokeweight=".5pt" strokecolor="#231f20">
              <v:stroke dashstyle="solid"/>
            </v:rect>
            <v:rect style="position:absolute;left:2210;top:2147;width:39;height:482" filled="true" fillcolor="#edc5dd" stroked="false">
              <v:fill type="solid"/>
            </v:rect>
            <v:rect style="position:absolute;left:2210;top:2147;width:39;height:482" filled="false" stroked="true" strokeweight=".5pt" strokecolor="#231f20">
              <v:stroke dashstyle="solid"/>
            </v:rect>
            <v:rect style="position:absolute;left:2264;top:2147;width:36;height:783" filled="true" fillcolor="#edc5dd" stroked="false">
              <v:fill type="solid"/>
            </v:rect>
            <v:rect style="position:absolute;left:2264;top:2147;width:36;height:783" filled="false" stroked="true" strokeweight=".5pt" strokecolor="#231f20">
              <v:stroke dashstyle="solid"/>
            </v:rect>
            <v:rect style="position:absolute;left:2316;top:2147;width:38;height:708" filled="true" fillcolor="#edc5dd" stroked="false">
              <v:fill type="solid"/>
            </v:rect>
            <v:rect style="position:absolute;left:2316;top:2147;width:38;height:708" filled="false" stroked="true" strokeweight=".5pt" strokecolor="#231f20">
              <v:stroke dashstyle="solid"/>
            </v:rect>
            <v:rect style="position:absolute;left:2369;top:2147;width:31;height:603" filled="true" fillcolor="#edc5dd" stroked="false">
              <v:fill type="solid"/>
            </v:rect>
            <v:rect style="position:absolute;left:2369;top:2147;width:31;height:603" filled="false" stroked="true" strokeweight=".5pt" strokecolor="#231f20">
              <v:stroke dashstyle="solid"/>
            </v:rect>
            <v:rect style="position:absolute;left:2411;top:2147;width:38;height:678" filled="true" fillcolor="#edc5dd" stroked="false">
              <v:fill type="solid"/>
            </v:rect>
            <v:rect style="position:absolute;left:2411;top:2147;width:38;height:678" filled="false" stroked="true" strokeweight=".5pt" strokecolor="#231f20">
              <v:stroke dashstyle="solid"/>
            </v:rect>
            <v:rect style="position:absolute;left:2469;top:2147;width:35;height:678" filled="true" fillcolor="#edc5dd" stroked="false">
              <v:fill type="solid"/>
            </v:rect>
            <v:rect style="position:absolute;left:2469;top:2147;width:35;height:678" filled="false" stroked="true" strokeweight=".5pt" strokecolor="#231f20">
              <v:stroke dashstyle="solid"/>
            </v:rect>
            <v:rect style="position:absolute;left:2519;top:2147;width:36;height:241" filled="true" fillcolor="#edc5dd" stroked="false">
              <v:fill type="solid"/>
            </v:rect>
            <v:rect style="position:absolute;left:2519;top:2147;width:36;height:241" filled="false" stroked="true" strokeweight=".5pt" strokecolor="#231f20">
              <v:stroke dashstyle="solid"/>
            </v:rect>
            <v:rect style="position:absolute;left:2575;top:2147;width:35;height:542" filled="true" fillcolor="#edc5dd" stroked="false">
              <v:fill type="solid"/>
            </v:rect>
            <v:rect style="position:absolute;left:2575;top:2147;width:35;height:542" filled="false" stroked="true" strokeweight=".5pt" strokecolor="#231f20">
              <v:stroke dashstyle="solid"/>
            </v:rect>
            <v:rect style="position:absolute;left:2625;top:2132;width:31;height:16" filled="true" fillcolor="#edc5dd" stroked="false">
              <v:fill type="solid"/>
            </v:rect>
            <v:rect style="position:absolute;left:2625;top:2132;width:31;height:16" filled="false" stroked="true" strokeweight=".5pt" strokecolor="#231f20">
              <v:stroke dashstyle="solid"/>
            </v:rect>
            <v:rect style="position:absolute;left:2670;top:2147;width:41;height:196" filled="true" fillcolor="#edc5dd" stroked="false">
              <v:fill type="solid"/>
            </v:rect>
            <v:rect style="position:absolute;left:2670;top:2147;width:41;height:196" filled="false" stroked="true" strokeweight=".5pt" strokecolor="#231f20">
              <v:stroke dashstyle="solid"/>
            </v:rect>
            <v:rect style="position:absolute;left:2726;top:2147;width:35;height:347" filled="true" fillcolor="#edc5dd" stroked="false">
              <v:fill type="solid"/>
            </v:rect>
            <v:rect style="position:absolute;left:2726;top:2147;width:35;height:347" filled="false" stroked="true" strokeweight=".5pt" strokecolor="#231f20">
              <v:stroke dashstyle="solid"/>
            </v:rect>
            <v:rect style="position:absolute;left:2775;top:2042;width:31;height:106" filled="true" fillcolor="#edc5dd" stroked="false">
              <v:fill type="solid"/>
            </v:rect>
            <v:rect style="position:absolute;left:2775;top:2042;width:31;height:106" filled="false" stroked="true" strokeweight=".5pt" strokecolor="#231f20">
              <v:stroke dashstyle="solid"/>
            </v:rect>
            <v:shape style="position:absolute;left:2821;top:2147;width:46;height:2" coordorigin="2821,2148" coordsize="46,0" path="m2866,2148l2821,2148,2866,2148xe" filled="true" fillcolor="#edc5dd" stroked="false">
              <v:path arrowok="t"/>
              <v:fill type="solid"/>
            </v:shape>
            <v:shape style="position:absolute;left:2821;top:2147;width:46;height:2" coordorigin="2821,2148" coordsize="46,0" path="m2821,2148l2866,2148,2821,2148e" filled="false" stroked="true" strokeweight=".5pt" strokecolor="#231f20">
              <v:path arrowok="t"/>
              <v:stroke dashstyle="solid"/>
            </v:shape>
            <v:rect style="position:absolute;left:2881;top:1726;width:31;height:422" filled="true" fillcolor="#edc5dd" stroked="false">
              <v:fill type="solid"/>
            </v:rect>
            <v:rect style="position:absolute;left:2881;top:1726;width:31;height:422" filled="false" stroked="true" strokeweight=".5pt" strokecolor="#231f20">
              <v:stroke dashstyle="solid"/>
            </v:rect>
            <v:rect style="position:absolute;left:2926;top:1861;width:37;height:286" filled="true" fillcolor="#edc5dd" stroked="false">
              <v:fill type="solid"/>
            </v:rect>
            <v:rect style="position:absolute;left:2926;top:1861;width:37;height:286" filled="false" stroked="true" strokeweight=".5pt" strokecolor="#231f20">
              <v:stroke dashstyle="solid"/>
            </v:rect>
            <v:rect style="position:absolute;left:2979;top:1319;width:37;height:828" filled="true" fillcolor="#edc5dd" stroked="false">
              <v:fill type="solid"/>
            </v:rect>
            <v:rect style="position:absolute;left:2979;top:1319;width:37;height:828" filled="false" stroked="true" strokeweight=".5pt" strokecolor="#231f20">
              <v:stroke dashstyle="solid"/>
            </v:rect>
            <v:rect style="position:absolute;left:3031;top:1410;width:31;height:738" filled="true" fillcolor="#edc5dd" stroked="false">
              <v:fill type="solid"/>
            </v:rect>
            <v:rect style="position:absolute;left:3031;top:1410;width:31;height:738" filled="false" stroked="true" strokeweight=".5pt" strokecolor="#231f20">
              <v:stroke dashstyle="solid"/>
            </v:rect>
            <v:rect style="position:absolute;left:3076;top:1575;width:36;height:572" filled="true" fillcolor="#edc5dd" stroked="false">
              <v:fill type="solid"/>
            </v:rect>
            <v:rect style="position:absolute;left:3076;top:1575;width:36;height:572" filled="false" stroked="true" strokeweight=".5pt" strokecolor="#231f20">
              <v:stroke dashstyle="solid"/>
            </v:rect>
            <v:rect style="position:absolute;left:3127;top:2057;width:40;height:91" filled="true" fillcolor="#edc5dd" stroked="false">
              <v:fill type="solid"/>
            </v:rect>
            <v:rect style="position:absolute;left:3127;top:2057;width:40;height:91" filled="false" stroked="true" strokeweight=".5pt" strokecolor="#231f20">
              <v:stroke dashstyle="solid"/>
            </v:rect>
            <v:rect style="position:absolute;left:3179;top:1470;width:33;height:678" filled="true" fillcolor="#edc5dd" stroked="false">
              <v:fill type="solid"/>
            </v:rect>
            <v:rect style="position:absolute;left:3179;top:1470;width:33;height:678" filled="false" stroked="true" strokeweight=".5pt" strokecolor="#231f20">
              <v:stroke dashstyle="solid"/>
            </v:rect>
            <v:rect style="position:absolute;left:3234;top:1229;width:38;height:919" filled="true" fillcolor="#edc5dd" stroked="false">
              <v:fill type="solid"/>
            </v:rect>
            <v:rect style="position:absolute;left:3234;top:1229;width:38;height:919" filled="false" stroked="true" strokeweight=".5pt" strokecolor="#231f20">
              <v:stroke dashstyle="solid"/>
            </v:rect>
            <v:rect style="position:absolute;left:3287;top:1590;width:31;height:557" filled="true" fillcolor="#edc5dd" stroked="false">
              <v:fill type="solid"/>
            </v:rect>
            <v:rect style="position:absolute;left:3287;top:1590;width:31;height:557" filled="false" stroked="true" strokeweight=".5pt" strokecolor="#231f20">
              <v:stroke dashstyle="solid"/>
            </v:rect>
            <v:rect style="position:absolute;left:3332;top:1771;width:35;height:377" filled="true" fillcolor="#edc5dd" stroked="false">
              <v:fill type="solid"/>
            </v:rect>
            <v:rect style="position:absolute;left:3332;top:1771;width:35;height:377" filled="false" stroked="true" strokeweight=".5pt" strokecolor="#231f20">
              <v:stroke dashstyle="solid"/>
            </v:rect>
            <v:rect style="position:absolute;left:3384;top:2147;width:39;height:181" filled="true" fillcolor="#edc5dd" stroked="false">
              <v:fill type="solid"/>
            </v:rect>
            <v:rect style="position:absolute;left:3384;top:2147;width:39;height:181" filled="false" stroked="true" strokeweight=".5pt" strokecolor="#231f20">
              <v:stroke dashstyle="solid"/>
            </v:rect>
            <v:rect style="position:absolute;left:3438;top:1756;width:31;height:392" filled="true" fillcolor="#edc5dd" stroked="false">
              <v:fill type="solid"/>
            </v:rect>
            <v:rect style="position:absolute;left:3438;top:1756;width:31;height:392" filled="false" stroked="true" strokeweight=".5pt" strokecolor="#231f20">
              <v:stroke dashstyle="solid"/>
            </v:rect>
            <v:rect style="position:absolute;left:3483;top:1816;width:32;height:332" filled="true" fillcolor="#edc5dd" stroked="false">
              <v:fill type="solid"/>
            </v:rect>
            <v:rect style="position:absolute;left:3483;top:1816;width:32;height:332" filled="false" stroked="true" strokeweight=".5pt" strokecolor="#231f20">
              <v:stroke dashstyle="solid"/>
            </v:rect>
            <v:rect style="position:absolute;left:3543;top:1500;width:31;height:648" filled="true" fillcolor="#edc5dd" stroked="false">
              <v:fill type="solid"/>
            </v:rect>
            <v:rect style="position:absolute;left:3543;top:1500;width:31;height:648" filled="false" stroked="true" strokeweight=".5pt" strokecolor="#231f20">
              <v:stroke dashstyle="solid"/>
            </v:rect>
            <v:rect style="position:absolute;left:3588;top:1545;width:37;height:603" filled="true" fillcolor="#edc5dd" stroked="false">
              <v:fill type="solid"/>
            </v:rect>
            <v:rect style="position:absolute;left:3588;top:1545;width:37;height:603" filled="false" stroked="true" strokeweight=".5pt" strokecolor="#231f20">
              <v:stroke dashstyle="solid"/>
            </v:rect>
            <v:rect style="position:absolute;left:3641;top:1997;width:38;height:151" filled="true" fillcolor="#edc5dd" stroked="false">
              <v:fill type="solid"/>
            </v:rect>
            <v:rect style="position:absolute;left:3641;top:1997;width:38;height:151" filled="false" stroked="true" strokeweight=".5pt" strokecolor="#231f20">
              <v:stroke dashstyle="solid"/>
            </v:rect>
            <v:rect style="position:absolute;left:3694;top:1982;width:31;height:166" filled="true" fillcolor="#edc5dd" stroked="false">
              <v:fill type="solid"/>
            </v:rect>
            <v:rect style="position:absolute;left:3694;top:1982;width:31;height:166" filled="false" stroked="true" strokeweight=".5pt" strokecolor="#231f20">
              <v:stroke dashstyle="solid"/>
            </v:rect>
            <v:rect style="position:absolute;left:3739;top:1545;width:36;height:603" filled="true" fillcolor="#edc5dd" stroked="false">
              <v:fill type="solid"/>
            </v:rect>
            <v:rect style="position:absolute;left:3739;top:1545;width:36;height:603" filled="false" stroked="true" strokeweight=".5pt" strokecolor="#231f20">
              <v:stroke dashstyle="solid"/>
            </v:rect>
            <v:rect style="position:absolute;left:3789;top:1651;width:41;height:497" filled="true" fillcolor="#edc5dd" stroked="false">
              <v:fill type="solid"/>
            </v:rect>
            <v:rect style="position:absolute;left:3789;top:1651;width:41;height:497" filled="false" stroked="true" strokeweight=".5pt" strokecolor="#231f20">
              <v:stroke dashstyle="solid"/>
            </v:rect>
            <v:rect style="position:absolute;left:3844;top:1726;width:39;height:422" filled="true" fillcolor="#edc5dd" stroked="false">
              <v:fill type="solid"/>
            </v:rect>
            <v:rect style="position:absolute;left:3844;top:1726;width:39;height:422" filled="false" stroked="true" strokeweight=".5pt" strokecolor="#231f20">
              <v:stroke dashstyle="solid"/>
            </v:rect>
            <v:shape style="position:absolute;left:1105;top:160;width:2755;height:2815" coordorigin="1105,161" coordsize="2755,2815" path="m1105,1335l1165,673,1210,688,1271,823,1316,883,1361,1019,1421,643,1466,432,1511,808,1572,838,1617,492,1677,537,1722,161,1767,326,1828,537,1873,643,1933,1124,1978,1169,2023,1591,2083,1847,2129,1621,2174,1636,2234,2133,2279,2343,2339,2629,2385,2976,2430,2614,2490,2374,2535,2359,2595,2238,2640,2012,2686,1907,2746,1711,2791,1425,2836,1290,2896,1079,2941,914,3002,688,3047,537,3092,612,3152,808,3197,1109,3258,1425,3303,1501,3348,1305,3408,1320,3453,1290,3498,1275,3559,1245,3604,1019,3664,898,3709,823,3754,1034,3814,1215,3860,1380e" filled="false" stroked="true" strokeweight="1pt" strokecolor="#008256">
              <v:path arrowok="t"/>
              <v:stroke dashstyle="solid"/>
            </v:shape>
            <v:line style="position:absolute" from="3891,2148" to="1092,2148" stroked="true" strokeweight=".5pt" strokecolor="#231f20">
              <v:stroke dashstyle="solid"/>
            </v:line>
            <v:shape style="position:absolute;left:3108;top:409;width:833;height:273" type="#_x0000_t202" filled="false" stroked="false">
              <v:textbox inset="0,0,0,0">
                <w:txbxContent>
                  <w:p>
                    <w:pPr>
                      <w:spacing w:line="242" w:lineRule="auto" w:before="0"/>
                      <w:ind w:left="30" w:right="18" w:hanging="30"/>
                      <w:jc w:val="left"/>
                      <w:rPr>
                        <w:sz w:val="12"/>
                      </w:rPr>
                    </w:pPr>
                    <w:r>
                      <w:rPr>
                        <w:color w:val="231F20"/>
                        <w:sz w:val="12"/>
                      </w:rPr>
                      <w:t>GDP growth (left-hand scale)</w:t>
                    </w:r>
                  </w:p>
                </w:txbxContent>
              </v:textbox>
              <w10:wrap type="none"/>
            </v:shape>
            <w10:wrap type="none"/>
          </v:group>
        </w:pict>
      </w:r>
      <w:r>
        <w:rPr>
          <w:color w:val="231F20"/>
          <w:position w:val="-5"/>
          <w:sz w:val="12"/>
        </w:rPr>
        <w:t>6</w:t>
      </w:r>
      <w:r>
        <w:rPr>
          <w:color w:val="231F20"/>
          <w:sz w:val="12"/>
        </w:rPr>
        <w:t> </w:t>
      </w:r>
      <w:r>
        <w:rPr>
          <w:color w:val="231F20"/>
          <w:sz w:val="12"/>
          <w:u w:val="single" w:color="231F20"/>
        </w:rPr>
        <w:t>o</w:t>
      </w:r>
      <w:r>
        <w:rPr>
          <w:color w:val="231F20"/>
          <w:sz w:val="12"/>
        </w:rPr>
        <w:t>n a year earlier</w:t>
      </w:r>
    </w:p>
    <w:p>
      <w:pPr>
        <w:pStyle w:val="BodyText"/>
      </w:pPr>
    </w:p>
    <w:p>
      <w:pPr>
        <w:pStyle w:val="BodyText"/>
      </w:pPr>
    </w:p>
    <w:p>
      <w:pPr>
        <w:pStyle w:val="BodyText"/>
      </w:pPr>
    </w:p>
    <w:p>
      <w:pPr>
        <w:pStyle w:val="BodyText"/>
        <w:spacing w:before="10"/>
        <w:rPr>
          <w:sz w:val="21"/>
        </w:rPr>
      </w:pPr>
    </w:p>
    <w:p>
      <w:pPr>
        <w:spacing w:before="0"/>
        <w:ind w:left="182" w:right="0" w:firstLine="0"/>
        <w:jc w:val="left"/>
        <w:rPr>
          <w:sz w:val="12"/>
        </w:rPr>
      </w:pPr>
      <w:r>
        <w:rPr/>
        <w:pict>
          <v:line style="position:absolute;mso-position-horizontal-relative:page;mso-position-vertical-relative:paragraph;z-index:15944704" from="46.158001pt,4.253949pt" to="50.330001pt,4.253949pt" stroked="true" strokeweight=".5pt" strokecolor="#231f20">
            <v:stroke dashstyle="solid"/>
            <w10:wrap type="none"/>
          </v:line>
        </w:pict>
      </w:r>
      <w:r>
        <w:rPr>
          <w:color w:val="231F20"/>
          <w:sz w:val="12"/>
        </w:rPr>
        <w:t>3</w:t>
      </w:r>
    </w:p>
    <w:p>
      <w:pPr>
        <w:pStyle w:val="BodyText"/>
        <w:rPr>
          <w:sz w:val="12"/>
        </w:rPr>
      </w:pPr>
    </w:p>
    <w:p>
      <w:pPr>
        <w:pStyle w:val="BodyText"/>
        <w:rPr>
          <w:sz w:val="12"/>
        </w:rPr>
      </w:pPr>
    </w:p>
    <w:p>
      <w:pPr>
        <w:pStyle w:val="BodyText"/>
        <w:rPr>
          <w:sz w:val="12"/>
        </w:rPr>
      </w:pPr>
    </w:p>
    <w:p>
      <w:pPr>
        <w:spacing w:before="90"/>
        <w:ind w:left="273" w:right="0" w:firstLine="0"/>
        <w:jc w:val="left"/>
        <w:rPr>
          <w:sz w:val="16"/>
        </w:rPr>
      </w:pPr>
      <w:r>
        <w:rPr>
          <w:color w:val="231F20"/>
          <w:sz w:val="16"/>
        </w:rPr>
        <w:t>+</w:t>
      </w:r>
    </w:p>
    <w:p>
      <w:pPr>
        <w:pStyle w:val="BodyText"/>
        <w:spacing w:before="6"/>
        <w:rPr>
          <w:sz w:val="14"/>
        </w:rPr>
      </w:pPr>
    </w:p>
    <w:p>
      <w:pPr>
        <w:spacing w:before="0"/>
        <w:ind w:left="182" w:right="0" w:firstLine="0"/>
        <w:jc w:val="left"/>
        <w:rPr>
          <w:sz w:val="12"/>
        </w:rPr>
      </w:pPr>
      <w:r>
        <w:rPr/>
        <w:pict>
          <v:line style="position:absolute;mso-position-horizontal-relative:page;mso-position-vertical-relative:paragraph;z-index:15944192" from="46.158001pt,4.254768pt" to="50.330001pt,4.254768pt" stroked="true" strokeweight=".5pt" strokecolor="#231f20">
            <v:stroke dashstyle="solid"/>
            <w10:wrap type="none"/>
          </v:line>
        </w:pict>
      </w:r>
      <w:r>
        <w:rPr>
          <w:color w:val="231F20"/>
          <w:sz w:val="12"/>
        </w:rPr>
        <w:t>0</w:t>
      </w:r>
    </w:p>
    <w:p>
      <w:pPr>
        <w:spacing w:before="91"/>
        <w:ind w:left="284" w:right="0" w:firstLine="0"/>
        <w:jc w:val="left"/>
        <w:rPr>
          <w:sz w:val="16"/>
        </w:rPr>
      </w:pPr>
      <w:r>
        <w:rPr>
          <w:color w:val="231F20"/>
          <w:sz w:val="16"/>
        </w:rPr>
        <w:t>_</w:t>
      </w:r>
    </w:p>
    <w:p>
      <w:pPr>
        <w:spacing w:line="99" w:lineRule="exact" w:before="0"/>
        <w:ind w:left="182" w:right="0" w:firstLine="0"/>
        <w:jc w:val="left"/>
        <w:rPr>
          <w:sz w:val="12"/>
        </w:rPr>
      </w:pPr>
      <w:r>
        <w:rPr/>
        <w:br w:type="column"/>
      </w:r>
      <w:r>
        <w:rPr>
          <w:color w:val="231F20"/>
          <w:sz w:val="12"/>
        </w:rPr>
        <w:t>£ billions at constant</w:t>
      </w:r>
    </w:p>
    <w:p>
      <w:pPr>
        <w:spacing w:before="2"/>
        <w:ind w:left="242" w:right="0" w:firstLine="0"/>
        <w:jc w:val="left"/>
        <w:rPr>
          <w:sz w:val="12"/>
        </w:rPr>
      </w:pPr>
      <w:r>
        <w:rPr>
          <w:color w:val="231F20"/>
          <w:sz w:val="12"/>
        </w:rPr>
        <w:t>1995 market pric</w:t>
      </w:r>
      <w:r>
        <w:rPr>
          <w:color w:val="231F20"/>
          <w:sz w:val="12"/>
          <w:u w:val="single" w:color="231F20"/>
        </w:rPr>
        <w:t>es</w:t>
      </w:r>
      <w:r>
        <w:rPr>
          <w:color w:val="231F20"/>
          <w:sz w:val="12"/>
        </w:rPr>
        <w:t> </w:t>
      </w:r>
      <w:r>
        <w:rPr>
          <w:color w:val="231F20"/>
          <w:position w:val="-5"/>
          <w:sz w:val="12"/>
        </w:rPr>
        <w:t>4</w:t>
      </w:r>
    </w:p>
    <w:p>
      <w:pPr>
        <w:pStyle w:val="BodyText"/>
      </w:pPr>
    </w:p>
    <w:p>
      <w:pPr>
        <w:pStyle w:val="BodyText"/>
      </w:pPr>
    </w:p>
    <w:p>
      <w:pPr>
        <w:pStyle w:val="BodyText"/>
      </w:pPr>
    </w:p>
    <w:p>
      <w:pPr>
        <w:pStyle w:val="BodyText"/>
        <w:spacing w:before="10"/>
        <w:rPr>
          <w:sz w:val="21"/>
        </w:rPr>
      </w:pPr>
    </w:p>
    <w:p>
      <w:pPr>
        <w:spacing w:before="0"/>
        <w:ind w:left="1231" w:right="0" w:firstLine="0"/>
        <w:jc w:val="left"/>
        <w:rPr>
          <w:sz w:val="12"/>
        </w:rPr>
      </w:pPr>
      <w:r>
        <w:rPr/>
        <w:pict>
          <v:line style="position:absolute;mso-position-horizontal-relative:page;mso-position-vertical-relative:paragraph;z-index:15943168" from="198.949997pt,4.095369pt" to="203.121997pt,4.095369pt" stroked="true" strokeweight=".5pt" strokecolor="#231f20">
            <v:stroke dashstyle="solid"/>
            <w10:wrap type="none"/>
          </v:line>
        </w:pict>
      </w:r>
      <w:r>
        <w:rPr>
          <w:color w:val="231F20"/>
          <w:sz w:val="12"/>
        </w:rPr>
        <w:t>2</w:t>
      </w:r>
    </w:p>
    <w:p>
      <w:pPr>
        <w:pStyle w:val="BodyText"/>
        <w:rPr>
          <w:sz w:val="12"/>
        </w:rPr>
      </w:pPr>
    </w:p>
    <w:p>
      <w:pPr>
        <w:pStyle w:val="BodyText"/>
        <w:rPr>
          <w:sz w:val="12"/>
        </w:rPr>
      </w:pPr>
    </w:p>
    <w:p>
      <w:pPr>
        <w:pStyle w:val="BodyText"/>
        <w:rPr>
          <w:sz w:val="12"/>
        </w:rPr>
      </w:pPr>
    </w:p>
    <w:p>
      <w:pPr>
        <w:spacing w:before="90"/>
        <w:ind w:left="1085" w:right="0" w:firstLine="0"/>
        <w:jc w:val="left"/>
        <w:rPr>
          <w:sz w:val="16"/>
        </w:rPr>
      </w:pPr>
      <w:r>
        <w:rPr>
          <w:color w:val="231F20"/>
          <w:sz w:val="16"/>
        </w:rPr>
        <w:t>+</w:t>
      </w:r>
    </w:p>
    <w:p>
      <w:pPr>
        <w:pStyle w:val="BodyText"/>
        <w:spacing w:before="6"/>
        <w:rPr>
          <w:sz w:val="14"/>
        </w:rPr>
      </w:pPr>
    </w:p>
    <w:p>
      <w:pPr>
        <w:spacing w:before="0"/>
        <w:ind w:left="1231" w:right="0" w:firstLine="0"/>
        <w:jc w:val="left"/>
        <w:rPr>
          <w:sz w:val="12"/>
        </w:rPr>
      </w:pPr>
      <w:r>
        <w:rPr/>
        <w:pict>
          <v:line style="position:absolute;mso-position-horizontal-relative:page;mso-position-vertical-relative:paragraph;z-index:15942656" from="198.949997pt,4.096158pt" to="203.121997pt,4.096158pt" stroked="true" strokeweight=".5pt" strokecolor="#231f20">
            <v:stroke dashstyle="solid"/>
            <w10:wrap type="none"/>
          </v:line>
        </w:pict>
      </w:r>
      <w:r>
        <w:rPr>
          <w:color w:val="231F20"/>
          <w:sz w:val="12"/>
        </w:rPr>
        <w:t>0</w:t>
      </w:r>
    </w:p>
    <w:p>
      <w:pPr>
        <w:spacing w:before="91"/>
        <w:ind w:left="1095" w:right="0" w:firstLine="0"/>
        <w:jc w:val="left"/>
        <w:rPr>
          <w:sz w:val="16"/>
        </w:rPr>
      </w:pPr>
      <w:r>
        <w:rPr>
          <w:color w:val="231F20"/>
          <w:sz w:val="16"/>
        </w:rPr>
        <w:t>_</w:t>
      </w:r>
    </w:p>
    <w:p>
      <w:pPr>
        <w:pStyle w:val="Heading4"/>
        <w:spacing w:line="242" w:lineRule="auto" w:before="4"/>
        <w:ind w:left="182" w:right="894"/>
        <w:jc w:val="both"/>
      </w:pPr>
      <w:r>
        <w:rPr/>
        <w:br w:type="column"/>
      </w:r>
      <w:r>
        <w:rPr>
          <w:color w:val="231F20"/>
        </w:rPr>
        <w:t>Trades Survey that stock levels increased relative to expected sales fell back in Q4, and the January balance for this question was around its long-term average value.</w:t>
      </w:r>
    </w:p>
    <w:p>
      <w:pPr>
        <w:pStyle w:val="BodyText"/>
        <w:spacing w:before="3"/>
        <w:rPr>
          <w:sz w:val="28"/>
        </w:rPr>
      </w:pPr>
    </w:p>
    <w:p>
      <w:pPr>
        <w:spacing w:line="242" w:lineRule="auto" w:before="0"/>
        <w:ind w:left="182" w:right="372" w:firstLine="0"/>
        <w:jc w:val="left"/>
        <w:rPr>
          <w:sz w:val="24"/>
        </w:rPr>
      </w:pPr>
      <w:r>
        <w:rPr>
          <w:color w:val="231F20"/>
          <w:sz w:val="24"/>
        </w:rPr>
        <w:t>At the whole-economy level, inventories (excluding</w:t>
      </w:r>
      <w:r>
        <w:rPr>
          <w:color w:val="231F20"/>
          <w:spacing w:val="-24"/>
          <w:sz w:val="24"/>
        </w:rPr>
        <w:t> </w:t>
      </w:r>
      <w:r>
        <w:rPr>
          <w:color w:val="231F20"/>
          <w:spacing w:val="-6"/>
          <w:sz w:val="24"/>
        </w:rPr>
        <w:t>the </w:t>
      </w:r>
      <w:r>
        <w:rPr>
          <w:color w:val="231F20"/>
          <w:sz w:val="24"/>
        </w:rPr>
        <w:t>alignment adjustment) increased by £0.8 billion in 1998 Q3, slightly less than in the first and second quarters (see Chart 2.17). This pushed the</w:t>
      </w:r>
    </w:p>
    <w:p>
      <w:pPr>
        <w:spacing w:line="242" w:lineRule="auto" w:before="5"/>
        <w:ind w:left="182" w:right="142" w:firstLine="0"/>
        <w:jc w:val="left"/>
        <w:rPr>
          <w:sz w:val="24"/>
        </w:rPr>
      </w:pPr>
      <w:r>
        <w:rPr>
          <w:color w:val="231F20"/>
          <w:sz w:val="24"/>
        </w:rPr>
        <w:t>whole-economy stock-output ratio up by 0.1 percentage point. As in the November central projection, it is likely</w:t>
      </w:r>
    </w:p>
    <w:p>
      <w:pPr>
        <w:spacing w:after="0" w:line="242" w:lineRule="auto"/>
        <w:jc w:val="left"/>
        <w:rPr>
          <w:sz w:val="24"/>
        </w:rPr>
        <w:sectPr>
          <w:type w:val="continuous"/>
          <w:pgSz w:w="11900" w:h="16840"/>
          <w:pgMar w:top="1220" w:bottom="280" w:left="640" w:right="600"/>
          <w:cols w:num="3" w:equalWidth="0">
            <w:col w:w="1263" w:space="984"/>
            <w:col w:w="1332" w:space="1198"/>
            <w:col w:w="5883"/>
          </w:cols>
        </w:sectPr>
      </w:pPr>
    </w:p>
    <w:p>
      <w:pPr>
        <w:tabs>
          <w:tab w:pos="3478" w:val="left" w:leader="none"/>
        </w:tabs>
        <w:spacing w:line="119" w:lineRule="exact" w:before="37"/>
        <w:ind w:left="182" w:right="0" w:firstLine="0"/>
        <w:jc w:val="left"/>
        <w:rPr>
          <w:sz w:val="12"/>
        </w:rPr>
      </w:pPr>
      <w:r>
        <w:rPr/>
        <w:pict>
          <v:shape style="position:absolute;margin-left:54.5pt;margin-top:2.646558pt;width:140pt;height:3.3pt;mso-position-horizontal-relative:page;mso-position-vertical-relative:paragraph;z-index:-21076480" coordorigin="1090,53" coordsize="2800,66" path="m3889,119l1090,119m3739,119l3739,53m3528,119l3528,53m3333,119l3333,53m3122,119l3122,53m2926,119l2926,53m2716,119l2716,53m2505,119l2505,53m2309,119l2309,53m2099,119l2099,53m1903,119l1903,53m1692,119l1692,53m1496,119l1496,53m1286,119l1286,53m1090,119l1090,53e" filled="false" stroked="true" strokeweight=".5pt" strokecolor="#231f20">
            <v:path arrowok="t"/>
            <v:stroke dashstyle="solid"/>
            <w10:wrap type="none"/>
          </v:shape>
        </w:pict>
      </w:r>
      <w:r>
        <w:rPr/>
        <w:pict>
          <v:line style="position:absolute;mso-position-horizontal-relative:page;mso-position-vertical-relative:paragraph;z-index:15942144" from="198.949997pt,5.946558pt" to="203.121997pt,5.946558pt" stroked="true" strokeweight=".5pt" strokecolor="#231f20">
            <v:stroke dashstyle="solid"/>
            <w10:wrap type="none"/>
          </v:line>
        </w:pict>
      </w:r>
      <w:r>
        <w:rPr/>
        <w:pict>
          <v:line style="position:absolute;mso-position-horizontal-relative:page;mso-position-vertical-relative:paragraph;z-index:15943680" from="46.158001pt,6.104558pt" to="50.330001pt,6.104558pt" stroked="true" strokeweight=".5pt" strokecolor="#231f20">
            <v:stroke dashstyle="solid"/>
            <w10:wrap type="none"/>
          </v:line>
        </w:pict>
      </w:r>
      <w:r>
        <w:rPr>
          <w:color w:val="231F20"/>
          <w:sz w:val="12"/>
        </w:rPr>
        <w:t>3</w:t>
        <w:tab/>
        <w:t>2</w:t>
      </w:r>
    </w:p>
    <w:p>
      <w:pPr>
        <w:tabs>
          <w:tab w:pos="898" w:val="left" w:leader="none"/>
          <w:tab w:pos="1297" w:val="left" w:leader="none"/>
          <w:tab w:pos="1708" w:val="left" w:leader="none"/>
          <w:tab w:pos="2143" w:val="left" w:leader="none"/>
          <w:tab w:pos="2545" w:val="left" w:leader="none"/>
          <w:tab w:pos="2952" w:val="left" w:leader="none"/>
        </w:tabs>
        <w:spacing w:line="119" w:lineRule="exact" w:before="0"/>
        <w:ind w:left="422" w:right="0" w:firstLine="0"/>
        <w:jc w:val="left"/>
        <w:rPr>
          <w:sz w:val="12"/>
        </w:rPr>
      </w:pPr>
      <w:r>
        <w:rPr>
          <w:color w:val="231F20"/>
          <w:sz w:val="12"/>
        </w:rPr>
        <w:t>1985</w:t>
        <w:tab/>
        <w:t>87</w:t>
        <w:tab/>
        <w:t>89</w:t>
        <w:tab/>
        <w:t>91</w:t>
        <w:tab/>
        <w:t>93</w:t>
        <w:tab/>
        <w:t>95</w:t>
        <w:tab/>
        <w:t>97</w:t>
      </w:r>
    </w:p>
    <w:p>
      <w:pPr>
        <w:pStyle w:val="BodyText"/>
        <w:rPr>
          <w:sz w:val="17"/>
        </w:rPr>
      </w:pPr>
    </w:p>
    <w:p>
      <w:pPr>
        <w:spacing w:before="1"/>
        <w:ind w:left="160" w:right="0" w:firstLine="0"/>
        <w:jc w:val="left"/>
        <w:rPr>
          <w:sz w:val="12"/>
        </w:rPr>
      </w:pPr>
      <w:r>
        <w:rPr>
          <w:color w:val="231F20"/>
          <w:sz w:val="12"/>
        </w:rPr>
        <w:t>(a) Excluding alignment adjustments.</w:t>
      </w:r>
    </w:p>
    <w:p>
      <w:pPr>
        <w:pStyle w:val="Heading4"/>
        <w:spacing w:before="3"/>
        <w:ind w:left="160"/>
      </w:pPr>
      <w:r>
        <w:rPr/>
        <w:br w:type="column"/>
      </w:r>
      <w:r>
        <w:rPr>
          <w:color w:val="231F20"/>
        </w:rPr>
        <w:t>that inventories will detract from GDP growth this year.</w:t>
      </w:r>
    </w:p>
    <w:p>
      <w:pPr>
        <w:pStyle w:val="BodyText"/>
        <w:spacing w:before="2"/>
        <w:rPr>
          <w:sz w:val="28"/>
        </w:rPr>
      </w:pPr>
    </w:p>
    <w:p>
      <w:pPr>
        <w:pStyle w:val="Heading5"/>
        <w:ind w:left="160"/>
        <w:rPr>
          <w:i/>
        </w:rPr>
      </w:pPr>
      <w:r>
        <w:rPr>
          <w:i/>
          <w:color w:val="009483"/>
        </w:rPr>
        <w:t>Public sector demand</w:t>
      </w:r>
    </w:p>
    <w:p>
      <w:pPr>
        <w:spacing w:line="242" w:lineRule="auto" w:before="204"/>
        <w:ind w:left="160" w:right="205" w:firstLine="0"/>
        <w:jc w:val="left"/>
        <w:rPr>
          <w:sz w:val="24"/>
        </w:rPr>
      </w:pPr>
      <w:r>
        <w:rPr>
          <w:color w:val="231F20"/>
          <w:sz w:val="24"/>
        </w:rPr>
        <w:t>Real general government consumption increased by 2.2% in the year to 1998 Q3, broadly in line with this </w:t>
      </w:r>
      <w:r>
        <w:rPr>
          <w:color w:val="231F20"/>
          <w:spacing w:val="-3"/>
          <w:sz w:val="24"/>
        </w:rPr>
        <w:t>year’s </w:t>
      </w:r>
      <w:r>
        <w:rPr>
          <w:color w:val="231F20"/>
          <w:sz w:val="24"/>
        </w:rPr>
        <w:t>planned spending. In assessing the outlook for </w:t>
      </w:r>
      <w:r>
        <w:rPr>
          <w:color w:val="231F20"/>
          <w:spacing w:val="-6"/>
          <w:sz w:val="24"/>
        </w:rPr>
        <w:t>the </w:t>
      </w:r>
      <w:r>
        <w:rPr>
          <w:color w:val="231F20"/>
          <w:sz w:val="24"/>
        </w:rPr>
        <w:t>public finances, the MPC has taken as its central case the nominal government expenditure plans and effective tax rates from the pre-Budget statement published on</w:t>
      </w:r>
    </w:p>
    <w:p>
      <w:pPr>
        <w:pStyle w:val="ListParagraph"/>
        <w:numPr>
          <w:ilvl w:val="0"/>
          <w:numId w:val="15"/>
        </w:numPr>
        <w:tabs>
          <w:tab w:pos="340" w:val="left" w:leader="none"/>
        </w:tabs>
        <w:spacing w:line="242" w:lineRule="auto" w:before="8" w:after="0"/>
        <w:ind w:left="160" w:right="230" w:firstLine="0"/>
        <w:jc w:val="left"/>
        <w:rPr>
          <w:color w:val="231F20"/>
          <w:sz w:val="24"/>
        </w:rPr>
      </w:pPr>
      <w:r>
        <w:rPr>
          <w:color w:val="231F20"/>
          <w:spacing w:val="-3"/>
          <w:sz w:val="24"/>
        </w:rPr>
        <w:t>November. </w:t>
      </w:r>
      <w:r>
        <w:rPr>
          <w:color w:val="231F20"/>
          <w:sz w:val="24"/>
        </w:rPr>
        <w:t>The Government intends to expand </w:t>
      </w:r>
      <w:r>
        <w:rPr>
          <w:color w:val="231F20"/>
          <w:spacing w:val="-3"/>
          <w:sz w:val="24"/>
        </w:rPr>
        <w:t>current </w:t>
      </w:r>
      <w:r>
        <w:rPr>
          <w:color w:val="231F20"/>
          <w:sz w:val="24"/>
        </w:rPr>
        <w:t>nominal spending by almost 6% in financial year 1999/2000, up from around 3</w:t>
      </w:r>
      <w:r>
        <w:rPr>
          <w:color w:val="231F20"/>
          <w:position w:val="8"/>
          <w:sz w:val="12"/>
        </w:rPr>
        <w:t>1</w:t>
      </w:r>
      <w:r>
        <w:rPr>
          <w:color w:val="231F20"/>
          <w:sz w:val="24"/>
        </w:rPr>
        <w:t>/</w:t>
      </w:r>
      <w:r>
        <w:rPr>
          <w:color w:val="231F20"/>
          <w:sz w:val="12"/>
        </w:rPr>
        <w:t>2</w:t>
      </w:r>
      <w:r>
        <w:rPr>
          <w:color w:val="231F20"/>
          <w:sz w:val="24"/>
        </w:rPr>
        <w:t>% in the current financial </w:t>
      </w:r>
      <w:r>
        <w:rPr>
          <w:color w:val="231F20"/>
          <w:spacing w:val="-3"/>
          <w:sz w:val="24"/>
        </w:rPr>
        <w:t>year. </w:t>
      </w:r>
      <w:r>
        <w:rPr>
          <w:color w:val="231F20"/>
          <w:sz w:val="24"/>
        </w:rPr>
        <w:t>On the basis of the </w:t>
      </w:r>
      <w:r>
        <w:rPr>
          <w:color w:val="231F20"/>
          <w:spacing w:val="-3"/>
          <w:sz w:val="24"/>
        </w:rPr>
        <w:t>MPC’s </w:t>
      </w:r>
      <w:r>
        <w:rPr>
          <w:color w:val="231F20"/>
          <w:sz w:val="24"/>
        </w:rPr>
        <w:t>latest inflation forecast, this implies that the growth rate of real spending will also increase.</w:t>
      </w:r>
    </w:p>
    <w:p>
      <w:pPr>
        <w:pStyle w:val="BodyText"/>
        <w:rPr>
          <w:sz w:val="20"/>
        </w:rPr>
      </w:pPr>
    </w:p>
    <w:p>
      <w:pPr>
        <w:pStyle w:val="BodyText"/>
        <w:rPr>
          <w:sz w:val="15"/>
        </w:rPr>
      </w:pPr>
      <w:r>
        <w:rPr/>
        <w:pict>
          <v:shape style="position:absolute;margin-left:279pt;margin-top:10.679238pt;width:276pt;height:.1pt;mso-position-horizontal-relative:page;mso-position-vertical-relative:paragraph;z-index:-15517184;mso-wrap-distance-left:0;mso-wrap-distance-right:0" coordorigin="5580,214" coordsize="5520,0" path="m5580,214l11100,214e" filled="false" stroked="true" strokeweight=".125pt" strokecolor="#231f20">
            <v:path arrowok="t"/>
            <v:stroke dashstyle="solid"/>
            <w10:wrap type="topAndBottom"/>
          </v:shape>
        </w:pict>
      </w:r>
    </w:p>
    <w:p>
      <w:pPr>
        <w:spacing w:before="0"/>
        <w:ind w:left="160" w:right="0" w:firstLine="0"/>
        <w:jc w:val="left"/>
        <w:rPr>
          <w:sz w:val="16"/>
        </w:rPr>
      </w:pPr>
      <w:r>
        <w:rPr>
          <w:color w:val="231F20"/>
          <w:sz w:val="16"/>
        </w:rPr>
        <w:t>(1) For more details, see box on page 20 of the November 1998 </w:t>
      </w:r>
      <w:r>
        <w:rPr>
          <w:i/>
          <w:color w:val="231F20"/>
          <w:sz w:val="16"/>
        </w:rPr>
        <w:t>Report</w:t>
      </w:r>
      <w:r>
        <w:rPr>
          <w:color w:val="231F20"/>
          <w:sz w:val="16"/>
        </w:rPr>
        <w:t>.</w:t>
      </w:r>
    </w:p>
    <w:p>
      <w:pPr>
        <w:spacing w:after="0"/>
        <w:jc w:val="left"/>
        <w:rPr>
          <w:sz w:val="16"/>
        </w:rPr>
        <w:sectPr>
          <w:type w:val="continuous"/>
          <w:pgSz w:w="11900" w:h="16840"/>
          <w:pgMar w:top="1220" w:bottom="280" w:left="640" w:right="600"/>
          <w:cols w:num="2" w:equalWidth="0">
            <w:col w:w="3579" w:space="1221"/>
            <w:col w:w="5860"/>
          </w:cols>
        </w:sectPr>
      </w:pPr>
    </w:p>
    <w:p>
      <w:pPr>
        <w:pStyle w:val="BodyText"/>
        <w:rPr>
          <w:sz w:val="20"/>
        </w:rPr>
      </w:pPr>
    </w:p>
    <w:p>
      <w:pPr>
        <w:spacing w:after="0"/>
        <w:rPr>
          <w:sz w:val="20"/>
        </w:rPr>
        <w:sectPr>
          <w:pgSz w:w="11900" w:h="16840"/>
          <w:pgMar w:header="586" w:footer="597" w:top="780" w:bottom="780" w:left="640" w:right="600"/>
        </w:sect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Heading7"/>
        <w:spacing w:before="146"/>
        <w:ind w:left="210"/>
      </w:pPr>
      <w:bookmarkStart w:name="Output" w:id="43"/>
      <w:bookmarkEnd w:id="43"/>
      <w:r>
        <w:rPr>
          <w:b w:val="0"/>
        </w:rPr>
      </w:r>
      <w:bookmarkStart w:name="_bookmark15" w:id="44"/>
      <w:bookmarkEnd w:id="44"/>
      <w:r>
        <w:rPr>
          <w:b w:val="0"/>
        </w:rPr>
      </w:r>
      <w:r>
        <w:rPr>
          <w:color w:val="0093C1"/>
        </w:rPr>
        <w:t>Chart 2.18</w:t>
      </w:r>
    </w:p>
    <w:p>
      <w:pPr>
        <w:spacing w:before="10"/>
        <w:ind w:left="210" w:right="0" w:firstLine="0"/>
        <w:jc w:val="left"/>
        <w:rPr>
          <w:sz w:val="12"/>
        </w:rPr>
      </w:pPr>
      <w:r>
        <w:rPr>
          <w:b/>
          <w:color w:val="0093C1"/>
          <w:sz w:val="20"/>
        </w:rPr>
        <w:t>GDP growth rate</w:t>
      </w:r>
      <w:r>
        <w:rPr>
          <w:color w:val="231F20"/>
          <w:position w:val="4"/>
          <w:sz w:val="12"/>
        </w:rPr>
        <w:t>(a)</w:t>
      </w:r>
    </w:p>
    <w:p>
      <w:pPr>
        <w:pStyle w:val="BodyText"/>
        <w:spacing w:before="3" w:after="40"/>
        <w:rPr>
          <w:sz w:val="16"/>
        </w:rPr>
      </w:pPr>
    </w:p>
    <w:p>
      <w:pPr>
        <w:pStyle w:val="BodyText"/>
        <w:spacing w:line="20" w:lineRule="exact"/>
        <w:ind w:left="329"/>
        <w:rPr>
          <w:sz w:val="2"/>
        </w:rPr>
      </w:pPr>
      <w:r>
        <w:rPr>
          <w:sz w:val="2"/>
        </w:rPr>
        <w:pict>
          <v:group style="width:4pt;height:.5pt;mso-position-horizontal-relative:char;mso-position-vertical-relative:line" coordorigin="0,0" coordsize="80,10">
            <v:line style="position:absolute" from="0,5" to="80,5" stroked="true" strokeweight=".5pt" strokecolor="#231f20">
              <v:stroke dashstyle="solid"/>
            </v:line>
          </v:group>
        </w:pict>
      </w:r>
      <w:r>
        <w:rPr>
          <w:sz w:val="2"/>
        </w:rPr>
      </w:r>
    </w:p>
    <w:p>
      <w:pPr>
        <w:pStyle w:val="BodyText"/>
        <w:rPr>
          <w:sz w:val="20"/>
        </w:rPr>
      </w:pPr>
      <w:r>
        <w:rPr/>
        <w:br w:type="column"/>
      </w:r>
      <w:r>
        <w:rPr>
          <w:sz w:val="20"/>
        </w:rPr>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spacing w:before="154"/>
        <w:ind w:left="210" w:right="0" w:firstLine="0"/>
        <w:jc w:val="left"/>
        <w:rPr>
          <w:sz w:val="12"/>
        </w:rPr>
      </w:pPr>
      <w:r>
        <w:rPr>
          <w:color w:val="231F20"/>
          <w:sz w:val="12"/>
        </w:rPr>
        <w:t>Percentage changes </w:t>
      </w:r>
      <w:r>
        <w:rPr>
          <w:color w:val="231F20"/>
          <w:position w:val="-7"/>
          <w:sz w:val="12"/>
        </w:rPr>
        <w:t>6</w:t>
      </w:r>
    </w:p>
    <w:p>
      <w:pPr>
        <w:pStyle w:val="BodyText"/>
        <w:rPr>
          <w:sz w:val="20"/>
        </w:rPr>
      </w:pPr>
    </w:p>
    <w:p>
      <w:pPr>
        <w:spacing w:before="127"/>
        <w:ind w:left="0" w:right="38" w:firstLine="0"/>
        <w:jc w:val="right"/>
        <w:rPr>
          <w:sz w:val="12"/>
        </w:rPr>
      </w:pPr>
      <w:r>
        <w:rPr/>
        <w:pict>
          <v:group style="position:absolute;margin-left:48.747002pt;margin-top:9.876938pt;width:155.550pt;height:126pt;mso-position-horizontal-relative:page;mso-position-vertical-relative:paragraph;z-index:15947264" coordorigin="975,198" coordsize="3111,2520">
            <v:rect style="position:absolute;left:1115;top:2430;width:91;height:271" filled="true" fillcolor="#e1eecd" stroked="false">
              <v:fill type="solid"/>
            </v:rect>
            <v:rect style="position:absolute;left:1115;top:2430;width:91;height:271" filled="false" stroked="true" strokeweight=".5pt" strokecolor="#231f20">
              <v:stroke dashstyle="solid"/>
            </v:rect>
            <v:rect style="position:absolute;left:1229;top:2430;width:93;height:271" filled="true" fillcolor="#e1eecd" stroked="false">
              <v:fill type="solid"/>
            </v:rect>
            <v:rect style="position:absolute;left:1229;top:2430;width:93;height:271" filled="false" stroked="true" strokeweight=".5pt" strokecolor="#231f20">
              <v:stroke dashstyle="solid"/>
            </v:rect>
            <v:rect style="position:absolute;left:1343;top:2219;width:96;height:482" filled="true" fillcolor="#e1eecd" stroked="false">
              <v:fill type="solid"/>
            </v:rect>
            <v:rect style="position:absolute;left:1343;top:2219;width:96;height:482" filled="false" stroked="true" strokeweight=".5pt" strokecolor="#231f20">
              <v:stroke dashstyle="solid"/>
            </v:rect>
            <v:rect style="position:absolute;left:1461;top:2174;width:93;height:527" filled="true" fillcolor="#e1eecd" stroked="false">
              <v:fill type="solid"/>
            </v:rect>
            <v:rect style="position:absolute;left:1461;top:2174;width:93;height:527" filled="false" stroked="true" strokeweight=".5pt" strokecolor="#231f20">
              <v:stroke dashstyle="solid"/>
            </v:rect>
            <v:rect style="position:absolute;left:1589;top:2174;width:91;height:527" filled="true" fillcolor="#e1eecd" stroked="false">
              <v:fill type="solid"/>
            </v:rect>
            <v:rect style="position:absolute;left:1589;top:2174;width:91;height:527" filled="false" stroked="true" strokeweight=".5pt" strokecolor="#231f20">
              <v:stroke dashstyle="solid"/>
            </v:rect>
            <v:rect style="position:absolute;left:1704;top:2084;width:91;height:618" filled="true" fillcolor="#e1eecd" stroked="false">
              <v:fill type="solid"/>
            </v:rect>
            <v:rect style="position:absolute;left:1704;top:2084;width:91;height:618" filled="false" stroked="true" strokeweight=".5pt" strokecolor="#231f20">
              <v:stroke dashstyle="solid"/>
            </v:rect>
            <v:rect style="position:absolute;left:1818;top:1978;width:91;height:723" filled="true" fillcolor="#e1eecd" stroked="false">
              <v:fill type="solid"/>
            </v:rect>
            <v:rect style="position:absolute;left:1818;top:1978;width:91;height:723" filled="false" stroked="true" strokeweight=".5pt" strokecolor="#231f20">
              <v:stroke dashstyle="solid"/>
            </v:rect>
            <v:rect style="position:absolute;left:1932;top:2294;width:91;height:407" filled="true" fillcolor="#e1eecd" stroked="false">
              <v:fill type="solid"/>
            </v:rect>
            <v:rect style="position:absolute;left:1932;top:2294;width:91;height:407" filled="false" stroked="true" strokeweight=".5pt" strokecolor="#231f20">
              <v:stroke dashstyle="solid"/>
            </v:rect>
            <v:rect style="position:absolute;left:2064;top:2505;width:83;height:196" filled="true" fillcolor="#e1eecd" stroked="false">
              <v:fill type="solid"/>
            </v:rect>
            <v:shape style="position:absolute;left:2056;top:2505;width:91;height:196" coordorigin="2057,2506" coordsize="91,196" path="m2065,2701l2065,2506,2147,2506,2147,2701,2057,2701e" filled="false" stroked="true" strokeweight=".5pt" strokecolor="#231f20">
              <v:path arrowok="t"/>
              <v:stroke dashstyle="solid"/>
            </v:shape>
            <v:rect style="position:absolute;left:2170;top:2508;width:96;height:196" filled="true" fillcolor="#e1eecd" stroked="false">
              <v:fill type="solid"/>
            </v:rect>
            <v:rect style="position:absolute;left:2170;top:2508;width:96;height:196" filled="false" stroked="true" strokeweight=".5pt" strokecolor="#231f20">
              <v:stroke dashstyle="solid"/>
            </v:rect>
            <v:rect style="position:absolute;left:2283;top:2460;width:99;height:241" filled="true" fillcolor="#e1eecd" stroked="false">
              <v:fill type="solid"/>
            </v:rect>
            <v:rect style="position:absolute;left:2283;top:2460;width:99;height:241" filled="false" stroked="true" strokeweight=".5pt" strokecolor="#231f20">
              <v:stroke dashstyle="solid"/>
            </v:rect>
            <v:rect style="position:absolute;left:2399;top:2400;width:94;height:302" filled="true" fillcolor="#e1eecd" stroked="false">
              <v:fill type="solid"/>
            </v:rect>
            <v:rect style="position:absolute;left:2399;top:2400;width:94;height:302" filled="false" stroked="true" strokeweight=".5pt" strokecolor="#231f20">
              <v:stroke dashstyle="solid"/>
            </v:rect>
            <v:rect style="position:absolute;left:2529;top:2204;width:106;height:497" filled="true" fillcolor="#e1eecd" stroked="false">
              <v:fill type="solid"/>
            </v:rect>
            <v:rect style="position:absolute;left:2529;top:2204;width:106;height:497" filled="false" stroked="true" strokeweight=".5pt" strokecolor="#231f20">
              <v:stroke dashstyle="solid"/>
            </v:rect>
            <v:rect style="position:absolute;left:2655;top:2505;width:91;height:196" filled="true" fillcolor="#e1eecd" stroked="false">
              <v:fill type="solid"/>
            </v:rect>
            <v:rect style="position:absolute;left:2655;top:2505;width:91;height:196" filled="false" stroked="true" strokeweight=".5pt" strokecolor="#231f20">
              <v:stroke dashstyle="solid"/>
            </v:rect>
            <v:rect style="position:absolute;left:2773;top:2415;width:91;height:286" filled="true" fillcolor="#e1eecd" stroked="false">
              <v:fill type="solid"/>
            </v:rect>
            <v:rect style="position:absolute;left:2773;top:2415;width:91;height:286" filled="false" stroked="true" strokeweight=".5pt" strokecolor="#231f20">
              <v:stroke dashstyle="solid"/>
            </v:rect>
            <v:rect style="position:absolute;left:2891;top:2415;width:91;height:286" filled="true" fillcolor="#e1eecd" stroked="false">
              <v:fill type="solid"/>
            </v:rect>
            <v:rect style="position:absolute;left:2891;top:2415;width:91;height:286" filled="false" stroked="true" strokeweight=".5pt" strokecolor="#231f20">
              <v:stroke dashstyle="solid"/>
            </v:rect>
            <v:rect style="position:absolute;left:3011;top:2129;width:91;height:572" filled="true" fillcolor="#e1eecd" stroked="false">
              <v:fill type="solid"/>
            </v:rect>
            <v:rect style="position:absolute;left:3011;top:2129;width:91;height:572" filled="false" stroked="true" strokeweight=".5pt" strokecolor="#231f20">
              <v:stroke dashstyle="solid"/>
            </v:rect>
            <v:rect style="position:absolute;left:3131;top:2174;width:91;height:527" filled="true" fillcolor="#e1eecd" stroked="false">
              <v:fill type="solid"/>
            </v:rect>
            <v:rect style="position:absolute;left:3131;top:2174;width:91;height:527" filled="false" stroked="true" strokeweight=".5pt" strokecolor="#231f20">
              <v:stroke dashstyle="solid"/>
            </v:rect>
            <v:rect style="position:absolute;left:3252;top:2279;width:91;height:422" filled="true" fillcolor="#e1eecd" stroked="false">
              <v:fill type="solid"/>
            </v:rect>
            <v:rect style="position:absolute;left:3252;top:2279;width:91;height:422" filled="false" stroked="true" strokeweight=".5pt" strokecolor="#231f20">
              <v:stroke dashstyle="solid"/>
            </v:rect>
            <v:shape style="position:absolute;left:3372;top:2234;width:90;height:468" coordorigin="3373,2235" coordsize="90,468" path="m3373,2235l3373,2701,3463,2702,3463,2235,3373,2235xe" filled="true" fillcolor="#e1eecd" stroked="false">
              <v:path arrowok="t"/>
              <v:fill type="solid"/>
            </v:shape>
            <v:shape style="position:absolute;left:3372;top:2234;width:90;height:468" coordorigin="3373,2235" coordsize="90,468" path="m3373,2701l3373,2235,3463,2235,3463,2702,3373,2701xe" filled="false" stroked="true" strokeweight=".5pt" strokecolor="#231f20">
              <v:path arrowok="t"/>
              <v:stroke dashstyle="solid"/>
            </v:shape>
            <v:rect style="position:absolute;left:3484;top:2475;width:99;height:226" filled="true" fillcolor="#e1eecd" stroked="false">
              <v:fill type="solid"/>
            </v:rect>
            <v:rect style="position:absolute;left:3484;top:2475;width:99;height:226" filled="false" stroked="true" strokeweight=".5pt" strokecolor="#231f20">
              <v:stroke dashstyle="solid"/>
            </v:rect>
            <v:rect style="position:absolute;left:3611;top:2475;width:99;height:226" filled="true" fillcolor="#e1eecd" stroked="false">
              <v:fill type="solid"/>
            </v:rect>
            <v:rect style="position:absolute;left:3611;top:2475;width:99;height:226" filled="false" stroked="true" strokeweight=".5pt" strokecolor="#231f20">
              <v:stroke dashstyle="solid"/>
            </v:rect>
            <v:rect style="position:absolute;left:3728;top:2475;width:99;height:226" filled="true" fillcolor="#e1eecd" stroked="false">
              <v:fill type="solid"/>
            </v:rect>
            <v:rect style="position:absolute;left:3728;top:2475;width:99;height:226" filled="false" stroked="true" strokeweight=".5pt" strokecolor="#231f20">
              <v:stroke dashstyle="solid"/>
            </v:rect>
            <v:rect style="position:absolute;left:3839;top:2610;width:91;height:91" filled="true" fillcolor="#e1eecd" stroked="false">
              <v:fill type="solid"/>
            </v:rect>
            <v:rect style="position:absolute;left:3839;top:2610;width:91;height:91" filled="false" stroked="true" strokeweight=".5pt" strokecolor="#231f20">
              <v:stroke dashstyle="solid"/>
            </v:rect>
            <v:shape style="position:absolute;left:1160;top:247;width:2725;height:1807" coordorigin="1160,248" coordsize="2725,1807" path="m1160,2054l1266,1663,1386,1452,1506,1121,1627,865,1747,489,1868,248,1988,383,2109,714,2229,1151,2349,1633,2455,1753,2575,1452,2696,1452,2816,1407,2936,1422,3057,1331,3177,1000,3298,865,3418,684,3538,1030,3644,1331,3764,1542,3885,1918e" filled="false" stroked="true" strokeweight="1pt" strokecolor="#008256">
              <v:path arrowok="t"/>
              <v:stroke dashstyle="solid"/>
            </v:shape>
            <v:shape style="position:absolute;left:974;top:202;width:3111;height:2510" coordorigin="975,203" coordsize="3111,2510" path="m3945,2701l1100,2701m1100,2701l1100,2639m1567,2701l1567,2639m2048,2701l2048,2639m2515,2701l2515,2639m2997,2701l2997,2639m3478,2701l3478,2639m3945,2701l3945,2639m4006,2701l4086,2701m4006,2204l4086,2204m4006,1708l4086,1708m4006,1211l4086,1211m4006,714l4086,714m4006,203l4086,203m975,2712l1055,2712m975,2215l1055,2215m975,1718l1055,1718m975,1221l1055,1221m975,725l1055,725m975,213l1055,213e" filled="false" stroked="true" strokeweight=".5pt" strokecolor="#231f20">
              <v:path arrowok="t"/>
              <v:stroke dashstyle="solid"/>
            </v:shape>
            <v:shape style="position:absolute;left:2115;top:495;width:1193;height:133" type="#_x0000_t202" filled="false" stroked="false">
              <v:textbox inset="0,0,0,0">
                <w:txbxContent>
                  <w:p>
                    <w:pPr>
                      <w:spacing w:line="133" w:lineRule="exact" w:before="0"/>
                      <w:ind w:left="0" w:right="0" w:firstLine="0"/>
                      <w:jc w:val="left"/>
                      <w:rPr>
                        <w:sz w:val="12"/>
                      </w:rPr>
                    </w:pPr>
                    <w:r>
                      <w:rPr>
                        <w:color w:val="231F20"/>
                        <w:sz w:val="12"/>
                      </w:rPr>
                      <w:t>Quarter on a year earlier</w:t>
                    </w:r>
                  </w:p>
                </w:txbxContent>
              </v:textbox>
              <w10:wrap type="none"/>
            </v:shape>
            <v:shape style="position:absolute;left:2106;top:1971;width:1350;height:133" type="#_x0000_t202" filled="false" stroked="false">
              <v:textbox inset="0,0,0,0">
                <w:txbxContent>
                  <w:p>
                    <w:pPr>
                      <w:spacing w:line="133" w:lineRule="exact" w:before="0"/>
                      <w:ind w:left="0" w:right="0" w:firstLine="0"/>
                      <w:jc w:val="left"/>
                      <w:rPr>
                        <w:sz w:val="12"/>
                      </w:rPr>
                    </w:pPr>
                    <w:r>
                      <w:rPr>
                        <w:color w:val="231F20"/>
                        <w:sz w:val="12"/>
                      </w:rPr>
                      <w:t>Quarter on previous quarter</w:t>
                    </w:r>
                  </w:p>
                </w:txbxContent>
              </v:textbox>
              <w10:wrap type="none"/>
            </v:shape>
            <w10:wrap type="none"/>
          </v:group>
        </w:pict>
      </w:r>
      <w:r>
        <w:rPr/>
        <w:pict>
          <v:line style="position:absolute;mso-position-horizontal-relative:page;mso-position-vertical-relative:paragraph;z-index:-21070336" from="200.289001pt,-14.709063pt" to="204.289001pt,-14.709063pt" stroked="true" strokeweight=".5pt" strokecolor="#231f20">
            <v:stroke dashstyle="solid"/>
            <w10:wrap type="none"/>
          </v:line>
        </w:pict>
      </w:r>
      <w:r>
        <w:rPr>
          <w:color w:val="231F20"/>
          <w:sz w:val="12"/>
        </w:rPr>
        <w:t>5</w:t>
      </w:r>
    </w:p>
    <w:p>
      <w:pPr>
        <w:pStyle w:val="BodyText"/>
        <w:rPr>
          <w:sz w:val="12"/>
        </w:rPr>
      </w:pPr>
    </w:p>
    <w:p>
      <w:pPr>
        <w:pStyle w:val="BodyText"/>
        <w:rPr>
          <w:sz w:val="12"/>
        </w:rPr>
      </w:pPr>
    </w:p>
    <w:p>
      <w:pPr>
        <w:spacing w:before="98"/>
        <w:ind w:left="0" w:right="38" w:firstLine="0"/>
        <w:jc w:val="right"/>
        <w:rPr>
          <w:sz w:val="12"/>
        </w:rPr>
      </w:pPr>
      <w:r>
        <w:rPr>
          <w:color w:val="231F20"/>
          <w:sz w:val="12"/>
        </w:rPr>
        <w:t>4</w:t>
      </w:r>
    </w:p>
    <w:p>
      <w:pPr>
        <w:pStyle w:val="BodyText"/>
        <w:rPr>
          <w:sz w:val="12"/>
        </w:rPr>
      </w:pPr>
    </w:p>
    <w:p>
      <w:pPr>
        <w:pStyle w:val="BodyText"/>
        <w:rPr>
          <w:sz w:val="12"/>
        </w:rPr>
      </w:pPr>
    </w:p>
    <w:p>
      <w:pPr>
        <w:spacing w:before="83"/>
        <w:ind w:left="0" w:right="38" w:firstLine="0"/>
        <w:jc w:val="right"/>
        <w:rPr>
          <w:sz w:val="12"/>
        </w:rPr>
      </w:pPr>
      <w:r>
        <w:rPr>
          <w:color w:val="231F20"/>
          <w:sz w:val="12"/>
        </w:rPr>
        <w:t>3</w:t>
      </w:r>
    </w:p>
    <w:p>
      <w:pPr>
        <w:pStyle w:val="BodyText"/>
        <w:rPr>
          <w:sz w:val="12"/>
        </w:rPr>
      </w:pPr>
    </w:p>
    <w:p>
      <w:pPr>
        <w:pStyle w:val="BodyText"/>
        <w:rPr>
          <w:sz w:val="12"/>
        </w:rPr>
      </w:pPr>
    </w:p>
    <w:p>
      <w:pPr>
        <w:spacing w:before="83"/>
        <w:ind w:left="0" w:right="38" w:firstLine="0"/>
        <w:jc w:val="right"/>
        <w:rPr>
          <w:sz w:val="12"/>
        </w:rPr>
      </w:pPr>
      <w:r>
        <w:rPr>
          <w:color w:val="231F20"/>
          <w:sz w:val="12"/>
        </w:rPr>
        <w:t>2</w:t>
      </w:r>
    </w:p>
    <w:p>
      <w:pPr>
        <w:pStyle w:val="Heading4"/>
        <w:spacing w:line="242" w:lineRule="auto" w:before="227"/>
        <w:ind w:left="210" w:right="88"/>
      </w:pPr>
      <w:r>
        <w:rPr/>
        <w:br w:type="column"/>
      </w:r>
      <w:r>
        <w:rPr>
          <w:color w:val="231F20"/>
        </w:rPr>
        <w:t>Given the larger-than-expected increase in income tax payments, the overall fiscal stance in 1998 was probably tighter than the MPC had previously assumed. On the basis of already-announced government expenditure plans, the overall stance of fiscal policy, on a cyclically adjusted basis, is unlikely to change much between this financial year and the next.</w:t>
      </w:r>
    </w:p>
    <w:p>
      <w:pPr>
        <w:pStyle w:val="BodyText"/>
        <w:spacing w:before="10"/>
        <w:rPr>
          <w:sz w:val="21"/>
        </w:rPr>
      </w:pPr>
    </w:p>
    <w:p>
      <w:pPr>
        <w:pStyle w:val="Heading2"/>
        <w:numPr>
          <w:ilvl w:val="1"/>
          <w:numId w:val="11"/>
        </w:numPr>
        <w:tabs>
          <w:tab w:pos="4618" w:val="left" w:leader="none"/>
          <w:tab w:pos="4619" w:val="left" w:leader="none"/>
        </w:tabs>
        <w:spacing w:line="240" w:lineRule="auto" w:before="0" w:after="0"/>
        <w:ind w:left="4618" w:right="0" w:hanging="4409"/>
        <w:jc w:val="left"/>
        <w:rPr>
          <w:u w:val="none"/>
        </w:rPr>
      </w:pPr>
      <w:r>
        <w:rPr>
          <w:color w:val="009483"/>
          <w:u w:val="thick" w:color="0093C1"/>
        </w:rPr>
        <w:t>Output</w:t>
      </w:r>
      <w:r>
        <w:rPr>
          <w:color w:val="009483"/>
          <w:spacing w:val="-31"/>
          <w:u w:val="thick" w:color="0093C1"/>
        </w:rPr>
        <w:t> </w:t>
      </w:r>
    </w:p>
    <w:p>
      <w:pPr>
        <w:pStyle w:val="BodyText"/>
        <w:spacing w:before="11"/>
        <w:rPr>
          <w:b/>
          <w:sz w:val="23"/>
        </w:rPr>
      </w:pPr>
    </w:p>
    <w:p>
      <w:pPr>
        <w:spacing w:line="242" w:lineRule="auto" w:before="0"/>
        <w:ind w:left="210" w:right="487" w:firstLine="0"/>
        <w:jc w:val="left"/>
        <w:rPr>
          <w:i/>
          <w:sz w:val="24"/>
        </w:rPr>
      </w:pPr>
      <w:r>
        <w:rPr>
          <w:color w:val="231F20"/>
          <w:sz w:val="24"/>
        </w:rPr>
        <w:t>According to the preliminary estimate, the quarterly growth rate of GDP (at constant market prices) decreased to 0.2% in 1998 Q4, from 0.4% in the third quarter. This lowered the annual rate of increase to 1.6% (see Chart 2.18), in line with the MPC’s central projection at the time of the November </w:t>
      </w:r>
      <w:r>
        <w:rPr>
          <w:i/>
          <w:color w:val="231F20"/>
          <w:sz w:val="24"/>
        </w:rPr>
        <w:t>Report.</w:t>
      </w:r>
    </w:p>
    <w:p>
      <w:pPr>
        <w:spacing w:after="0" w:line="242" w:lineRule="auto"/>
        <w:jc w:val="left"/>
        <w:rPr>
          <w:sz w:val="24"/>
        </w:rPr>
        <w:sectPr>
          <w:type w:val="continuous"/>
          <w:pgSz w:w="11900" w:h="16840"/>
          <w:pgMar w:top="1220" w:bottom="280" w:left="640" w:right="600"/>
          <w:cols w:num="3" w:equalWidth="0">
            <w:col w:w="1861" w:space="441"/>
            <w:col w:w="1305" w:space="1183"/>
            <w:col w:w="5870"/>
          </w:cols>
        </w:sectPr>
      </w:pPr>
    </w:p>
    <w:p>
      <w:pPr>
        <w:pStyle w:val="BodyText"/>
        <w:spacing w:before="2"/>
        <w:rPr>
          <w:i/>
          <w:sz w:val="17"/>
        </w:rPr>
      </w:pPr>
    </w:p>
    <w:p>
      <w:pPr>
        <w:spacing w:after="0"/>
        <w:rPr>
          <w:sz w:val="17"/>
        </w:rPr>
        <w:sectPr>
          <w:type w:val="continuous"/>
          <w:pgSz w:w="11900" w:h="16840"/>
          <w:pgMar w:top="1220" w:bottom="280" w:left="640" w:right="600"/>
        </w:sectPr>
      </w:pPr>
    </w:p>
    <w:p>
      <w:pPr>
        <w:pStyle w:val="BodyText"/>
        <w:rPr>
          <w:i/>
          <w:sz w:val="12"/>
        </w:rPr>
      </w:pPr>
    </w:p>
    <w:p>
      <w:pPr>
        <w:pStyle w:val="BodyText"/>
        <w:rPr>
          <w:i/>
          <w:sz w:val="12"/>
        </w:rPr>
      </w:pPr>
    </w:p>
    <w:p>
      <w:pPr>
        <w:pStyle w:val="BodyText"/>
        <w:rPr>
          <w:i/>
          <w:sz w:val="12"/>
        </w:rPr>
      </w:pPr>
    </w:p>
    <w:p>
      <w:pPr>
        <w:pStyle w:val="BodyText"/>
        <w:rPr>
          <w:i/>
          <w:sz w:val="12"/>
        </w:rPr>
      </w:pPr>
    </w:p>
    <w:p>
      <w:pPr>
        <w:pStyle w:val="BodyText"/>
        <w:spacing w:before="5"/>
        <w:rPr>
          <w:i/>
          <w:sz w:val="15"/>
        </w:rPr>
      </w:pPr>
    </w:p>
    <w:p>
      <w:pPr>
        <w:spacing w:before="0"/>
        <w:ind w:left="0" w:right="0" w:firstLine="0"/>
        <w:jc w:val="right"/>
        <w:rPr>
          <w:sz w:val="12"/>
        </w:rPr>
      </w:pPr>
      <w:r>
        <w:rPr>
          <w:color w:val="231F20"/>
          <w:sz w:val="12"/>
        </w:rPr>
        <w:t>1993</w:t>
      </w:r>
    </w:p>
    <w:p>
      <w:pPr>
        <w:pStyle w:val="BodyText"/>
        <w:rPr>
          <w:sz w:val="12"/>
        </w:rPr>
      </w:pPr>
      <w:r>
        <w:rPr/>
        <w:br w:type="column"/>
      </w:r>
      <w:r>
        <w:rPr>
          <w:sz w:val="12"/>
        </w:rPr>
      </w:r>
    </w:p>
    <w:p>
      <w:pPr>
        <w:pStyle w:val="BodyText"/>
        <w:rPr>
          <w:sz w:val="12"/>
        </w:rPr>
      </w:pPr>
    </w:p>
    <w:p>
      <w:pPr>
        <w:pStyle w:val="BodyText"/>
        <w:rPr>
          <w:sz w:val="12"/>
        </w:rPr>
      </w:pPr>
    </w:p>
    <w:p>
      <w:pPr>
        <w:pStyle w:val="BodyText"/>
        <w:rPr>
          <w:sz w:val="12"/>
        </w:rPr>
      </w:pPr>
    </w:p>
    <w:p>
      <w:pPr>
        <w:pStyle w:val="BodyText"/>
        <w:spacing w:before="5"/>
        <w:rPr>
          <w:sz w:val="15"/>
        </w:rPr>
      </w:pPr>
    </w:p>
    <w:p>
      <w:pPr>
        <w:tabs>
          <w:tab w:pos="694" w:val="left" w:leader="none"/>
        </w:tabs>
        <w:spacing w:before="0"/>
        <w:ind w:left="213" w:right="0" w:firstLine="0"/>
        <w:jc w:val="left"/>
        <w:rPr>
          <w:sz w:val="12"/>
        </w:rPr>
      </w:pPr>
      <w:r>
        <w:rPr>
          <w:color w:val="231F20"/>
          <w:sz w:val="12"/>
        </w:rPr>
        <w:t>94</w:t>
        <w:tab/>
      </w:r>
      <w:r>
        <w:rPr>
          <w:color w:val="231F20"/>
          <w:spacing w:val="-10"/>
          <w:sz w:val="12"/>
        </w:rPr>
        <w:t>95</w:t>
      </w:r>
    </w:p>
    <w:p>
      <w:pPr>
        <w:pStyle w:val="BodyText"/>
        <w:spacing w:before="7"/>
        <w:rPr>
          <w:sz w:val="11"/>
        </w:rPr>
      </w:pPr>
      <w:r>
        <w:rPr/>
        <w:br w:type="column"/>
      </w:r>
      <w:r>
        <w:rPr>
          <w:sz w:val="11"/>
        </w:rPr>
      </w:r>
    </w:p>
    <w:p>
      <w:pPr>
        <w:spacing w:before="1"/>
        <w:ind w:left="1771" w:right="0" w:firstLine="0"/>
        <w:jc w:val="left"/>
        <w:rPr>
          <w:sz w:val="12"/>
        </w:rPr>
      </w:pPr>
      <w:r>
        <w:rPr>
          <w:color w:val="231F20"/>
          <w:sz w:val="12"/>
        </w:rPr>
        <w:t>1</w:t>
      </w:r>
    </w:p>
    <w:p>
      <w:pPr>
        <w:pStyle w:val="BodyText"/>
        <w:rPr>
          <w:sz w:val="12"/>
        </w:rPr>
      </w:pPr>
    </w:p>
    <w:p>
      <w:pPr>
        <w:pStyle w:val="BodyText"/>
        <w:rPr>
          <w:sz w:val="12"/>
        </w:rPr>
      </w:pPr>
    </w:p>
    <w:p>
      <w:pPr>
        <w:spacing w:line="118" w:lineRule="exact" w:before="82"/>
        <w:ind w:left="1771" w:right="0" w:firstLine="0"/>
        <w:jc w:val="left"/>
        <w:rPr>
          <w:sz w:val="12"/>
        </w:rPr>
      </w:pPr>
      <w:r>
        <w:rPr>
          <w:color w:val="231F20"/>
          <w:sz w:val="12"/>
        </w:rPr>
        <w:t>0</w:t>
      </w:r>
    </w:p>
    <w:p>
      <w:pPr>
        <w:tabs>
          <w:tab w:pos="788" w:val="left" w:leader="none"/>
          <w:tab w:pos="1269" w:val="left" w:leader="none"/>
        </w:tabs>
        <w:spacing w:line="118" w:lineRule="exact" w:before="0"/>
        <w:ind w:left="321" w:right="0" w:firstLine="0"/>
        <w:jc w:val="left"/>
        <w:rPr>
          <w:sz w:val="12"/>
        </w:rPr>
      </w:pPr>
      <w:r>
        <w:rPr>
          <w:color w:val="231F20"/>
          <w:sz w:val="12"/>
        </w:rPr>
        <w:t>96</w:t>
        <w:tab/>
        <w:t>97</w:t>
        <w:tab/>
        <w:t>98</w:t>
      </w:r>
    </w:p>
    <w:p>
      <w:pPr>
        <w:pStyle w:val="Heading4"/>
        <w:spacing w:line="242" w:lineRule="auto" w:before="90"/>
        <w:ind w:left="598" w:right="443"/>
        <w:jc w:val="both"/>
      </w:pPr>
      <w:r>
        <w:rPr/>
        <w:br w:type="column"/>
      </w:r>
      <w:r>
        <w:rPr>
          <w:color w:val="231F20"/>
        </w:rPr>
        <w:t>The growth rates of industrial production and service sector output still differ </w:t>
      </w:r>
      <w:r>
        <w:rPr>
          <w:color w:val="231F20"/>
          <w:spacing w:val="-3"/>
        </w:rPr>
        <w:t>markedly, </w:t>
      </w:r>
      <w:r>
        <w:rPr>
          <w:color w:val="231F20"/>
        </w:rPr>
        <w:t>largely because the industrial sector is more exposed to international </w:t>
      </w:r>
      <w:r>
        <w:rPr>
          <w:color w:val="231F20"/>
          <w:spacing w:val="-4"/>
        </w:rPr>
        <w:t>trade</w:t>
      </w:r>
    </w:p>
    <w:p>
      <w:pPr>
        <w:spacing w:after="0" w:line="242" w:lineRule="auto"/>
        <w:jc w:val="both"/>
        <w:sectPr>
          <w:type w:val="continuous"/>
          <w:pgSz w:w="11900" w:h="16840"/>
          <w:pgMar w:top="1220" w:bottom="280" w:left="640" w:right="600"/>
          <w:cols w:num="4" w:equalWidth="0">
            <w:col w:w="839" w:space="40"/>
            <w:col w:w="816" w:space="39"/>
            <w:col w:w="1872" w:space="795"/>
            <w:col w:w="6259"/>
          </w:cols>
        </w:sectPr>
      </w:pPr>
    </w:p>
    <w:p>
      <w:pPr>
        <w:pStyle w:val="BodyText"/>
        <w:spacing w:before="5"/>
        <w:rPr>
          <w:sz w:val="11"/>
        </w:rPr>
      </w:pPr>
    </w:p>
    <w:p>
      <w:pPr>
        <w:spacing w:before="0"/>
        <w:ind w:left="220" w:right="0" w:firstLine="0"/>
        <w:jc w:val="left"/>
        <w:rPr>
          <w:sz w:val="12"/>
        </w:rPr>
      </w:pPr>
      <w:r>
        <w:rPr>
          <w:color w:val="231F20"/>
          <w:sz w:val="12"/>
        </w:rPr>
        <w:t>(a) At 1995 market prices.</w:t>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3"/>
        <w:rPr>
          <w:sz w:val="10"/>
        </w:rPr>
      </w:pPr>
    </w:p>
    <w:p>
      <w:pPr>
        <w:pStyle w:val="Heading7"/>
        <w:spacing w:before="0"/>
        <w:ind w:left="200"/>
      </w:pPr>
      <w:r>
        <w:rPr>
          <w:color w:val="0093C1"/>
        </w:rPr>
        <w:t>Chart 2.19</w:t>
      </w:r>
    </w:p>
    <w:p>
      <w:pPr>
        <w:spacing w:before="10"/>
        <w:ind w:left="200" w:right="0" w:firstLine="0"/>
        <w:jc w:val="left"/>
        <w:rPr>
          <w:b/>
          <w:sz w:val="20"/>
        </w:rPr>
      </w:pPr>
      <w:r>
        <w:rPr>
          <w:b/>
          <w:color w:val="0093C1"/>
          <w:sz w:val="20"/>
        </w:rPr>
        <w:t>Annual growth rate of GDP</w:t>
      </w:r>
    </w:p>
    <w:p>
      <w:pPr>
        <w:spacing w:line="116" w:lineRule="exact" w:before="72"/>
        <w:ind w:left="0" w:right="136" w:firstLine="0"/>
        <w:jc w:val="right"/>
        <w:rPr>
          <w:sz w:val="12"/>
        </w:rPr>
      </w:pPr>
      <w:r>
        <w:rPr>
          <w:sz w:val="12"/>
        </w:rPr>
        <w:t>Percentage changes on a year earlier</w:t>
      </w:r>
    </w:p>
    <w:p>
      <w:pPr>
        <w:spacing w:line="116" w:lineRule="exact" w:before="0"/>
        <w:ind w:left="0" w:right="38" w:firstLine="0"/>
        <w:jc w:val="right"/>
        <w:rPr>
          <w:sz w:val="12"/>
        </w:rPr>
      </w:pPr>
      <w:r>
        <w:rPr/>
        <w:pict>
          <v:line style="position:absolute;mso-position-horizontal-relative:page;mso-position-vertical-relative:paragraph;z-index:15950848" from="41.333pt,3.093407pt" to="46.667pt,3.093407pt" stroked="true" strokeweight=".5pt" strokecolor="#000000">
            <v:stroke dashstyle="solid"/>
            <w10:wrap type="none"/>
          </v:line>
        </w:pict>
      </w:r>
      <w:r>
        <w:rPr/>
        <w:pict>
          <v:line style="position:absolute;mso-position-horizontal-relative:page;mso-position-vertical-relative:paragraph;z-index:15951872" from="198.332993pt,3.176407pt" to="203.666993pt,3.176407pt" stroked="true" strokeweight=".5pt" strokecolor="#000000">
            <v:stroke dashstyle="solid"/>
            <w10:wrap type="none"/>
          </v:line>
        </w:pict>
      </w:r>
      <w:r>
        <w:rPr>
          <w:sz w:val="12"/>
        </w:rPr>
        <w:t>7</w:t>
      </w:r>
    </w:p>
    <w:p>
      <w:pPr>
        <w:pStyle w:val="BodyText"/>
        <w:rPr>
          <w:sz w:val="12"/>
        </w:rPr>
      </w:pPr>
    </w:p>
    <w:p>
      <w:pPr>
        <w:spacing w:before="93"/>
        <w:ind w:left="0" w:right="38" w:firstLine="0"/>
        <w:jc w:val="right"/>
        <w:rPr>
          <w:sz w:val="12"/>
        </w:rPr>
      </w:pPr>
      <w:r>
        <w:rPr/>
        <w:pict>
          <v:group style="position:absolute;margin-left:41.333pt;margin-top:2.285935pt;width:164.15pt;height:121.35pt;mso-position-horizontal-relative:page;mso-position-vertical-relative:paragraph;z-index:15950336" coordorigin="827,46" coordsize="3283,2427">
            <v:shape style="position:absolute;left:952;top:414;width:1688;height:1105" coordorigin="953,415" coordsize="1688,1105" path="m953,1520l1083,1272m1083,1272l1210,1075m1210,1075l1340,1167m1340,1167l1470,972m1470,972l1600,745m1600,745l1730,525m1730,525l1860,415m1860,415l1990,637m1990,637l2120,1122m2120,1122l2248,1445m2248,1445l2380,1490m2380,1490l2510,1385m2510,1385l2640,1127e" filled="false" stroked="true" strokeweight="1pt" strokecolor="#faab54">
              <v:path arrowok="t"/>
              <v:stroke dashstyle="solid"/>
            </v:shape>
            <v:line style="position:absolute" from="2630,1131" to="2778,1131" stroked="true" strokeweight="1.375pt" strokecolor="#faab54">
              <v:stroke dashstyle="solid"/>
            </v:line>
            <v:shape style="position:absolute;left:2767;top:522;width:1170;height:793" coordorigin="2768,522" coordsize="1170,793" path="m2768,1135l2898,997m2898,997l3028,942m3028,942l3160,810m3160,810l3288,610m3288,610l3418,522m3418,522l3678,912m3678,912l3808,1062m3808,1062l3938,1315e" filled="false" stroked="true" strokeweight="1pt" strokecolor="#faab54">
              <v:path arrowok="t"/>
              <v:stroke dashstyle="solid"/>
            </v:shape>
            <v:shape style="position:absolute;left:950;top:574;width:1558;height:1328" coordorigin="950,575" coordsize="1558,1328" path="m2378,1680l2508,1457m950,1902l1080,1615m1080,1615l1208,1457m1208,1457l1338,1220m1338,1220l1468,1027m1468,1027l1598,755m1598,755l1728,575m1728,575l1858,670m1858,670l1988,920m1988,920l2118,1245m2118,1245l2245,1597m2245,1597l2378,1680e" filled="false" stroked="true" strokeweight="1pt" strokecolor="#008256">
              <v:path arrowok="t"/>
              <v:stroke dashstyle="solid"/>
            </v:shape>
            <v:line style="position:absolute" from="2498,1461" to="2648,1461" stroked="true" strokeweight="1.375pt" strokecolor="#008256">
              <v:stroke dashstyle="solid"/>
            </v:line>
            <v:line style="position:absolute" from="2638,1465" to="2765,1430" stroked="true" strokeweight="1pt" strokecolor="#008256">
              <v:stroke dashstyle="solid"/>
            </v:line>
            <v:line style="position:absolute" from="2755,1432" to="2905,1432" stroked="true" strokeweight="1.25pt" strokecolor="#008256">
              <v:stroke dashstyle="solid"/>
            </v:line>
            <v:shape style="position:absolute;left:2895;top:889;width:1040;height:915" coordorigin="2895,890" coordsize="1040,915" path="m2895,1435l3025,1375m3025,1375l3158,1125m3158,1125l3285,1025m3285,1025l3415,890m3415,890l3545,1152m3545,1152l3675,1377m3675,1377l3805,1522m3805,1522l3935,1805e" filled="false" stroked="true" strokeweight="1pt" strokecolor="#008256">
              <v:path arrowok="t"/>
              <v:stroke dashstyle="solid"/>
            </v:shape>
            <v:shape style="position:absolute;left:940;top:84;width:2208;height:2378" coordorigin="940,85" coordsize="2208,2378" path="m940,1830l1070,1870m1070,1870l1198,2030m1198,2030l1328,1710m1328,1710l1458,1447m1458,1447l1588,820m1588,820l1718,267m1718,267l1848,85m1848,85l1978,1202m1978,1202l2108,1597m2108,1597l2235,2052m2235,2052l2368,2462m2368,2462l2498,2092m2498,2092l2628,2462m2628,2462l2755,2350m2755,2350l2885,2092m2885,2092l3015,1982m3015,1982l3148,1907e" filled="false" stroked="true" strokeweight="1pt" strokecolor="#0066a5">
              <v:path arrowok="t"/>
              <v:stroke dashstyle="solid"/>
            </v:shape>
            <v:line style="position:absolute" from="3138,1908" to="3285,1908" stroked="true" strokeweight="1.125pt" strokecolor="#0066a5">
              <v:stroke dashstyle="solid"/>
            </v:line>
            <v:shape style="position:absolute;left:3275;top:1909;width:520;height:408" coordorigin="3275,1910" coordsize="520,408" path="m3275,1910l3405,2240m3405,2240l3535,2317m3535,2317l3665,2060m3665,2060l3795,2242e" filled="false" stroked="true" strokeweight="1pt" strokecolor="#0066a5">
              <v:path arrowok="t"/>
              <v:stroke dashstyle="solid"/>
            </v:shape>
            <v:shape style="position:absolute;left:826;top:177;width:3247;height:1842" coordorigin="827,178" coordsize="3247,1842" path="m827,178l933,178m827,545l933,545m827,911l933,911m827,1285l933,1285m827,1651l933,1651m827,2018l933,2018m3967,180l4073,180m3967,546l4073,546m3967,913l4073,913m3967,1286l4073,1286m3967,1653l4073,1653m3967,2020l4073,2020e" filled="false" stroked="true" strokeweight=".5pt" strokecolor="#000000">
              <v:path arrowok="t"/>
              <v:stroke dashstyle="solid"/>
            </v:shape>
            <v:shape style="position:absolute;left:1894;top:45;width:734;height:133" type="#_x0000_t202" filled="false" stroked="false">
              <v:textbox inset="0,0,0,0">
                <w:txbxContent>
                  <w:p>
                    <w:pPr>
                      <w:spacing w:line="133" w:lineRule="exact" w:before="0"/>
                      <w:ind w:left="0" w:right="0" w:firstLine="0"/>
                      <w:jc w:val="left"/>
                      <w:rPr>
                        <w:sz w:val="12"/>
                      </w:rPr>
                    </w:pPr>
                    <w:r>
                      <w:rPr>
                        <w:sz w:val="12"/>
                      </w:rPr>
                      <w:t>Manufacturing</w:t>
                    </w:r>
                  </w:p>
                </w:txbxContent>
              </v:textbox>
              <w10:wrap type="none"/>
            </v:shape>
            <v:shape style="position:absolute;left:2890;top:448;width:427;height:133" type="#_x0000_t202" filled="false" stroked="false">
              <v:textbox inset="0,0,0,0">
                <w:txbxContent>
                  <w:p>
                    <w:pPr>
                      <w:spacing w:line="133" w:lineRule="exact" w:before="0"/>
                      <w:ind w:left="0" w:right="0" w:firstLine="0"/>
                      <w:jc w:val="left"/>
                      <w:rPr>
                        <w:sz w:val="12"/>
                      </w:rPr>
                    </w:pPr>
                    <w:r>
                      <w:rPr>
                        <w:sz w:val="12"/>
                      </w:rPr>
                      <w:t>Services</w:t>
                    </w:r>
                  </w:p>
                </w:txbxContent>
              </v:textbox>
              <w10:wrap type="none"/>
            </v:shape>
            <v:shape style="position:absolute;left:3075;top:1294;width:261;height:133" type="#_x0000_t202" filled="false" stroked="false">
              <v:textbox inset="0,0,0,0">
                <w:txbxContent>
                  <w:p>
                    <w:pPr>
                      <w:spacing w:line="133" w:lineRule="exact" w:before="0"/>
                      <w:ind w:left="0" w:right="0" w:firstLine="0"/>
                      <w:jc w:val="left"/>
                      <w:rPr>
                        <w:sz w:val="12"/>
                      </w:rPr>
                    </w:pPr>
                    <w:r>
                      <w:rPr>
                        <w:sz w:val="12"/>
                      </w:rPr>
                      <w:t>GDP</w:t>
                    </w:r>
                  </w:p>
                </w:txbxContent>
              </v:textbox>
              <w10:wrap type="none"/>
            </v:shape>
            <v:shape style="position:absolute;left:826;top:2076;width:3283;height:368" type="#_x0000_t202" filled="false" stroked="false">
              <v:textbox inset="0,0,0,0">
                <w:txbxContent>
                  <w:p>
                    <w:pPr>
                      <w:spacing w:line="177" w:lineRule="exact" w:before="0"/>
                      <w:ind w:left="0" w:right="18" w:firstLine="0"/>
                      <w:jc w:val="right"/>
                      <w:rPr>
                        <w:sz w:val="16"/>
                      </w:rPr>
                    </w:pPr>
                    <w:r>
                      <w:rPr>
                        <w:sz w:val="16"/>
                      </w:rPr>
                      <w:t>+</w:t>
                    </w:r>
                  </w:p>
                  <w:p>
                    <w:pPr>
                      <w:tabs>
                        <w:tab w:pos="3246" w:val="left" w:leader="none"/>
                      </w:tabs>
                      <w:spacing w:before="52"/>
                      <w:ind w:left="0" w:right="0" w:firstLine="0"/>
                      <w:jc w:val="left"/>
                      <w:rPr>
                        <w:sz w:val="12"/>
                      </w:rPr>
                    </w:pPr>
                    <w:r>
                      <w:rPr>
                        <w:color w:val="231F20"/>
                        <w:sz w:val="12"/>
                        <w:u w:val="single" w:color="000000"/>
                      </w:rPr>
                      <w:t> </w:t>
                      <w:tab/>
                    </w:r>
                  </w:p>
                </w:txbxContent>
              </v:textbox>
              <w10:wrap type="none"/>
            </v:shape>
            <w10:wrap type="none"/>
          </v:group>
        </w:pict>
      </w:r>
      <w:r>
        <w:rPr>
          <w:sz w:val="12"/>
        </w:rPr>
        <w:t>6</w:t>
      </w:r>
    </w:p>
    <w:p>
      <w:pPr>
        <w:pStyle w:val="BodyText"/>
        <w:rPr>
          <w:sz w:val="12"/>
        </w:rPr>
      </w:pPr>
    </w:p>
    <w:p>
      <w:pPr>
        <w:spacing w:before="93"/>
        <w:ind w:left="0" w:right="38" w:firstLine="0"/>
        <w:jc w:val="right"/>
        <w:rPr>
          <w:sz w:val="12"/>
        </w:rPr>
      </w:pPr>
      <w:r>
        <w:rPr>
          <w:sz w:val="12"/>
        </w:rPr>
        <w:t>5</w:t>
      </w:r>
    </w:p>
    <w:p>
      <w:pPr>
        <w:pStyle w:val="BodyText"/>
        <w:rPr>
          <w:sz w:val="12"/>
        </w:rPr>
      </w:pPr>
    </w:p>
    <w:p>
      <w:pPr>
        <w:spacing w:before="92"/>
        <w:ind w:left="0" w:right="38" w:firstLine="0"/>
        <w:jc w:val="right"/>
        <w:rPr>
          <w:sz w:val="12"/>
        </w:rPr>
      </w:pPr>
      <w:r>
        <w:rPr>
          <w:sz w:val="12"/>
        </w:rPr>
        <w:t>4</w:t>
      </w:r>
    </w:p>
    <w:p>
      <w:pPr>
        <w:pStyle w:val="BodyText"/>
        <w:rPr>
          <w:sz w:val="12"/>
        </w:rPr>
      </w:pPr>
    </w:p>
    <w:p>
      <w:pPr>
        <w:spacing w:before="93"/>
        <w:ind w:left="0" w:right="38" w:firstLine="0"/>
        <w:jc w:val="right"/>
        <w:rPr>
          <w:sz w:val="12"/>
        </w:rPr>
      </w:pPr>
      <w:r>
        <w:rPr>
          <w:sz w:val="12"/>
        </w:rPr>
        <w:t>3</w:t>
      </w:r>
    </w:p>
    <w:p>
      <w:pPr>
        <w:pStyle w:val="BodyText"/>
        <w:rPr>
          <w:sz w:val="12"/>
        </w:rPr>
      </w:pPr>
    </w:p>
    <w:p>
      <w:pPr>
        <w:spacing w:before="93"/>
        <w:ind w:left="0" w:right="38" w:firstLine="0"/>
        <w:jc w:val="right"/>
        <w:rPr>
          <w:sz w:val="12"/>
        </w:rPr>
      </w:pPr>
      <w:r>
        <w:rPr>
          <w:sz w:val="12"/>
        </w:rPr>
        <w:t>2</w:t>
      </w:r>
    </w:p>
    <w:p>
      <w:pPr>
        <w:pStyle w:val="BodyText"/>
        <w:rPr>
          <w:sz w:val="12"/>
        </w:rPr>
      </w:pPr>
    </w:p>
    <w:p>
      <w:pPr>
        <w:spacing w:before="93"/>
        <w:ind w:left="0" w:right="38" w:firstLine="0"/>
        <w:jc w:val="right"/>
        <w:rPr>
          <w:sz w:val="12"/>
        </w:rPr>
      </w:pPr>
      <w:r>
        <w:rPr>
          <w:sz w:val="12"/>
        </w:rPr>
        <w:t>1</w:t>
      </w:r>
    </w:p>
    <w:p>
      <w:pPr>
        <w:pStyle w:val="BodyText"/>
        <w:rPr>
          <w:sz w:val="12"/>
        </w:rPr>
      </w:pPr>
    </w:p>
    <w:p>
      <w:pPr>
        <w:spacing w:before="92"/>
        <w:ind w:left="0" w:right="38" w:firstLine="0"/>
        <w:jc w:val="right"/>
        <w:rPr>
          <w:sz w:val="12"/>
        </w:rPr>
      </w:pPr>
      <w:r>
        <w:rPr>
          <w:color w:val="231F20"/>
          <w:sz w:val="12"/>
        </w:rPr>
        <w:t>0</w:t>
      </w:r>
    </w:p>
    <w:p>
      <w:pPr>
        <w:spacing w:before="1"/>
        <w:ind w:left="0" w:right="145" w:firstLine="0"/>
        <w:jc w:val="right"/>
        <w:rPr>
          <w:sz w:val="16"/>
        </w:rPr>
      </w:pPr>
      <w:r>
        <w:rPr>
          <w:sz w:val="16"/>
        </w:rPr>
        <w:t>–</w:t>
      </w:r>
    </w:p>
    <w:p>
      <w:pPr>
        <w:spacing w:line="133" w:lineRule="exact" w:before="46"/>
        <w:ind w:left="3486" w:right="0" w:firstLine="0"/>
        <w:jc w:val="left"/>
        <w:rPr>
          <w:sz w:val="12"/>
        </w:rPr>
      </w:pPr>
      <w:r>
        <w:rPr/>
        <w:pict>
          <v:shape style="position:absolute;margin-left:41.333pt;margin-top:2.48557pt;width:162.35pt;height:4.2pt;mso-position-horizontal-relative:page;mso-position-vertical-relative:paragraph;z-index:15951360" coordorigin="827,50" coordsize="3247,84" path="m827,130l933,130m3967,131l4073,131m947,133l3927,133m953,50l953,130m1460,50l1460,130m1987,50l1987,130m2507,50l2507,130m3027,50l3027,130m3547,50l3547,130e" filled="false" stroked="true" strokeweight=".5pt" strokecolor="#000000">
            <v:path arrowok="t"/>
            <v:stroke dashstyle="solid"/>
            <w10:wrap type="none"/>
          </v:shape>
        </w:pict>
      </w:r>
      <w:r>
        <w:rPr>
          <w:sz w:val="12"/>
        </w:rPr>
        <w:t>1</w:t>
      </w:r>
    </w:p>
    <w:p>
      <w:pPr>
        <w:tabs>
          <w:tab w:pos="1048" w:val="left" w:leader="none"/>
          <w:tab w:pos="1568" w:val="left" w:leader="none"/>
          <w:tab w:pos="2085" w:val="left" w:leader="none"/>
          <w:tab w:pos="2605" w:val="left" w:leader="none"/>
          <w:tab w:pos="3078" w:val="left" w:leader="none"/>
        </w:tabs>
        <w:spacing w:line="133" w:lineRule="exact" w:before="0"/>
        <w:ind w:left="428" w:right="0" w:firstLine="0"/>
        <w:jc w:val="left"/>
        <w:rPr>
          <w:sz w:val="12"/>
        </w:rPr>
      </w:pPr>
      <w:r>
        <w:rPr>
          <w:sz w:val="12"/>
        </w:rPr>
        <w:t>1993</w:t>
        <w:tab/>
        <w:t>94</w:t>
        <w:tab/>
        <w:t>95</w:t>
        <w:tab/>
        <w:t>96</w:t>
        <w:tab/>
        <w:t>97</w:t>
        <w:tab/>
        <w:t>98</w:t>
      </w:r>
    </w:p>
    <w:p>
      <w:pPr>
        <w:pStyle w:val="Heading4"/>
        <w:spacing w:line="242" w:lineRule="auto" w:before="4"/>
        <w:ind w:left="200" w:right="240"/>
      </w:pPr>
      <w:r>
        <w:rPr/>
        <w:br w:type="column"/>
      </w:r>
      <w:r>
        <w:rPr>
          <w:color w:val="231F20"/>
        </w:rPr>
        <w:t>(see Chart 2.19). Although service sector output growth slowed to 0.6% in 1998 Q4, the 2.9% annual rate of increase remains above its long-run trend. By contrast, industrial production fell by 0.8% in the three months to November, and the average level of production in October and November was only 0.6% higher than a year earlier.</w:t>
      </w:r>
    </w:p>
    <w:p>
      <w:pPr>
        <w:pStyle w:val="BodyText"/>
        <w:spacing w:before="1"/>
        <w:rPr>
          <w:sz w:val="25"/>
        </w:rPr>
      </w:pPr>
    </w:p>
    <w:p>
      <w:pPr>
        <w:spacing w:line="242" w:lineRule="auto" w:before="0"/>
        <w:ind w:left="200" w:right="234" w:firstLine="0"/>
        <w:jc w:val="left"/>
        <w:rPr>
          <w:sz w:val="24"/>
        </w:rPr>
      </w:pPr>
      <w:r>
        <w:rPr>
          <w:color w:val="231F20"/>
          <w:sz w:val="24"/>
        </w:rPr>
        <w:t>In the manufacturing sector, output fell in November for the fourth month in succession, leaving it 0.2% below a year earlier. Survey evidence continues to indicate very weak business confidence. Although the CBI’s measure of overall optimism about the business situation improved in January, the balance remains at its lowest level since January 1991. The balance of manufacturing firms expecting output to rise over the next four months was at broadly similar levels. And the Chartered Institute of Purchasing and Supply (C</w:t>
      </w:r>
      <w:r>
        <w:rPr>
          <w:color w:val="231F20"/>
          <w:sz w:val="20"/>
        </w:rPr>
        <w:t>IPS</w:t>
      </w:r>
      <w:r>
        <w:rPr>
          <w:color w:val="231F20"/>
          <w:sz w:val="24"/>
        </w:rPr>
        <w:t>) general</w:t>
      </w:r>
    </w:p>
    <w:p>
      <w:pPr>
        <w:spacing w:line="242" w:lineRule="auto" w:before="13"/>
        <w:ind w:left="200" w:right="204" w:firstLine="0"/>
        <w:jc w:val="left"/>
        <w:rPr>
          <w:sz w:val="24"/>
        </w:rPr>
      </w:pPr>
      <w:r>
        <w:rPr>
          <w:color w:val="231F20"/>
          <w:sz w:val="24"/>
        </w:rPr>
        <w:t>index fell to 42 in 1998 Q4, well below the neutral level of 50.</w:t>
      </w:r>
    </w:p>
    <w:p>
      <w:pPr>
        <w:pStyle w:val="BodyText"/>
        <w:spacing w:before="6"/>
        <w:rPr>
          <w:sz w:val="24"/>
        </w:rPr>
      </w:pPr>
    </w:p>
    <w:p>
      <w:pPr>
        <w:spacing w:line="242" w:lineRule="auto" w:before="0"/>
        <w:ind w:left="200" w:right="240" w:firstLine="0"/>
        <w:jc w:val="left"/>
        <w:rPr>
          <w:sz w:val="24"/>
        </w:rPr>
      </w:pPr>
      <w:r>
        <w:rPr>
          <w:color w:val="231F20"/>
          <w:sz w:val="24"/>
        </w:rPr>
        <w:t>Construction output declined by 0.6% in 1998 Q3, after a 3</w:t>
      </w:r>
      <w:r>
        <w:rPr>
          <w:color w:val="231F20"/>
          <w:position w:val="8"/>
          <w:sz w:val="12"/>
        </w:rPr>
        <w:t>1</w:t>
      </w:r>
      <w:r>
        <w:rPr>
          <w:color w:val="231F20"/>
          <w:sz w:val="24"/>
        </w:rPr>
        <w:t>/</w:t>
      </w:r>
      <w:r>
        <w:rPr>
          <w:color w:val="231F20"/>
          <w:sz w:val="12"/>
        </w:rPr>
        <w:t>2</w:t>
      </w:r>
      <w:r>
        <w:rPr>
          <w:color w:val="231F20"/>
          <w:sz w:val="24"/>
        </w:rPr>
        <w:t>% fall in Q2. As a consequence, the annual growth rate has slowed sharply, to 0.4%. Furthermore, activity does not seem to have picked up much in the fourth quarter; new construction orders in October and November were much lower than the average Q3 level. Similarly, the C</w:t>
      </w:r>
      <w:r>
        <w:rPr>
          <w:color w:val="231F20"/>
          <w:sz w:val="20"/>
        </w:rPr>
        <w:t>IPS </w:t>
      </w:r>
      <w:r>
        <w:rPr>
          <w:color w:val="231F20"/>
          <w:sz w:val="24"/>
        </w:rPr>
        <w:t>survey measure of construction activity averaged 45.5 in 1998 Q4, well below the balance of 51.5 in the third quarter. In contrast, activity in the energy extraction and supply industries has been</w:t>
      </w:r>
    </w:p>
    <w:p>
      <w:pPr>
        <w:spacing w:after="0" w:line="242" w:lineRule="auto"/>
        <w:jc w:val="left"/>
        <w:rPr>
          <w:sz w:val="24"/>
        </w:rPr>
        <w:sectPr>
          <w:type w:val="continuous"/>
          <w:pgSz w:w="11900" w:h="16840"/>
          <w:pgMar w:top="1220" w:bottom="280" w:left="640" w:right="600"/>
          <w:cols w:num="2" w:equalWidth="0">
            <w:col w:w="3587" w:space="1213"/>
            <w:col w:w="5860"/>
          </w:cols>
        </w:sectPr>
      </w:pPr>
    </w:p>
    <w:p>
      <w:pPr>
        <w:pStyle w:val="BodyText"/>
        <w:rPr>
          <w:sz w:val="20"/>
        </w:rPr>
      </w:pPr>
    </w:p>
    <w:p>
      <w:pPr>
        <w:spacing w:line="242" w:lineRule="auto" w:before="207"/>
        <w:ind w:left="4980" w:right="236" w:firstLine="0"/>
        <w:jc w:val="both"/>
        <w:rPr>
          <w:sz w:val="24"/>
        </w:rPr>
      </w:pPr>
      <w:bookmarkStart w:name="Summary" w:id="45"/>
      <w:bookmarkEnd w:id="45"/>
      <w:r>
        <w:rPr/>
      </w:r>
      <w:bookmarkStart w:name="_bookmark16" w:id="46"/>
      <w:bookmarkEnd w:id="46"/>
      <w:r>
        <w:rPr/>
      </w:r>
      <w:r>
        <w:rPr>
          <w:color w:val="231F20"/>
          <w:sz w:val="24"/>
        </w:rPr>
        <w:t>more buoyant—in the three months to November,</w:t>
      </w:r>
      <w:r>
        <w:rPr>
          <w:color w:val="231F20"/>
          <w:spacing w:val="-23"/>
          <w:sz w:val="24"/>
        </w:rPr>
        <w:t> </w:t>
      </w:r>
      <w:r>
        <w:rPr>
          <w:color w:val="231F20"/>
          <w:spacing w:val="-3"/>
          <w:sz w:val="24"/>
        </w:rPr>
        <w:t>output </w:t>
      </w:r>
      <w:r>
        <w:rPr>
          <w:color w:val="231F20"/>
          <w:sz w:val="24"/>
        </w:rPr>
        <w:t>in these sectors was 4.2% higher than in the same period a year</w:t>
      </w:r>
      <w:r>
        <w:rPr>
          <w:color w:val="231F20"/>
          <w:spacing w:val="-1"/>
          <w:sz w:val="24"/>
        </w:rPr>
        <w:t> </w:t>
      </w:r>
      <w:r>
        <w:rPr>
          <w:color w:val="231F20"/>
          <w:sz w:val="24"/>
        </w:rPr>
        <w:t>earlier.</w:t>
      </w:r>
    </w:p>
    <w:p>
      <w:pPr>
        <w:pStyle w:val="BodyText"/>
        <w:spacing w:before="8"/>
        <w:rPr>
          <w:sz w:val="24"/>
        </w:rPr>
      </w:pPr>
    </w:p>
    <w:p>
      <w:pPr>
        <w:spacing w:line="242" w:lineRule="auto" w:before="0"/>
        <w:ind w:left="4979" w:right="153" w:firstLine="0"/>
        <w:jc w:val="left"/>
        <w:rPr>
          <w:sz w:val="24"/>
        </w:rPr>
      </w:pPr>
      <w:r>
        <w:rPr>
          <w:color w:val="231F20"/>
          <w:sz w:val="24"/>
        </w:rPr>
        <w:t>Survey evidence suggests that service sector activity will continue to slow this year. The BCC’s measure of turnover confidence among service sector firms fell for the fifth successive quarter in 1998 Q4, as the balance of firms reporting a rise in both domestic and export orders declined. Similarly, the C</w:t>
      </w:r>
      <w:r>
        <w:rPr>
          <w:color w:val="231F20"/>
          <w:sz w:val="20"/>
        </w:rPr>
        <w:t>IPS </w:t>
      </w:r>
      <w:r>
        <w:rPr>
          <w:color w:val="231F20"/>
          <w:sz w:val="24"/>
        </w:rPr>
        <w:t>indicators of service sector activity also deteriorated in the fourth quarter. The business activity index averaged 49.1 in 1998 Q4, down from 54.7 in the third quarter, and the measure of incoming new business fell by 5 points to 47.4. In both cases, readings below 50 indicate falling activity.</w:t>
      </w:r>
    </w:p>
    <w:p>
      <w:pPr>
        <w:pStyle w:val="BodyText"/>
        <w:spacing w:before="3"/>
        <w:rPr>
          <w:sz w:val="22"/>
        </w:rPr>
      </w:pPr>
    </w:p>
    <w:p>
      <w:pPr>
        <w:pStyle w:val="Heading2"/>
        <w:numPr>
          <w:ilvl w:val="1"/>
          <w:numId w:val="11"/>
        </w:numPr>
        <w:tabs>
          <w:tab w:pos="9077" w:val="left" w:leader="none"/>
          <w:tab w:pos="9079" w:val="left" w:leader="none"/>
        </w:tabs>
        <w:spacing w:line="240" w:lineRule="auto" w:before="0" w:after="0"/>
        <w:ind w:left="9078" w:right="0" w:hanging="4099"/>
        <w:jc w:val="left"/>
        <w:rPr>
          <w:u w:val="none"/>
        </w:rPr>
      </w:pPr>
      <w:r>
        <w:rPr>
          <w:color w:val="009483"/>
          <w:u w:val="thick" w:color="0093C1"/>
        </w:rPr>
        <w:t>Summary</w:t>
      </w:r>
      <w:r>
        <w:rPr>
          <w:color w:val="009483"/>
          <w:spacing w:val="-11"/>
          <w:u w:val="thick" w:color="0093C1"/>
        </w:rPr>
        <w:t> </w:t>
      </w:r>
    </w:p>
    <w:p>
      <w:pPr>
        <w:pStyle w:val="BodyText"/>
        <w:rPr>
          <w:b/>
          <w:sz w:val="24"/>
        </w:rPr>
      </w:pPr>
    </w:p>
    <w:p>
      <w:pPr>
        <w:spacing w:line="242" w:lineRule="auto" w:before="0"/>
        <w:ind w:left="4979" w:right="202" w:firstLine="0"/>
        <w:jc w:val="left"/>
        <w:rPr>
          <w:sz w:val="24"/>
        </w:rPr>
      </w:pPr>
      <w:r>
        <w:rPr>
          <w:color w:val="231F20"/>
          <w:sz w:val="24"/>
        </w:rPr>
        <w:t>Global economic conditions </w:t>
      </w:r>
      <w:r>
        <w:rPr>
          <w:color w:val="231F20"/>
          <w:spacing w:val="-3"/>
          <w:sz w:val="24"/>
        </w:rPr>
        <w:t>have </w:t>
      </w:r>
      <w:r>
        <w:rPr>
          <w:color w:val="231F20"/>
          <w:sz w:val="24"/>
        </w:rPr>
        <w:t>continued to deteriorate since the November </w:t>
      </w:r>
      <w:r>
        <w:rPr>
          <w:i/>
          <w:color w:val="231F20"/>
          <w:sz w:val="24"/>
        </w:rPr>
        <w:t>Inflation Report</w:t>
      </w:r>
      <w:r>
        <w:rPr>
          <w:color w:val="231F20"/>
          <w:sz w:val="24"/>
        </w:rPr>
        <w:t>, with the impact of the sharp contraction in demand in Asia and the oil-exporting countries increasingly evident in UK export figures. Domestically, although the slowdown in GDP growth to 0.2% in 1998 Q4 was consistent with the </w:t>
      </w:r>
      <w:r>
        <w:rPr>
          <w:color w:val="231F20"/>
          <w:spacing w:val="-3"/>
          <w:sz w:val="24"/>
        </w:rPr>
        <w:t>MPC’s </w:t>
      </w:r>
      <w:r>
        <w:rPr>
          <w:color w:val="231F20"/>
          <w:sz w:val="24"/>
        </w:rPr>
        <w:t>central expectation at the </w:t>
      </w:r>
      <w:r>
        <w:rPr>
          <w:color w:val="231F20"/>
          <w:spacing w:val="-4"/>
          <w:sz w:val="24"/>
        </w:rPr>
        <w:t>time </w:t>
      </w:r>
      <w:r>
        <w:rPr>
          <w:color w:val="231F20"/>
          <w:sz w:val="24"/>
        </w:rPr>
        <w:t>of the November </w:t>
      </w:r>
      <w:r>
        <w:rPr>
          <w:i/>
          <w:color w:val="231F20"/>
          <w:sz w:val="24"/>
        </w:rPr>
        <w:t>Inflation Report</w:t>
      </w:r>
      <w:r>
        <w:rPr>
          <w:color w:val="231F20"/>
          <w:sz w:val="24"/>
        </w:rPr>
        <w:t>, the composition of this growth differed from that anticipated. In particular, consumption decelerated faster than expected. And consumer confidence, business optimism and investment intentions remain weak, suggesting that activity is likely to be subdued in the first half of this</w:t>
      </w:r>
      <w:r>
        <w:rPr>
          <w:color w:val="231F20"/>
          <w:spacing w:val="-2"/>
          <w:sz w:val="24"/>
        </w:rPr>
        <w:t> </w:t>
      </w:r>
      <w:r>
        <w:rPr>
          <w:color w:val="231F20"/>
          <w:spacing w:val="-3"/>
          <w:sz w:val="24"/>
        </w:rPr>
        <w:t>year.</w:t>
      </w:r>
    </w:p>
    <w:p>
      <w:pPr>
        <w:spacing w:after="0" w:line="242" w:lineRule="auto"/>
        <w:jc w:val="left"/>
        <w:rPr>
          <w:sz w:val="24"/>
        </w:rPr>
        <w:sectPr>
          <w:pgSz w:w="11900" w:h="16840"/>
          <w:pgMar w:header="586" w:footer="617" w:top="780" w:bottom="800" w:left="640" w:right="600"/>
        </w:sectPr>
      </w:pPr>
    </w:p>
    <w:p>
      <w:pPr>
        <w:pStyle w:val="BodyText"/>
        <w:spacing w:line="20" w:lineRule="exact"/>
        <w:ind w:left="138"/>
        <w:rPr>
          <w:sz w:val="2"/>
        </w:rPr>
      </w:pPr>
      <w:r>
        <w:rPr>
          <w:sz w:val="2"/>
        </w:rPr>
        <w:pict>
          <v:group style="width:517pt;height:.15pt;mso-position-horizontal-relative:char;mso-position-vertical-relative:line" coordorigin="0,0" coordsize="10340,3">
            <v:line style="position:absolute" from="0,1" to="10340,1" stroked="true" strokeweight=".125pt" strokecolor="#000000">
              <v:stroke dashstyle="solid"/>
            </v:line>
          </v:group>
        </w:pict>
      </w:r>
      <w:r>
        <w:rPr>
          <w:sz w:val="2"/>
        </w:rPr>
      </w:r>
    </w:p>
    <w:p>
      <w:pPr>
        <w:pStyle w:val="BodyText"/>
        <w:rPr>
          <w:sz w:val="20"/>
        </w:rPr>
      </w:pPr>
    </w:p>
    <w:p>
      <w:pPr>
        <w:pStyle w:val="BodyText"/>
        <w:spacing w:before="10"/>
        <w:rPr>
          <w:sz w:val="17"/>
        </w:rPr>
      </w:pPr>
      <w:r>
        <w:rPr/>
        <w:pict>
          <v:shape style="position:absolute;margin-left:40.090pt;margin-top:11.500977pt;width:516pt;height:48pt;mso-position-horizontal-relative:page;mso-position-vertical-relative:paragraph;z-index:-15504384;mso-wrap-distance-left:0;mso-wrap-distance-right:0" type="#_x0000_t202" filled="true" fillcolor="#b5dad6" stroked="false">
            <v:textbox inset="0,0,0,0">
              <w:txbxContent>
                <w:p>
                  <w:pPr>
                    <w:tabs>
                      <w:tab w:pos="6212" w:val="left" w:leader="none"/>
                    </w:tabs>
                    <w:spacing w:before="51"/>
                    <w:ind w:left="260" w:right="0" w:firstLine="0"/>
                    <w:jc w:val="left"/>
                    <w:rPr>
                      <w:b/>
                      <w:sz w:val="48"/>
                    </w:rPr>
                  </w:pPr>
                  <w:bookmarkStart w:name="The labour market" w:id="47"/>
                  <w:bookmarkEnd w:id="47"/>
                  <w:r>
                    <w:rPr/>
                  </w:r>
                  <w:bookmarkStart w:name="Earnings" w:id="48"/>
                  <w:bookmarkEnd w:id="48"/>
                  <w:r>
                    <w:rPr/>
                  </w:r>
                  <w:bookmarkStart w:name="_bookmark17" w:id="49"/>
                  <w:bookmarkEnd w:id="49"/>
                  <w:r>
                    <w:rPr/>
                  </w:r>
                  <w:r>
                    <w:rPr>
                      <w:b/>
                      <w:color w:val="009483"/>
                      <w:sz w:val="72"/>
                    </w:rPr>
                    <w:t>3</w:t>
                    <w:tab/>
                  </w:r>
                  <w:r>
                    <w:rPr>
                      <w:b/>
                      <w:color w:val="009483"/>
                      <w:sz w:val="48"/>
                    </w:rPr>
                    <w:t>The labour</w:t>
                  </w:r>
                  <w:r>
                    <w:rPr>
                      <w:b/>
                      <w:color w:val="009483"/>
                      <w:spacing w:val="-3"/>
                      <w:sz w:val="48"/>
                    </w:rPr>
                    <w:t> </w:t>
                  </w:r>
                  <w:r>
                    <w:rPr>
                      <w:b/>
                      <w:color w:val="009483"/>
                      <w:sz w:val="48"/>
                    </w:rPr>
                    <w:t>market</w:t>
                  </w:r>
                </w:p>
              </w:txbxContent>
            </v:textbox>
            <v:fill type="solid"/>
            <w10:wrap type="topAndBottom"/>
          </v:shape>
        </w:pict>
      </w:r>
    </w:p>
    <w:p>
      <w:pPr>
        <w:pStyle w:val="BodyText"/>
        <w:rPr>
          <w:sz w:val="20"/>
        </w:rPr>
      </w:pPr>
    </w:p>
    <w:p>
      <w:pPr>
        <w:pStyle w:val="BodyText"/>
        <w:rPr>
          <w:sz w:val="20"/>
        </w:rPr>
      </w:pPr>
    </w:p>
    <w:p>
      <w:pPr>
        <w:spacing w:after="0"/>
        <w:rPr>
          <w:sz w:val="20"/>
        </w:rPr>
        <w:sectPr>
          <w:headerReference w:type="even" r:id="rId73"/>
          <w:footerReference w:type="even" r:id="rId74"/>
          <w:footerReference w:type="default" r:id="rId75"/>
          <w:pgSz w:w="11900" w:h="16840"/>
          <w:pgMar w:header="0" w:footer="597" w:top="780" w:bottom="780" w:left="640" w:right="600"/>
          <w:pgNumType w:start="24"/>
        </w:sect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4"/>
        <w:rPr>
          <w:sz w:val="28"/>
        </w:rPr>
      </w:pPr>
    </w:p>
    <w:p>
      <w:pPr>
        <w:pStyle w:val="Heading7"/>
        <w:spacing w:before="0"/>
      </w:pPr>
      <w:r>
        <w:rPr>
          <w:color w:val="0093C1"/>
        </w:rPr>
        <w:t>Chart 3.1</w:t>
      </w:r>
    </w:p>
    <w:p>
      <w:pPr>
        <w:spacing w:line="249" w:lineRule="auto" w:before="10"/>
        <w:ind w:left="180" w:right="95" w:firstLine="0"/>
        <w:jc w:val="left"/>
        <w:rPr>
          <w:b/>
          <w:sz w:val="20"/>
        </w:rPr>
      </w:pPr>
      <w:r>
        <w:rPr>
          <w:b/>
          <w:color w:val="0093C1"/>
          <w:sz w:val="20"/>
        </w:rPr>
        <w:t>Old and revised headline measures of the Average Earnings Index (suspended)</w:t>
      </w:r>
    </w:p>
    <w:p>
      <w:pPr>
        <w:spacing w:before="116"/>
        <w:ind w:left="1745" w:right="0" w:firstLine="0"/>
        <w:jc w:val="left"/>
        <w:rPr>
          <w:sz w:val="12"/>
        </w:rPr>
      </w:pPr>
      <w:r>
        <w:rPr/>
        <w:pict>
          <v:line style="position:absolute;mso-position-horizontal-relative:page;mso-position-vertical-relative:paragraph;z-index:15955456" from="45.5pt,13.901563pt" to="40.5pt,13.901563pt" stroked="true" strokeweight=".5pt" strokecolor="#000000">
            <v:stroke dashstyle="solid"/>
            <w10:wrap type="none"/>
          </v:line>
        </w:pict>
      </w:r>
      <w:r>
        <w:rPr/>
        <w:pict>
          <v:line style="position:absolute;mso-position-horizontal-relative:page;mso-position-vertical-relative:paragraph;z-index:-21062144" from="206.5pt,13.901563pt" to="201.5pt,13.901563pt" stroked="true" strokeweight=".5pt" strokecolor="#000000">
            <v:stroke dashstyle="solid"/>
            <w10:wrap type="none"/>
          </v:line>
        </w:pict>
      </w:r>
      <w:r>
        <w:rPr>
          <w:sz w:val="12"/>
        </w:rPr>
        <w:t>Percentage changes on a year earlier</w:t>
      </w:r>
      <w:r>
        <w:rPr>
          <w:spacing w:val="1"/>
          <w:sz w:val="12"/>
        </w:rPr>
        <w:t> </w:t>
      </w:r>
      <w:r>
        <w:rPr>
          <w:position w:val="-8"/>
          <w:sz w:val="12"/>
        </w:rPr>
        <w:t>5.75</w:t>
      </w:r>
    </w:p>
    <w:p>
      <w:pPr>
        <w:spacing w:before="110"/>
        <w:ind w:left="3457" w:right="0" w:firstLine="0"/>
        <w:jc w:val="center"/>
        <w:rPr>
          <w:sz w:val="12"/>
        </w:rPr>
      </w:pPr>
      <w:r>
        <w:rPr/>
        <w:pict>
          <v:group style="position:absolute;margin-left:40.5pt;margin-top:9.213135pt;width:167.25pt;height:145.85pt;mso-position-horizontal-relative:page;mso-position-vertical-relative:paragraph;z-index:15954944" coordorigin="810,184" coordsize="3345,2917">
            <v:shape style="position:absolute;left:950;top:394;width:3020;height:2500" coordorigin="950,394" coordsize="3020,2500" path="m950,1994l1030,1694,1170,1694,1250,2294,1310,2694,1390,2794,1450,2694,1530,2694,1610,2614,1670,2614,1750,2794,1810,2894,1890,2894,1950,2614,2030,2494,2170,1794,2250,1694,2310,1594,2390,1494,2450,1394,2530,1194,2610,794,2670,594,2750,394,2810,394,2970,794,3030,994,3110,894,3170,1094,3330,1294,3390,1294,3470,1494,3530,1494,3610,1794,3670,1794,3750,1094,3830,694,3890,494,3970,1094e" filled="false" stroked="true" strokeweight="1pt" strokecolor="#008256">
              <v:path arrowok="t"/>
              <v:stroke dashstyle="solid"/>
            </v:shape>
            <v:shape style="position:absolute;left:950;top:194;width:2940;height:2300" coordorigin="950,194" coordsize="2940,2300" path="m950,2094l1090,2094,1170,1894,1250,2194,1310,2294,1390,2494,1450,2494,1530,2394,1610,2194,1670,2294,1750,2394,1810,2394,1890,2194,1950,1994,2030,2094,2170,2094,2250,1794,2310,1694,2390,1694,2450,1594,2530,1394,2610,1094,2670,1094,2750,1194,2810,1394,2890,1494,2970,1494,3030,1394,3110,1294,3250,1294,3330,1194,3390,1094,3470,1194,3530,1094,3610,794,3670,394,3750,194,3830,494,3890,694e" filled="false" stroked="true" strokeweight="1pt" strokecolor="#95459a">
              <v:path arrowok="t"/>
              <v:stroke dashstyle="solid"/>
            </v:shape>
            <v:shape style="position:absolute;left:810;top:194;width:3320;height:2896" coordorigin="810,194" coordsize="3320,2896" path="m910,2954l810,2954m910,2694l810,2694m910,2454l810,2454m910,2194l810,2194m910,1954l810,1954m910,1694l810,1694m910,1454l810,1454m910,1194l810,1194m910,954l810,954m910,694l810,694m910,434l810,434m910,194l810,194m4130,2954l4030,2954m4130,2694l4030,2694m4130,2454l4030,2454m4130,2194l4030,2194m4130,1954l4030,1954m4130,1694l4030,1694m4130,1454l4030,1454m4130,1194l4030,1194m4130,954l4030,954m4130,694l4030,694m4130,434l4030,434m4130,194l4030,194m4129,3090l3943,3090m974,3090l810,3090m967,3090l3987,3090m967,3090l967,3050m1047,3090l1047,3050m1119,3090l1119,3050m1191,3090l1191,3050m1263,3090l1263,3050m1335,3090l1335,3050m1407,3090l1407,3050m1479,3090l1479,3050m1551,3090l1551,3050m1623,3090l1623,3050m1695,3090l1695,3050m1767,3090l1767,3050m1827,3090l1827,3050m1907,3090l1907,3050m1967,3090l1967,3050m2047,3090l2047,3050m2107,3090l2107,3050m2187,3090l2187,3050m2267,3090l2267,3050m2327,3090l2327,3050m2407,3090l2407,3050m2487,3090l2487,3050m2547,3090l2547,3050m2627,3090l2627,3050m2687,3090l2687,3050m2767,3090l2767,3050m2839,3090l2839,3050m2911,3090l2911,3050m2983,3090l2983,3050m3055,3090l3055,3050m3127,3090l3127,3050m3199,3090l3199,3050m3271,3090l3271,3050m3343,3090l3343,3050m3415,3090l3415,3050m3487,3090l3487,3050m3547,3090l3547,3050m3627,3090l3627,3050m3687,3090l3687,3050m3767,3090l3767,3050m3827,3090l3827,3050m3907,3090l3907,3050m3987,3090l3987,3050m967,3090l967,3010m1827,3090l1827,3010m2687,3090l2687,3010m3547,3090l3547,3010e" filled="false" stroked="true" strokeweight=".5pt" strokecolor="#000000">
              <v:path arrowok="t"/>
              <v:stroke dashstyle="solid"/>
            </v:shape>
            <v:shape style="position:absolute;left:2914;top:1598;width:1236;height:1498" coordorigin="2914,1598" coordsize="1236,1498" path="m4130,2953l4130,2987,4110,3003,4150,3017,4110,3037,4150,3054,4126,3064,4125,3096m2914,1598l2914,1925e" filled="false" stroked="true" strokeweight=".5pt" strokecolor="#000000">
              <v:path arrowok="t"/>
              <v:stroke dashstyle="solid"/>
            </v:shape>
            <v:shape style="position:absolute;left:2889;top:1530;width:51;height:85" coordorigin="2889,1530" coordsize="51,85" path="m2914,1530l2889,1615,2939,1615,2918,1550,2916,1539,2914,1530xe" filled="true" fillcolor="#000000" stroked="false">
              <v:path arrowok="t"/>
              <v:fill type="solid"/>
            </v:shape>
            <v:shape style="position:absolute;left:890;top:2950;width:40;height:143" coordorigin="891,2951" coordsize="40,143" path="m911,2951l911,2985,891,3001,931,3015,891,3035,931,3051,907,3061,906,3093e" filled="false" stroked="true" strokeweight=".5pt" strokecolor="#000000">
              <v:path arrowok="t"/>
              <v:stroke dashstyle="solid"/>
            </v:shape>
            <v:shape style="position:absolute;left:1726;top:250;width:973;height:253" type="#_x0000_t202" filled="false" stroked="false">
              <v:textbox inset="0,0,0,0">
                <w:txbxContent>
                  <w:p>
                    <w:pPr>
                      <w:spacing w:line="208" w:lineRule="auto" w:before="9"/>
                      <w:ind w:left="60" w:right="0" w:hanging="60"/>
                      <w:jc w:val="left"/>
                      <w:rPr>
                        <w:sz w:val="12"/>
                      </w:rPr>
                    </w:pPr>
                    <w:r>
                      <w:rPr>
                        <w:sz w:val="12"/>
                      </w:rPr>
                      <w:t>Average Earnings Index (revised) (a)</w:t>
                    </w:r>
                  </w:p>
                </w:txbxContent>
              </v:textbox>
              <w10:wrap type="none"/>
            </v:shape>
            <v:shape style="position:absolute;left:2446;top:1924;width:883;height:253" type="#_x0000_t202" filled="false" stroked="false">
              <v:textbox inset="0,0,0,0">
                <w:txbxContent>
                  <w:p>
                    <w:pPr>
                      <w:spacing w:line="208" w:lineRule="auto" w:before="9"/>
                      <w:ind w:left="60" w:right="0" w:hanging="60"/>
                      <w:jc w:val="left"/>
                      <w:rPr>
                        <w:sz w:val="12"/>
                      </w:rPr>
                    </w:pPr>
                    <w:r>
                      <w:rPr>
                        <w:sz w:val="12"/>
                      </w:rPr>
                      <w:t>Average Earnings Index (old) (a)</w:t>
                    </w:r>
                  </w:p>
                </w:txbxContent>
              </v:textbox>
              <w10:wrap type="none"/>
            </v:shape>
            <w10:wrap type="none"/>
          </v:group>
        </w:pict>
      </w:r>
      <w:r>
        <w:rPr>
          <w:sz w:val="12"/>
        </w:rPr>
        <w:t>5.50</w:t>
      </w:r>
    </w:p>
    <w:p>
      <w:pPr>
        <w:pStyle w:val="BodyText"/>
        <w:spacing w:before="10"/>
        <w:rPr>
          <w:sz w:val="9"/>
        </w:rPr>
      </w:pPr>
    </w:p>
    <w:p>
      <w:pPr>
        <w:spacing w:before="0"/>
        <w:ind w:left="3457" w:right="0" w:firstLine="0"/>
        <w:jc w:val="center"/>
        <w:rPr>
          <w:sz w:val="12"/>
        </w:rPr>
      </w:pPr>
      <w:r>
        <w:rPr>
          <w:sz w:val="12"/>
        </w:rPr>
        <w:t>5.25</w:t>
      </w:r>
    </w:p>
    <w:p>
      <w:pPr>
        <w:pStyle w:val="BodyText"/>
        <w:spacing w:before="9"/>
        <w:rPr>
          <w:sz w:val="9"/>
        </w:rPr>
      </w:pPr>
    </w:p>
    <w:p>
      <w:pPr>
        <w:spacing w:before="1"/>
        <w:ind w:left="3457" w:right="0" w:firstLine="0"/>
        <w:jc w:val="center"/>
        <w:rPr>
          <w:sz w:val="12"/>
        </w:rPr>
      </w:pPr>
      <w:r>
        <w:rPr>
          <w:sz w:val="12"/>
        </w:rPr>
        <w:t>5.00</w:t>
      </w:r>
    </w:p>
    <w:p>
      <w:pPr>
        <w:pStyle w:val="BodyText"/>
        <w:spacing w:before="9"/>
        <w:rPr>
          <w:sz w:val="9"/>
        </w:rPr>
      </w:pPr>
    </w:p>
    <w:p>
      <w:pPr>
        <w:spacing w:before="0"/>
        <w:ind w:left="3457" w:right="0" w:firstLine="0"/>
        <w:jc w:val="center"/>
        <w:rPr>
          <w:sz w:val="12"/>
        </w:rPr>
      </w:pPr>
      <w:r>
        <w:rPr>
          <w:sz w:val="12"/>
        </w:rPr>
        <w:t>4.75</w:t>
      </w:r>
    </w:p>
    <w:p>
      <w:pPr>
        <w:pStyle w:val="BodyText"/>
        <w:spacing w:before="10"/>
        <w:rPr>
          <w:sz w:val="9"/>
        </w:rPr>
      </w:pPr>
    </w:p>
    <w:p>
      <w:pPr>
        <w:spacing w:before="0"/>
        <w:ind w:left="3457" w:right="0" w:firstLine="0"/>
        <w:jc w:val="center"/>
        <w:rPr>
          <w:sz w:val="12"/>
        </w:rPr>
      </w:pPr>
      <w:r>
        <w:rPr>
          <w:sz w:val="12"/>
        </w:rPr>
        <w:t>4.50</w:t>
      </w:r>
    </w:p>
    <w:p>
      <w:pPr>
        <w:pStyle w:val="BodyText"/>
        <w:spacing w:before="9"/>
        <w:rPr>
          <w:sz w:val="9"/>
        </w:rPr>
      </w:pPr>
    </w:p>
    <w:p>
      <w:pPr>
        <w:spacing w:before="0"/>
        <w:ind w:left="3457" w:right="0" w:firstLine="0"/>
        <w:jc w:val="center"/>
        <w:rPr>
          <w:sz w:val="12"/>
        </w:rPr>
      </w:pPr>
      <w:r>
        <w:rPr>
          <w:sz w:val="12"/>
        </w:rPr>
        <w:t>4.25</w:t>
      </w:r>
    </w:p>
    <w:p>
      <w:pPr>
        <w:pStyle w:val="BodyText"/>
        <w:spacing w:before="10"/>
        <w:rPr>
          <w:sz w:val="9"/>
        </w:rPr>
      </w:pPr>
    </w:p>
    <w:p>
      <w:pPr>
        <w:spacing w:before="0"/>
        <w:ind w:left="3457" w:right="0" w:firstLine="0"/>
        <w:jc w:val="center"/>
        <w:rPr>
          <w:sz w:val="12"/>
        </w:rPr>
      </w:pPr>
      <w:r>
        <w:rPr>
          <w:sz w:val="12"/>
        </w:rPr>
        <w:t>4.00</w:t>
      </w:r>
    </w:p>
    <w:p>
      <w:pPr>
        <w:pStyle w:val="BodyText"/>
        <w:spacing w:before="9"/>
        <w:rPr>
          <w:sz w:val="9"/>
        </w:rPr>
      </w:pPr>
    </w:p>
    <w:p>
      <w:pPr>
        <w:spacing w:before="1"/>
        <w:ind w:left="3457" w:right="0" w:firstLine="0"/>
        <w:jc w:val="center"/>
        <w:rPr>
          <w:sz w:val="12"/>
        </w:rPr>
      </w:pPr>
      <w:r>
        <w:rPr>
          <w:sz w:val="12"/>
        </w:rPr>
        <w:t>3.75</w:t>
      </w:r>
    </w:p>
    <w:p>
      <w:pPr>
        <w:pStyle w:val="BodyText"/>
        <w:spacing w:before="9"/>
        <w:rPr>
          <w:sz w:val="9"/>
        </w:rPr>
      </w:pPr>
    </w:p>
    <w:p>
      <w:pPr>
        <w:spacing w:before="0"/>
        <w:ind w:left="3457" w:right="0" w:firstLine="0"/>
        <w:jc w:val="center"/>
        <w:rPr>
          <w:sz w:val="12"/>
        </w:rPr>
      </w:pPr>
      <w:r>
        <w:rPr>
          <w:sz w:val="12"/>
        </w:rPr>
        <w:t>3.50</w:t>
      </w:r>
    </w:p>
    <w:p>
      <w:pPr>
        <w:pStyle w:val="BodyText"/>
        <w:spacing w:before="10"/>
        <w:rPr>
          <w:sz w:val="9"/>
        </w:rPr>
      </w:pPr>
    </w:p>
    <w:p>
      <w:pPr>
        <w:spacing w:before="0"/>
        <w:ind w:left="3457" w:right="0" w:firstLine="0"/>
        <w:jc w:val="center"/>
        <w:rPr>
          <w:sz w:val="12"/>
        </w:rPr>
      </w:pPr>
      <w:r>
        <w:rPr>
          <w:sz w:val="12"/>
        </w:rPr>
        <w:t>3.25</w:t>
      </w:r>
    </w:p>
    <w:p>
      <w:pPr>
        <w:pStyle w:val="BodyText"/>
        <w:spacing w:before="9"/>
        <w:rPr>
          <w:sz w:val="9"/>
        </w:rPr>
      </w:pPr>
    </w:p>
    <w:p>
      <w:pPr>
        <w:spacing w:before="1"/>
        <w:ind w:left="3457" w:right="0" w:firstLine="0"/>
        <w:jc w:val="center"/>
        <w:rPr>
          <w:sz w:val="12"/>
        </w:rPr>
      </w:pPr>
      <w:r>
        <w:rPr>
          <w:sz w:val="12"/>
        </w:rPr>
        <w:t>3.00</w:t>
      </w:r>
    </w:p>
    <w:p>
      <w:pPr>
        <w:pStyle w:val="BodyText"/>
        <w:spacing w:before="9"/>
        <w:rPr>
          <w:sz w:val="9"/>
        </w:rPr>
      </w:pPr>
    </w:p>
    <w:p>
      <w:pPr>
        <w:spacing w:before="0"/>
        <w:ind w:left="3457" w:right="0" w:firstLine="0"/>
        <w:jc w:val="center"/>
        <w:rPr>
          <w:sz w:val="12"/>
        </w:rPr>
      </w:pPr>
      <w:r>
        <w:rPr>
          <w:sz w:val="12"/>
        </w:rPr>
        <w:t>2.75</w:t>
      </w:r>
    </w:p>
    <w:p>
      <w:pPr>
        <w:spacing w:line="114" w:lineRule="exact" w:before="2"/>
        <w:ind w:left="3483" w:right="0" w:firstLine="0"/>
        <w:jc w:val="center"/>
        <w:rPr>
          <w:sz w:val="12"/>
        </w:rPr>
      </w:pPr>
      <w:r>
        <w:rPr>
          <w:sz w:val="12"/>
        </w:rPr>
        <w:t>0.00</w:t>
      </w:r>
    </w:p>
    <w:p>
      <w:pPr>
        <w:tabs>
          <w:tab w:pos="940" w:val="left" w:leader="none"/>
          <w:tab w:pos="1773" w:val="left" w:leader="none"/>
          <w:tab w:pos="2473" w:val="left" w:leader="none"/>
        </w:tabs>
        <w:spacing w:line="114" w:lineRule="exact" w:before="0"/>
        <w:ind w:left="3" w:right="0" w:firstLine="0"/>
        <w:jc w:val="center"/>
        <w:rPr>
          <w:sz w:val="12"/>
        </w:rPr>
      </w:pPr>
      <w:r>
        <w:rPr>
          <w:sz w:val="12"/>
        </w:rPr>
        <w:t>1995</w:t>
        <w:tab/>
        <w:t>96</w:t>
        <w:tab/>
        <w:t>97</w:t>
        <w:tab/>
        <w:t>98</w:t>
      </w:r>
    </w:p>
    <w:p>
      <w:pPr>
        <w:spacing w:before="66"/>
        <w:ind w:left="102" w:right="0" w:firstLine="0"/>
        <w:jc w:val="center"/>
        <w:rPr>
          <w:sz w:val="12"/>
        </w:rPr>
      </w:pPr>
      <w:r>
        <w:rPr>
          <w:sz w:val="12"/>
        </w:rPr>
        <w:t>Note: The Average Earnings Index was suspended on 2 November 1998.</w:t>
      </w:r>
    </w:p>
    <w:p>
      <w:pPr>
        <w:spacing w:before="102"/>
        <w:ind w:left="188" w:right="0" w:firstLine="0"/>
        <w:jc w:val="left"/>
        <w:rPr>
          <w:sz w:val="12"/>
        </w:rPr>
      </w:pPr>
      <w:r>
        <w:rPr>
          <w:sz w:val="12"/>
        </w:rPr>
        <w:t>(a) Seasonally adjusted, whole-economy figures.</w:t>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8"/>
        <w:rPr>
          <w:sz w:val="9"/>
        </w:rPr>
      </w:pPr>
    </w:p>
    <w:p>
      <w:pPr>
        <w:pStyle w:val="Heading7"/>
        <w:spacing w:before="0"/>
        <w:ind w:left="200"/>
      </w:pPr>
      <w:r>
        <w:rPr>
          <w:color w:val="0093C1"/>
        </w:rPr>
        <w:t>Chart 3.2</w:t>
      </w:r>
    </w:p>
    <w:p>
      <w:pPr>
        <w:spacing w:line="249" w:lineRule="auto" w:before="10"/>
        <w:ind w:left="200" w:right="20" w:firstLine="0"/>
        <w:jc w:val="left"/>
        <w:rPr>
          <w:b/>
          <w:sz w:val="20"/>
        </w:rPr>
      </w:pPr>
      <w:r>
        <w:rPr>
          <w:b/>
          <w:color w:val="0093C1"/>
          <w:sz w:val="20"/>
        </w:rPr>
        <w:t>Alternative measures of nominal earnings growth</w:t>
      </w:r>
    </w:p>
    <w:p>
      <w:pPr>
        <w:spacing w:line="417" w:lineRule="auto" w:before="73"/>
        <w:ind w:left="1460" w:right="0" w:firstLine="330"/>
        <w:jc w:val="left"/>
        <w:rPr>
          <w:sz w:val="12"/>
        </w:rPr>
      </w:pPr>
      <w:r>
        <w:rPr/>
        <w:pict>
          <v:group style="position:absolute;margin-left:41.5pt;margin-top:24.918371pt;width:167pt;height:127.3pt;mso-position-horizontal-relative:page;mso-position-vertical-relative:paragraph;z-index:-21060608" coordorigin="830,498" coordsize="3340,2546">
            <v:shape style="position:absolute;left:990;top:608;width:2700;height:1160" coordorigin="990,608" coordsize="2700,1160" path="m990,1468l1150,1448,1310,1468,1470,1608,1630,1268,1790,1488,1950,1748,2110,1708,2250,1768,2410,1448,2570,1168,2730,948,2890,608,3050,768,3210,908,3530,1228,3690,748e" filled="false" stroked="true" strokeweight="1pt" strokecolor="#95459a">
              <v:path arrowok="t"/>
              <v:stroke dashstyle="solid"/>
            </v:shape>
            <v:shape style="position:absolute;left:990;top:508;width:2860;height:2460" coordorigin="990,508" coordsize="2860,2460" path="m990,1668l1150,1848,1310,1848,1470,1588,1630,1548,1790,1568,1950,2508,2110,2968,2270,2608,2410,2648,2590,1788,2730,1348,2890,1308,3050,1168,3210,528,3370,828,3530,828,3690,508,3850,1068e" filled="false" stroked="true" strokeweight="1pt" strokecolor="#0099d8">
              <v:path arrowok="t"/>
              <v:stroke dashstyle="solid"/>
            </v:shape>
            <v:shape style="position:absolute;left:2410;top:568;width:1600;height:740" coordorigin="2410,568" coordsize="1600,740" path="m2410,1228l2590,1308,2730,1288,2890,1268,3050,1008,3210,668,3370,748,3530,648,3690,568,3850,588,4010,788e" filled="false" stroked="true" strokeweight="1pt" strokecolor="#522e91">
              <v:path arrowok="t"/>
              <v:stroke dashstyle="solid"/>
            </v:shape>
            <v:shape style="position:absolute;left:830;top:728;width:3340;height:2000" coordorigin="830,728" coordsize="3340,2000" path="m910,2728l830,2728m910,2228l830,2228m910,1728l830,1728m910,1228l830,1228m910,728l830,728m4170,2728l4070,2728m4170,2228l4070,2228m4170,1728l4070,1728m4170,1228l4070,1228m4170,728l4070,728e" filled="false" stroked="true" strokeweight=".5pt" strokecolor="#000000">
              <v:path arrowok="t"/>
              <v:stroke dashstyle="solid"/>
            </v:shape>
            <v:line style="position:absolute" from="2603,531" to="2717,1205" stroked="true" strokeweight=".5pt" strokecolor="#000000">
              <v:stroke dashstyle="solid"/>
            </v:line>
            <v:shape style="position:absolute;left:2689;top:1183;width:50;height:88" coordorigin="2689,1184" coordsize="50,88" path="m2739,1184l2689,1192,2698,1207,2704,1218,2728,1271,2728,1263,2728,1252,2729,1240,2731,1226,2733,1214,2739,1184xe" filled="true" fillcolor="#000000" stroked="false">
              <v:path arrowok="t"/>
              <v:fill type="solid"/>
            </v:shape>
            <v:shape style="position:absolute;left:1240;top:891;width:883;height:373" type="#_x0000_t202" filled="false" stroked="false">
              <v:textbox inset="0,0,0,0">
                <w:txbxContent>
                  <w:p>
                    <w:pPr>
                      <w:spacing w:line="208" w:lineRule="auto" w:before="9"/>
                      <w:ind w:left="60" w:right="0" w:hanging="60"/>
                      <w:jc w:val="left"/>
                      <w:rPr>
                        <w:sz w:val="12"/>
                      </w:rPr>
                    </w:pPr>
                    <w:r>
                      <w:rPr>
                        <w:sz w:val="12"/>
                      </w:rPr>
                      <w:t>Average Earnings Index (revised, suspended)</w:t>
                    </w:r>
                  </w:p>
                </w:txbxContent>
              </v:textbox>
              <w10:wrap type="none"/>
            </v:shape>
            <v:shape style="position:absolute;left:2200;top:2791;width:1103;height:253" type="#_x0000_t202" filled="false" stroked="false">
              <v:textbox inset="0,0,0,0">
                <w:txbxContent>
                  <w:p>
                    <w:pPr>
                      <w:spacing w:line="208" w:lineRule="auto" w:before="9"/>
                      <w:ind w:left="60" w:right="0" w:hanging="60"/>
                      <w:jc w:val="left"/>
                      <w:rPr>
                        <w:sz w:val="12"/>
                      </w:rPr>
                    </w:pPr>
                    <w:r>
                      <w:rPr>
                        <w:sz w:val="12"/>
                      </w:rPr>
                      <w:t>Wages and salaries (a) (National Accounts)</w:t>
                    </w:r>
                  </w:p>
                </w:txbxContent>
              </v:textbox>
              <w10:wrap type="none"/>
            </v:shape>
            <w10:wrap type="none"/>
          </v:group>
        </w:pict>
      </w:r>
      <w:r>
        <w:rPr/>
        <w:pict>
          <v:line style="position:absolute;mso-position-horizontal-relative:page;mso-position-vertical-relative:paragraph;z-index:15958528" from="45.5pt,11.418371pt" to="41.5pt,11.418371pt" stroked="true" strokeweight=".5pt" strokecolor="#000000">
            <v:stroke dashstyle="solid"/>
            <w10:wrap type="none"/>
          </v:line>
        </w:pict>
      </w:r>
      <w:r>
        <w:rPr>
          <w:sz w:val="12"/>
        </w:rPr>
        <w:t>Percentage changes on a year earl</w:t>
      </w:r>
      <w:r>
        <w:rPr>
          <w:sz w:val="12"/>
          <w:u w:val="single"/>
        </w:rPr>
        <w:t>ie</w:t>
      </w:r>
      <w:r>
        <w:rPr>
          <w:sz w:val="12"/>
        </w:rPr>
        <w:t>r </w:t>
      </w:r>
      <w:r>
        <w:rPr>
          <w:position w:val="-7"/>
          <w:sz w:val="12"/>
        </w:rPr>
        <w:t>6 </w:t>
      </w:r>
      <w:r>
        <w:rPr>
          <w:sz w:val="12"/>
        </w:rPr>
        <w:t>Reward Index</w:t>
      </w:r>
    </w:p>
    <w:p>
      <w:pPr>
        <w:spacing w:before="22"/>
        <w:ind w:left="3413" w:right="0" w:firstLine="0"/>
        <w:jc w:val="center"/>
        <w:rPr>
          <w:sz w:val="12"/>
        </w:rPr>
      </w:pPr>
      <w:r>
        <w:rPr>
          <w:sz w:val="12"/>
        </w:rPr>
        <w:t>5</w:t>
      </w:r>
    </w:p>
    <w:p>
      <w:pPr>
        <w:pStyle w:val="BodyText"/>
        <w:rPr>
          <w:sz w:val="12"/>
        </w:rPr>
      </w:pPr>
    </w:p>
    <w:p>
      <w:pPr>
        <w:pStyle w:val="BodyText"/>
        <w:rPr>
          <w:sz w:val="12"/>
        </w:rPr>
      </w:pPr>
    </w:p>
    <w:p>
      <w:pPr>
        <w:spacing w:before="88"/>
        <w:ind w:left="3413" w:right="0" w:firstLine="0"/>
        <w:jc w:val="center"/>
        <w:rPr>
          <w:sz w:val="12"/>
        </w:rPr>
      </w:pPr>
      <w:r>
        <w:rPr>
          <w:sz w:val="12"/>
        </w:rPr>
        <w:t>4</w:t>
      </w:r>
    </w:p>
    <w:p>
      <w:pPr>
        <w:pStyle w:val="BodyText"/>
        <w:rPr>
          <w:sz w:val="12"/>
        </w:rPr>
      </w:pPr>
    </w:p>
    <w:p>
      <w:pPr>
        <w:pStyle w:val="BodyText"/>
        <w:rPr>
          <w:sz w:val="12"/>
        </w:rPr>
      </w:pPr>
    </w:p>
    <w:p>
      <w:pPr>
        <w:spacing w:before="89"/>
        <w:ind w:left="3413" w:right="0" w:firstLine="0"/>
        <w:jc w:val="center"/>
        <w:rPr>
          <w:sz w:val="12"/>
        </w:rPr>
      </w:pPr>
      <w:r>
        <w:rPr>
          <w:sz w:val="12"/>
        </w:rPr>
        <w:t>3</w:t>
      </w:r>
    </w:p>
    <w:p>
      <w:pPr>
        <w:pStyle w:val="BodyText"/>
        <w:rPr>
          <w:sz w:val="12"/>
        </w:rPr>
      </w:pPr>
    </w:p>
    <w:p>
      <w:pPr>
        <w:pStyle w:val="BodyText"/>
        <w:rPr>
          <w:sz w:val="12"/>
        </w:rPr>
      </w:pPr>
    </w:p>
    <w:p>
      <w:pPr>
        <w:spacing w:before="88"/>
        <w:ind w:left="3413" w:right="0" w:firstLine="0"/>
        <w:jc w:val="center"/>
        <w:rPr>
          <w:sz w:val="12"/>
        </w:rPr>
      </w:pPr>
      <w:r>
        <w:rPr>
          <w:sz w:val="12"/>
        </w:rPr>
        <w:t>2</w:t>
      </w:r>
    </w:p>
    <w:p>
      <w:pPr>
        <w:pStyle w:val="BodyText"/>
        <w:rPr>
          <w:sz w:val="12"/>
        </w:rPr>
      </w:pPr>
    </w:p>
    <w:p>
      <w:pPr>
        <w:pStyle w:val="BodyText"/>
        <w:rPr>
          <w:sz w:val="12"/>
        </w:rPr>
      </w:pPr>
    </w:p>
    <w:p>
      <w:pPr>
        <w:spacing w:before="88"/>
        <w:ind w:left="3413" w:right="0" w:firstLine="0"/>
        <w:jc w:val="center"/>
        <w:rPr>
          <w:sz w:val="12"/>
        </w:rPr>
      </w:pPr>
      <w:r>
        <w:rPr>
          <w:sz w:val="12"/>
        </w:rPr>
        <w:t>1</w:t>
      </w:r>
    </w:p>
    <w:p>
      <w:pPr>
        <w:pStyle w:val="BodyText"/>
        <w:rPr>
          <w:sz w:val="12"/>
        </w:rPr>
      </w:pPr>
    </w:p>
    <w:p>
      <w:pPr>
        <w:pStyle w:val="BodyText"/>
        <w:rPr>
          <w:sz w:val="12"/>
        </w:rPr>
      </w:pPr>
    </w:p>
    <w:p>
      <w:pPr>
        <w:tabs>
          <w:tab w:pos="1259" w:val="left" w:leader="none"/>
          <w:tab w:pos="1873" w:val="left" w:leader="none"/>
          <w:tab w:pos="2519" w:val="left" w:leader="none"/>
          <w:tab w:pos="3086" w:val="left" w:leader="none"/>
          <w:tab w:pos="3573" w:val="left" w:leader="none"/>
        </w:tabs>
        <w:spacing w:before="85"/>
        <w:ind w:left="540" w:right="0" w:firstLine="0"/>
        <w:jc w:val="left"/>
        <w:rPr>
          <w:sz w:val="12"/>
        </w:rPr>
      </w:pPr>
      <w:r>
        <w:rPr/>
        <w:pict>
          <v:line style="position:absolute;mso-position-horizontal-relative:page;mso-position-vertical-relative:paragraph;z-index:15958016" from="45.5pt,7.518768pt" to="41.5pt,7.518768pt" stroked="true" strokeweight=".5pt" strokecolor="#000000">
            <v:stroke dashstyle="solid"/>
            <w10:wrap type="none"/>
          </v:line>
        </w:pict>
      </w:r>
      <w:r>
        <w:rPr/>
        <w:pict>
          <v:shape style="position:absolute;margin-left:49.5pt;margin-top:3.518768pt;width:159pt;height:4pt;mso-position-horizontal-relative:page;mso-position-vertical-relative:paragraph;z-index:-21059072" coordorigin="990,70" coordsize="3180,80" path="m4170,150l4070,150m990,150l4010,150m990,150l990,110m1150,150l1150,110m1310,150l1310,110m1470,150l1470,110m1630,150l1630,110m1790,150l1790,110m1950,150l1950,110m2110,150l2110,110m2270,150l2270,110m2410,150l2410,110m2570,150l2570,110m2730,150l2730,110m2890,150l2890,110m3050,150l3050,110m3210,150l3210,110m3370,150l3370,110m3530,150l3530,110m3690,150l3690,110m3850,150l3850,110m4010,150l4010,110m990,150l990,70m1630,150l1630,70m2270,150l2270,70m2890,150l2890,70m3530,150l3530,70e" filled="false" stroked="true" strokeweight=".5pt" strokecolor="#000000">
            <v:path arrowok="t"/>
            <v:stroke dashstyle="solid"/>
            <w10:wrap type="none"/>
          </v:shape>
        </w:pict>
      </w:r>
      <w:r>
        <w:rPr>
          <w:sz w:val="12"/>
        </w:rPr>
        <w:t>1994</w:t>
        <w:tab/>
        <w:t>95</w:t>
        <w:tab/>
        <w:t>96</w:t>
        <w:tab/>
        <w:t>97</w:t>
        <w:tab/>
        <w:t>98</w:t>
        <w:tab/>
      </w:r>
      <w:r>
        <w:rPr>
          <w:position w:val="9"/>
          <w:sz w:val="12"/>
        </w:rPr>
        <w:t>0</w:t>
      </w:r>
    </w:p>
    <w:p>
      <w:pPr>
        <w:spacing w:before="89"/>
        <w:ind w:left="190" w:right="0" w:firstLine="0"/>
        <w:jc w:val="left"/>
        <w:rPr>
          <w:sz w:val="12"/>
        </w:rPr>
      </w:pPr>
      <w:r>
        <w:rPr>
          <w:sz w:val="12"/>
        </w:rPr>
        <w:t>Sources: ONS, Bank of England and the Reward Group.</w:t>
      </w:r>
    </w:p>
    <w:p>
      <w:pPr>
        <w:pStyle w:val="BodyText"/>
        <w:spacing w:before="2"/>
        <w:rPr>
          <w:sz w:val="10"/>
        </w:rPr>
      </w:pPr>
    </w:p>
    <w:p>
      <w:pPr>
        <w:spacing w:line="208" w:lineRule="auto" w:before="0"/>
        <w:ind w:left="430" w:right="0" w:hanging="240"/>
        <w:jc w:val="left"/>
        <w:rPr>
          <w:sz w:val="12"/>
        </w:rPr>
      </w:pPr>
      <w:r>
        <w:rPr>
          <w:sz w:val="12"/>
        </w:rPr>
        <w:t>(a) Calculating by dividing wages and salaries by total employees in employment.</w:t>
      </w:r>
    </w:p>
    <w:p>
      <w:pPr>
        <w:pStyle w:val="Heading4"/>
        <w:spacing w:line="242" w:lineRule="auto" w:before="228"/>
        <w:ind w:left="180" w:right="181"/>
      </w:pPr>
      <w:r>
        <w:rPr/>
        <w:br w:type="column"/>
      </w:r>
      <w:r>
        <w:rPr/>
        <w:t>Employment growth has been strong and inactivity has fallen. Unemployment has continued to edge down, but the LFS unemployment rate, which stands at 6.2%, has been relatively stable in recent months. Recent survey evidence suggests a moderation in recruitment intentions and some alleviation of skill shortages.</w:t>
      </w:r>
    </w:p>
    <w:p>
      <w:pPr>
        <w:pStyle w:val="BodyText"/>
        <w:rPr>
          <w:sz w:val="25"/>
        </w:rPr>
      </w:pPr>
    </w:p>
    <w:p>
      <w:pPr>
        <w:spacing w:line="242" w:lineRule="auto" w:before="1"/>
        <w:ind w:left="180" w:right="191" w:firstLine="0"/>
        <w:jc w:val="left"/>
        <w:rPr>
          <w:sz w:val="24"/>
        </w:rPr>
      </w:pPr>
      <w:r>
        <w:rPr>
          <w:sz w:val="24"/>
        </w:rPr>
        <w:t>Last November, the ONS suspended publication of the </w:t>
      </w:r>
      <w:r>
        <w:rPr>
          <w:spacing w:val="-4"/>
          <w:sz w:val="24"/>
        </w:rPr>
        <w:t>Average </w:t>
      </w:r>
      <w:r>
        <w:rPr>
          <w:sz w:val="24"/>
        </w:rPr>
        <w:t>Earnings Index, pending the outcome of an independent review commissioned by the Chancellor. Other evidence on nominal earnings behaviour,</w:t>
      </w:r>
      <w:r>
        <w:rPr>
          <w:spacing w:val="-37"/>
          <w:sz w:val="24"/>
        </w:rPr>
        <w:t> </w:t>
      </w:r>
      <w:r>
        <w:rPr>
          <w:sz w:val="24"/>
        </w:rPr>
        <w:t>including settlements, analysis of the components of wage drift, and a fall in inflation expectations, appears consistent with an easing of upward pressure on nominal earnings growth.</w:t>
      </w:r>
    </w:p>
    <w:p>
      <w:pPr>
        <w:pStyle w:val="BodyText"/>
        <w:spacing w:before="11"/>
        <w:rPr>
          <w:sz w:val="21"/>
        </w:rPr>
      </w:pPr>
    </w:p>
    <w:p>
      <w:pPr>
        <w:pStyle w:val="ListParagraph"/>
        <w:numPr>
          <w:ilvl w:val="1"/>
          <w:numId w:val="16"/>
        </w:numPr>
        <w:tabs>
          <w:tab w:pos="4375" w:val="left" w:leader="none"/>
          <w:tab w:pos="4376" w:val="left" w:leader="none"/>
          <w:tab w:pos="5699" w:val="left" w:leader="none"/>
        </w:tabs>
        <w:spacing w:line="240" w:lineRule="auto" w:before="0" w:after="0"/>
        <w:ind w:left="4375" w:right="0" w:hanging="4196"/>
        <w:jc w:val="left"/>
        <w:rPr>
          <w:b/>
          <w:sz w:val="28"/>
        </w:rPr>
      </w:pPr>
      <w:r>
        <w:rPr>
          <w:b/>
          <w:color w:val="009483"/>
          <w:sz w:val="28"/>
          <w:u w:val="thick" w:color="0093C1"/>
        </w:rPr>
        <w:t>Earnings</w:t>
        <w:tab/>
      </w:r>
    </w:p>
    <w:p>
      <w:pPr>
        <w:pStyle w:val="BodyText"/>
        <w:spacing w:before="11"/>
        <w:rPr>
          <w:b/>
          <w:sz w:val="23"/>
        </w:rPr>
      </w:pPr>
    </w:p>
    <w:p>
      <w:pPr>
        <w:spacing w:line="242" w:lineRule="auto" w:before="0"/>
        <w:ind w:left="180" w:right="195" w:firstLine="0"/>
        <w:jc w:val="left"/>
        <w:rPr>
          <w:sz w:val="24"/>
        </w:rPr>
      </w:pPr>
      <w:r>
        <w:rPr>
          <w:sz w:val="24"/>
        </w:rPr>
        <w:t>The underlying rate of earnings growth, a key indicator of domestic inflationary pressure, remains hard to assess. The rebasing of, and revisions to, the official earnings data in October 1998 made the growth of the Average Earnings Index (AEI) volatile and difficult to reconcile with other information on pay and on the state of the labour market generally.</w:t>
      </w:r>
      <w:r>
        <w:rPr>
          <w:position w:val="5"/>
          <w:sz w:val="16"/>
        </w:rPr>
        <w:t>(1) </w:t>
      </w:r>
      <w:r>
        <w:rPr>
          <w:sz w:val="24"/>
        </w:rPr>
        <w:t>Chart 3.1 shows the reported profile of nominal earnings growth under the old and revised AEI measures. The two series differ considerably, especially during 1997 and in 1998 Q1.</w:t>
      </w:r>
    </w:p>
    <w:p>
      <w:pPr>
        <w:spacing w:line="242" w:lineRule="auto" w:before="12"/>
        <w:ind w:left="180" w:right="61" w:firstLine="0"/>
        <w:jc w:val="left"/>
        <w:rPr>
          <w:sz w:val="24"/>
        </w:rPr>
      </w:pPr>
      <w:r>
        <w:rPr>
          <w:sz w:val="24"/>
        </w:rPr>
        <w:t>Consequently, on 2 November, the ONS announced a suspension of the AEI, pending an independent review of the series commissioned by the Chancellor. The suspension means that there is greater-than-usual uncertainty about recent earnings behaviour and its likely future path.</w:t>
      </w:r>
    </w:p>
    <w:p>
      <w:pPr>
        <w:pStyle w:val="BodyText"/>
        <w:rPr>
          <w:sz w:val="25"/>
        </w:rPr>
      </w:pPr>
    </w:p>
    <w:p>
      <w:pPr>
        <w:spacing w:line="242" w:lineRule="auto" w:before="1"/>
        <w:ind w:left="180" w:right="61" w:firstLine="0"/>
        <w:jc w:val="left"/>
        <w:rPr>
          <w:sz w:val="24"/>
        </w:rPr>
      </w:pPr>
      <w:r>
        <w:rPr>
          <w:sz w:val="24"/>
        </w:rPr>
        <w:t>There are a number of sources of information about earnings growth other than the AEI. Chart 3.2 compares the revised AEI with wage and salary data from the National Accounts, and earnings growth based on the Reward Index, an independent survey covering some 860,000 employees. Growth in National Accounts measures of wages and salaries per head was estimated at 4.4% in the year to 1998 Q3, compared with a revised</w:t>
      </w:r>
    </w:p>
    <w:p>
      <w:pPr>
        <w:spacing w:after="0" w:line="242" w:lineRule="auto"/>
        <w:jc w:val="left"/>
        <w:rPr>
          <w:sz w:val="24"/>
        </w:rPr>
        <w:sectPr>
          <w:type w:val="continuous"/>
          <w:pgSz w:w="11900" w:h="16840"/>
          <w:pgMar w:top="1220" w:bottom="280" w:left="640" w:right="600"/>
          <w:cols w:num="2" w:equalWidth="0">
            <w:col w:w="3807" w:space="973"/>
            <w:col w:w="5880"/>
          </w:cols>
        </w:sectPr>
      </w:pPr>
    </w:p>
    <w:p>
      <w:pPr>
        <w:pStyle w:val="BodyText"/>
        <w:spacing w:before="3"/>
        <w:rPr>
          <w:sz w:val="29"/>
        </w:rPr>
      </w:pPr>
    </w:p>
    <w:p>
      <w:pPr>
        <w:pStyle w:val="BodyText"/>
        <w:spacing w:line="20" w:lineRule="exact"/>
        <w:ind w:left="4930"/>
        <w:rPr>
          <w:sz w:val="2"/>
        </w:rPr>
      </w:pPr>
      <w:r>
        <w:rPr>
          <w:sz w:val="2"/>
        </w:rPr>
        <w:pict>
          <v:group style="width:277.75pt;height:.15pt;mso-position-horizontal-relative:char;mso-position-vertical-relative:line" coordorigin="0,0" coordsize="5555,3">
            <v:line style="position:absolute" from="0,1" to="5555,1" stroked="true" strokeweight=".125pt" strokecolor="#231f20">
              <v:stroke dashstyle="solid"/>
            </v:line>
          </v:group>
        </w:pict>
      </w:r>
      <w:r>
        <w:rPr>
          <w:sz w:val="2"/>
        </w:rPr>
      </w:r>
    </w:p>
    <w:p>
      <w:pPr>
        <w:pStyle w:val="ListParagraph"/>
        <w:numPr>
          <w:ilvl w:val="2"/>
          <w:numId w:val="16"/>
        </w:numPr>
        <w:tabs>
          <w:tab w:pos="5201" w:val="left" w:leader="none"/>
        </w:tabs>
        <w:spacing w:line="208" w:lineRule="auto" w:before="1" w:after="0"/>
        <w:ind w:left="5200" w:right="708" w:hanging="240"/>
        <w:jc w:val="left"/>
        <w:rPr>
          <w:sz w:val="16"/>
        </w:rPr>
      </w:pPr>
      <w:r>
        <w:rPr>
          <w:sz w:val="16"/>
        </w:rPr>
        <w:t>See the November 1998 </w:t>
      </w:r>
      <w:r>
        <w:rPr>
          <w:i/>
          <w:color w:val="231F20"/>
          <w:sz w:val="16"/>
        </w:rPr>
        <w:t>Report </w:t>
      </w:r>
      <w:r>
        <w:rPr>
          <w:color w:val="231F20"/>
          <w:sz w:val="16"/>
        </w:rPr>
        <w:t>for a detailed discussion of the </w:t>
      </w:r>
      <w:r>
        <w:rPr>
          <w:color w:val="231F20"/>
          <w:spacing w:val="-2"/>
          <w:sz w:val="16"/>
        </w:rPr>
        <w:t>difficulties </w:t>
      </w:r>
      <w:r>
        <w:rPr>
          <w:color w:val="231F20"/>
          <w:sz w:val="16"/>
        </w:rPr>
        <w:t>posed by the revised earnings data.</w:t>
      </w:r>
    </w:p>
    <w:p>
      <w:pPr>
        <w:spacing w:after="0" w:line="208" w:lineRule="auto"/>
        <w:jc w:val="left"/>
        <w:rPr>
          <w:sz w:val="16"/>
        </w:rPr>
        <w:sectPr>
          <w:type w:val="continuous"/>
          <w:pgSz w:w="11900" w:h="16840"/>
          <w:pgMar w:top="1220" w:bottom="280" w:left="640" w:right="600"/>
        </w:sectPr>
      </w:pPr>
    </w:p>
    <w:p>
      <w:pPr>
        <w:pStyle w:val="BodyText"/>
        <w:rPr>
          <w:sz w:val="20"/>
        </w:rPr>
      </w:pPr>
    </w:p>
    <w:p>
      <w:pPr>
        <w:spacing w:after="0"/>
        <w:rPr>
          <w:sz w:val="20"/>
        </w:rPr>
        <w:sectPr>
          <w:headerReference w:type="default" r:id="rId76"/>
          <w:headerReference w:type="even" r:id="rId77"/>
          <w:pgSz w:w="11900" w:h="16840"/>
          <w:pgMar w:header="586" w:footer="617" w:top="780" w:bottom="800" w:left="640" w:right="600"/>
        </w:sect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4"/>
      </w:pPr>
    </w:p>
    <w:p>
      <w:pPr>
        <w:pStyle w:val="Heading7"/>
        <w:spacing w:before="1"/>
        <w:ind w:left="170"/>
      </w:pPr>
      <w:r>
        <w:rPr>
          <w:color w:val="0093C1"/>
        </w:rPr>
        <w:t>Chart 3.3</w:t>
      </w:r>
    </w:p>
    <w:p>
      <w:pPr>
        <w:spacing w:before="10"/>
        <w:ind w:left="170" w:right="0" w:firstLine="0"/>
        <w:jc w:val="left"/>
        <w:rPr>
          <w:b/>
          <w:sz w:val="20"/>
        </w:rPr>
      </w:pPr>
      <w:r>
        <w:rPr>
          <w:b/>
          <w:color w:val="0093C1"/>
          <w:sz w:val="20"/>
        </w:rPr>
        <w:t>Wage settlements by sector</w:t>
      </w:r>
    </w:p>
    <w:p>
      <w:pPr>
        <w:spacing w:before="144"/>
        <w:ind w:left="165" w:right="0" w:firstLine="0"/>
        <w:jc w:val="left"/>
        <w:rPr>
          <w:sz w:val="12"/>
        </w:rPr>
      </w:pPr>
      <w:r>
        <w:rPr>
          <w:sz w:val="12"/>
          <w:u w:val="single"/>
        </w:rPr>
        <w:t>T</w:t>
      </w:r>
      <w:r>
        <w:rPr>
          <w:sz w:val="12"/>
        </w:rPr>
        <w:t>welve-month employment-weighted mean</w:t>
      </w:r>
    </w:p>
    <w:p>
      <w:pPr>
        <w:pStyle w:val="BodyText"/>
        <w:rPr>
          <w:sz w:val="20"/>
        </w:rPr>
      </w:pPr>
      <w:r>
        <w:rPr/>
        <w:br w:type="column"/>
      </w:r>
      <w:r>
        <w:rPr>
          <w:sz w:val="20"/>
        </w:rPr>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
        <w:rPr>
          <w:sz w:val="21"/>
        </w:rPr>
      </w:pPr>
    </w:p>
    <w:p>
      <w:pPr>
        <w:spacing w:before="0"/>
        <w:ind w:left="165" w:right="0" w:firstLine="0"/>
        <w:jc w:val="left"/>
        <w:rPr>
          <w:sz w:val="12"/>
        </w:rPr>
      </w:pPr>
      <w:r>
        <w:rPr>
          <w:sz w:val="12"/>
        </w:rPr>
        <w:t>Per ce</w:t>
      </w:r>
      <w:r>
        <w:rPr>
          <w:sz w:val="12"/>
          <w:u w:val="single"/>
        </w:rPr>
        <w:t>n</w:t>
      </w:r>
      <w:r>
        <w:rPr>
          <w:sz w:val="12"/>
        </w:rPr>
        <w:t>t</w:t>
      </w:r>
      <w:r>
        <w:rPr>
          <w:spacing w:val="15"/>
          <w:sz w:val="12"/>
        </w:rPr>
        <w:t> </w:t>
      </w:r>
      <w:r>
        <w:rPr>
          <w:position w:val="-7"/>
          <w:sz w:val="12"/>
        </w:rPr>
        <w:t>4.25</w:t>
      </w:r>
    </w:p>
    <w:p>
      <w:pPr>
        <w:pStyle w:val="BodyText"/>
        <w:spacing w:before="6"/>
        <w:rPr>
          <w:sz w:val="17"/>
        </w:rPr>
      </w:pPr>
    </w:p>
    <w:p>
      <w:pPr>
        <w:spacing w:before="0"/>
        <w:ind w:left="600" w:right="0" w:firstLine="0"/>
        <w:jc w:val="left"/>
        <w:rPr>
          <w:sz w:val="12"/>
        </w:rPr>
      </w:pPr>
      <w:r>
        <w:rPr/>
        <w:pict>
          <v:group style="position:absolute;margin-left:40.521pt;margin-top:3.600769pt;width:167.15pt;height:123pt;mso-position-horizontal-relative:page;mso-position-vertical-relative:paragraph;z-index:15961600" coordorigin="810,72" coordsize="3343,2460">
            <v:shape style="position:absolute;left:980;top:82;width:3020;height:2400" coordorigin="980,82" coordsize="3020,2400" path="m980,2482l1040,2402,1140,2202,1200,2182,1240,1962,1300,1882,1360,1862,1400,1842,1460,1702,1520,1682,1560,1642,1620,1442,1680,1442,1720,1322,1780,1242,1820,1222,1880,1202,1940,1202,1980,1182,2040,1182,2100,1122,2140,1102,2200,1102,2260,1062,2300,1022,2360,942,2400,922,2460,922,2520,902,2580,902,2620,922,2680,922,2720,962,2840,962,2880,862,2940,902,3000,862,3040,862,3100,562,3140,582,3200,562,3300,562,3360,382,3420,362,3460,282,3520,262,3580,162,3620,122,3680,82,3940,82,4000,102e" filled="false" stroked="true" strokeweight="1pt" strokecolor="#0066a5">
              <v:path arrowok="t"/>
              <v:stroke dashstyle="solid"/>
            </v:shape>
            <v:shape style="position:absolute;left:980;top:962;width:3020;height:1560" coordorigin="980,962" coordsize="3020,1560" path="m980,2522l1040,2522,1100,2502,1140,2282,1200,2262,1240,2082,1300,2042,1360,2042,1400,2022,1560,2022,1620,1962,1680,1962,1720,1882,1780,1802,1820,1762,1880,1662,1940,1642,1980,1562,2200,1562,2260,1602,2300,1602,2360,1562,2400,1562,2520,1522,2580,1542,2620,1562,2840,1562,2880,1362,2940,1362,3000,1342,3040,1362,3460,1362,3520,1102,3580,1102,3620,1122,3680,1082,3720,1022,3780,982,3840,982,3880,962,4000,962e" filled="false" stroked="true" strokeweight="1pt" strokecolor="#95459a">
              <v:path arrowok="t"/>
              <v:stroke dashstyle="solid"/>
            </v:shape>
            <v:shape style="position:absolute;left:980;top:462;width:3020;height:2040" coordorigin="980,462" coordsize="3020,2040" path="m980,2502l1100,2382,1140,2242,1200,2202,1240,2002,1300,1962,1360,1942,1400,1922,1460,1842,1520,1842,1560,1822,1620,1662,1680,1642,1720,1562,1780,1482,1820,1442,1940,1362,1980,1322,2040,1322,2100,1282,2200,1282,2260,1322,2300,1282,2360,1202,2460,1202,2520,1162,2580,1182,2680,1182,2720,1222,2840,1222,2880,1082,2940,1102,3000,1102,3040,1082,3100,922,3140,922,3260,882,3300,882,3360,802,3420,762,3460,722,3520,622,3580,562,3620,542,3680,502,3720,482,3780,462,3940,462,4000,502e" filled="false" stroked="true" strokeweight="1pt" strokecolor="#ed1b2d">
              <v:path arrowok="t"/>
              <v:stroke dashstyle="solid"/>
            </v:shape>
            <v:shape style="position:absolute;left:810;top:82;width:3343;height:2340" coordorigin="810,82" coordsize="3343,2340" path="m910,2422l810,2422m910,2082l810,2082m910,1762l810,1762m910,1422l810,1422m910,1082l810,1082m910,742l810,742m910,422l810,422m910,82l810,82m4153,2422l4053,2422m4153,2082l4053,2082m4153,1762l4053,1762m4153,1422l4053,1422m4153,1082l4053,1082m4153,742l4053,742m4153,422l4053,422m4153,82l4053,82e" filled="false" stroked="true" strokeweight=".5pt" strokecolor="#000000">
              <v:path arrowok="t"/>
              <v:stroke dashstyle="solid"/>
            </v:shape>
            <v:shape style="position:absolute;left:2976;top:291;width:360;height:133" type="#_x0000_t202" filled="false" stroked="false">
              <v:textbox inset="0,0,0,0">
                <w:txbxContent>
                  <w:p>
                    <w:pPr>
                      <w:spacing w:line="133" w:lineRule="exact" w:before="0"/>
                      <w:ind w:left="0" w:right="0" w:firstLine="0"/>
                      <w:jc w:val="left"/>
                      <w:rPr>
                        <w:sz w:val="12"/>
                      </w:rPr>
                    </w:pPr>
                    <w:r>
                      <w:rPr>
                        <w:sz w:val="12"/>
                      </w:rPr>
                      <w:t>Private</w:t>
                    </w:r>
                  </w:p>
                </w:txbxContent>
              </v:textbox>
              <w10:wrap type="none"/>
            </v:shape>
            <v:shape style="position:absolute;left:1770;top:1338;width:1007;height:613" type="#_x0000_t202" filled="false" stroked="false">
              <v:textbox inset="0,0,0,0">
                <w:txbxContent>
                  <w:p>
                    <w:pPr>
                      <w:spacing w:line="133" w:lineRule="exact" w:before="0"/>
                      <w:ind w:left="186" w:right="0" w:firstLine="0"/>
                      <w:jc w:val="left"/>
                      <w:rPr>
                        <w:sz w:val="12"/>
                      </w:rPr>
                    </w:pPr>
                    <w:r>
                      <w:rPr>
                        <w:sz w:val="12"/>
                      </w:rPr>
                      <w:t>Whole-economy</w:t>
                    </w:r>
                  </w:p>
                  <w:p>
                    <w:pPr>
                      <w:spacing w:line="240" w:lineRule="auto" w:before="0"/>
                      <w:rPr>
                        <w:sz w:val="12"/>
                      </w:rPr>
                    </w:pPr>
                  </w:p>
                  <w:p>
                    <w:pPr>
                      <w:spacing w:line="240" w:lineRule="auto" w:before="8"/>
                      <w:rPr>
                        <w:sz w:val="17"/>
                      </w:rPr>
                    </w:pPr>
                  </w:p>
                  <w:p>
                    <w:pPr>
                      <w:spacing w:before="0"/>
                      <w:ind w:left="0" w:right="0" w:firstLine="0"/>
                      <w:jc w:val="left"/>
                      <w:rPr>
                        <w:sz w:val="12"/>
                      </w:rPr>
                    </w:pPr>
                    <w:r>
                      <w:rPr>
                        <w:sz w:val="12"/>
                      </w:rPr>
                      <w:t>Public</w:t>
                    </w:r>
                  </w:p>
                </w:txbxContent>
              </v:textbox>
              <w10:wrap type="none"/>
            </v:shape>
            <w10:wrap type="none"/>
          </v:group>
        </w:pict>
      </w:r>
      <w:r>
        <w:rPr>
          <w:sz w:val="12"/>
        </w:rPr>
        <w:t>4.00</w:t>
      </w:r>
    </w:p>
    <w:p>
      <w:pPr>
        <w:pStyle w:val="BodyText"/>
        <w:spacing w:before="7"/>
        <w:rPr>
          <w:sz w:val="17"/>
        </w:rPr>
      </w:pPr>
    </w:p>
    <w:p>
      <w:pPr>
        <w:spacing w:before="0"/>
        <w:ind w:left="600" w:right="0" w:firstLine="0"/>
        <w:jc w:val="left"/>
        <w:rPr>
          <w:sz w:val="12"/>
        </w:rPr>
      </w:pPr>
      <w:r>
        <w:rPr>
          <w:sz w:val="12"/>
        </w:rPr>
        <w:t>3.75</w:t>
      </w:r>
    </w:p>
    <w:p>
      <w:pPr>
        <w:pStyle w:val="BodyText"/>
        <w:spacing w:before="9"/>
        <w:rPr>
          <w:sz w:val="15"/>
        </w:rPr>
      </w:pPr>
    </w:p>
    <w:p>
      <w:pPr>
        <w:spacing w:before="1"/>
        <w:ind w:left="600" w:right="0" w:firstLine="0"/>
        <w:jc w:val="left"/>
        <w:rPr>
          <w:sz w:val="12"/>
        </w:rPr>
      </w:pPr>
      <w:r>
        <w:rPr>
          <w:sz w:val="12"/>
        </w:rPr>
        <w:t>3.50</w:t>
      </w:r>
    </w:p>
    <w:p>
      <w:pPr>
        <w:pStyle w:val="BodyText"/>
        <w:spacing w:before="6"/>
        <w:rPr>
          <w:sz w:val="17"/>
        </w:rPr>
      </w:pPr>
    </w:p>
    <w:p>
      <w:pPr>
        <w:spacing w:before="0"/>
        <w:ind w:left="600" w:right="0" w:firstLine="0"/>
        <w:jc w:val="left"/>
        <w:rPr>
          <w:sz w:val="12"/>
        </w:rPr>
      </w:pPr>
      <w:r>
        <w:rPr>
          <w:sz w:val="12"/>
        </w:rPr>
        <w:t>3.25</w:t>
      </w:r>
    </w:p>
    <w:p>
      <w:pPr>
        <w:pStyle w:val="BodyText"/>
        <w:spacing w:before="6"/>
        <w:rPr>
          <w:sz w:val="17"/>
        </w:rPr>
      </w:pPr>
    </w:p>
    <w:p>
      <w:pPr>
        <w:spacing w:before="1"/>
        <w:ind w:left="600" w:right="0" w:firstLine="0"/>
        <w:jc w:val="left"/>
        <w:rPr>
          <w:sz w:val="12"/>
        </w:rPr>
      </w:pPr>
      <w:r>
        <w:rPr>
          <w:sz w:val="12"/>
        </w:rPr>
        <w:t>3.00</w:t>
      </w:r>
    </w:p>
    <w:p>
      <w:pPr>
        <w:pStyle w:val="BodyText"/>
        <w:spacing w:before="6"/>
        <w:rPr>
          <w:sz w:val="17"/>
        </w:rPr>
      </w:pPr>
    </w:p>
    <w:p>
      <w:pPr>
        <w:spacing w:before="0"/>
        <w:ind w:left="600" w:right="0" w:firstLine="0"/>
        <w:jc w:val="left"/>
        <w:rPr>
          <w:sz w:val="12"/>
        </w:rPr>
      </w:pPr>
      <w:r>
        <w:rPr>
          <w:sz w:val="12"/>
        </w:rPr>
        <w:t>2.75</w:t>
      </w:r>
    </w:p>
    <w:p>
      <w:pPr>
        <w:pStyle w:val="BodyText"/>
        <w:spacing w:before="9"/>
        <w:rPr>
          <w:sz w:val="15"/>
        </w:rPr>
      </w:pPr>
    </w:p>
    <w:p>
      <w:pPr>
        <w:spacing w:before="1"/>
        <w:ind w:left="600" w:right="0" w:firstLine="0"/>
        <w:jc w:val="left"/>
        <w:rPr>
          <w:sz w:val="12"/>
        </w:rPr>
      </w:pPr>
      <w:r>
        <w:rPr>
          <w:sz w:val="12"/>
        </w:rPr>
        <w:t>2.50</w:t>
      </w:r>
    </w:p>
    <w:p>
      <w:pPr>
        <w:pStyle w:val="BodyText"/>
        <w:spacing w:before="6"/>
        <w:rPr>
          <w:sz w:val="17"/>
        </w:rPr>
      </w:pPr>
    </w:p>
    <w:p>
      <w:pPr>
        <w:spacing w:before="0"/>
        <w:ind w:left="600" w:right="0" w:firstLine="0"/>
        <w:jc w:val="left"/>
        <w:rPr>
          <w:sz w:val="12"/>
        </w:rPr>
      </w:pPr>
      <w:r>
        <w:rPr>
          <w:sz w:val="12"/>
        </w:rPr>
        <w:t>2.25</w:t>
      </w:r>
    </w:p>
    <w:p>
      <w:pPr>
        <w:pStyle w:val="BodyText"/>
        <w:spacing w:before="7"/>
        <w:rPr>
          <w:sz w:val="17"/>
        </w:rPr>
      </w:pPr>
    </w:p>
    <w:p>
      <w:pPr>
        <w:spacing w:before="0"/>
        <w:ind w:left="600" w:right="0" w:firstLine="0"/>
        <w:jc w:val="left"/>
        <w:rPr>
          <w:sz w:val="12"/>
        </w:rPr>
      </w:pPr>
      <w:r>
        <w:rPr/>
        <w:pict>
          <v:group style="position:absolute;margin-left:40.521pt;margin-top:3.851563pt;width:168.55pt;height:7.6pt;mso-position-horizontal-relative:page;mso-position-vertical-relative:paragraph;z-index:15962112" coordorigin="810,77" coordsize="3371,152">
            <v:shape style="position:absolute;left:810;top:82;width:3343;height:140" coordorigin="810,82" coordsize="3343,140" path="m910,82l810,82m4153,82l4053,82m4153,222l3927,222m1040,222l810,222m980,222l4000,222m980,222l980,182m1040,222l1040,182m1091,222l1091,182m1143,222l1143,182m1194,222l1194,182m1246,222l1246,182m1297,222l1297,182m1349,222l1349,182m1400,222l1400,182m1460,222l1460,182m1500,222l1500,182m1554,222l1554,182m1608,222l1608,182m1662,222l1662,182m1716,222l1716,182m1770,222l1770,182m1824,222l1824,182m1878,222l1878,182m1932,222l1932,182m1986,222l1986,182m2040,222l2040,182m2100,222l2100,182m2140,222l2140,182m2194,222l2194,182m2248,222l2248,182m2302,222l2302,182m2356,222l2356,182m2410,222l2410,182m2464,222l2464,182m2518,222l2518,182m2572,222l2572,182m2626,222l2626,182m2680,222l2680,182m2720,222l2720,182m2780,222l2780,182m2832,222l2832,182m2884,222l2884,182m2936,222l2936,182m2988,222l2988,182m3040,222l3040,182m3092,222l3092,182m3144,222l3144,182m3196,222l3196,182m3248,222l3248,182m3300,222l3300,182m3360,222l3360,182m3420,222l3420,182m3472,222l3472,182m3524,222l3524,182m3576,222l3576,182m3628,222l3628,182m3680,222l3680,182m3732,222l3732,182m3784,222l3784,182m3836,222l3836,182m3888,222l3888,182m3940,222l3940,182m4000,222l4000,182m1460,222l1460,142m2100,222l2100,142m2720,222l2720,142m3360,222l3360,142m4000,222l4000,142e" filled="false" stroked="true" strokeweight=".5pt" strokecolor="#000000">
              <v:path arrowok="t"/>
              <v:stroke dashstyle="solid"/>
            </v:shape>
            <v:shape style="position:absolute;left:888;top:82;width:3288;height:142" coordorigin="888,82" coordsize="3288,142" path="m4156,82l4156,115,4136,131,4176,145,4136,165,4176,181,4152,191,4152,222m908,83l908,116,888,132,928,146,888,166,928,182,905,192,904,223e" filled="false" stroked="true" strokeweight=".5pt" strokecolor="#000000">
              <v:path arrowok="t"/>
              <v:stroke dashstyle="solid"/>
            </v:shape>
            <w10:wrap type="none"/>
          </v:group>
        </w:pict>
      </w:r>
      <w:r>
        <w:rPr>
          <w:sz w:val="12"/>
        </w:rPr>
        <w:t>2.00</w:t>
      </w:r>
    </w:p>
    <w:p>
      <w:pPr>
        <w:spacing w:line="112" w:lineRule="exact" w:before="8"/>
        <w:ind w:left="613" w:right="0" w:firstLine="0"/>
        <w:jc w:val="left"/>
        <w:rPr>
          <w:sz w:val="12"/>
        </w:rPr>
      </w:pPr>
      <w:r>
        <w:rPr>
          <w:color w:val="231F20"/>
          <w:sz w:val="12"/>
        </w:rPr>
        <w:t>0.00</w:t>
      </w:r>
    </w:p>
    <w:p>
      <w:pPr>
        <w:pStyle w:val="Heading4"/>
        <w:numPr>
          <w:ilvl w:val="1"/>
          <w:numId w:val="17"/>
        </w:numPr>
        <w:tabs>
          <w:tab w:pos="467" w:val="left" w:leader="none"/>
        </w:tabs>
        <w:spacing w:line="242" w:lineRule="auto" w:before="207" w:after="0"/>
        <w:ind w:left="165" w:right="197" w:firstLine="0"/>
        <w:jc w:val="left"/>
      </w:pPr>
      <w:r>
        <w:rPr/>
        <w:br w:type="column"/>
        <w:t>% in 1998 Q2. These estimates are partly derived from the AEI, and its suspension has meant that the ONS has based its measure of wage and salary growth on other sources. So it is difficult to draw clear inferences from these data. But the Reward Index also suggests </w:t>
      </w:r>
      <w:r>
        <w:rPr>
          <w:spacing w:val="-4"/>
        </w:rPr>
        <w:t>that </w:t>
      </w:r>
      <w:r>
        <w:rPr/>
        <w:t>earnings growth may </w:t>
      </w:r>
      <w:r>
        <w:rPr>
          <w:spacing w:val="-3"/>
        </w:rPr>
        <w:t>have </w:t>
      </w:r>
      <w:r>
        <w:rPr/>
        <w:t>slowed in recent</w:t>
      </w:r>
      <w:r>
        <w:rPr>
          <w:spacing w:val="-1"/>
        </w:rPr>
        <w:t> </w:t>
      </w:r>
      <w:r>
        <w:rPr/>
        <w:t>months.</w:t>
      </w:r>
    </w:p>
    <w:p>
      <w:pPr>
        <w:pStyle w:val="BodyText"/>
        <w:rPr>
          <w:sz w:val="25"/>
        </w:rPr>
      </w:pPr>
    </w:p>
    <w:p>
      <w:pPr>
        <w:spacing w:line="242" w:lineRule="auto" w:before="0"/>
        <w:ind w:left="165" w:right="302" w:firstLine="0"/>
        <w:jc w:val="left"/>
        <w:rPr>
          <w:sz w:val="16"/>
        </w:rPr>
      </w:pPr>
      <w:r>
        <w:rPr>
          <w:sz w:val="24"/>
        </w:rPr>
        <w:t>Data on wage settlements also shed light on</w:t>
      </w:r>
      <w:r>
        <w:rPr>
          <w:spacing w:val="-19"/>
          <w:sz w:val="24"/>
        </w:rPr>
        <w:t> </w:t>
      </w:r>
      <w:r>
        <w:rPr>
          <w:sz w:val="24"/>
        </w:rPr>
        <w:t>earnings behaviour. Basic wages account for a substantial proportion of total earnings, so there is a close relationship between wage settlements—the annual increase in the basic wage—and earnings</w:t>
      </w:r>
      <w:r>
        <w:rPr>
          <w:spacing w:val="-8"/>
          <w:sz w:val="24"/>
        </w:rPr>
        <w:t> </w:t>
      </w:r>
      <w:r>
        <w:rPr>
          <w:sz w:val="24"/>
        </w:rPr>
        <w:t>growth.</w:t>
      </w:r>
      <w:r>
        <w:rPr>
          <w:position w:val="5"/>
          <w:sz w:val="16"/>
        </w:rPr>
        <w:t>(1)</w:t>
      </w:r>
    </w:p>
    <w:p>
      <w:pPr>
        <w:spacing w:before="6"/>
        <w:ind w:left="165" w:right="0" w:firstLine="0"/>
        <w:jc w:val="left"/>
        <w:rPr>
          <w:sz w:val="24"/>
        </w:rPr>
      </w:pPr>
      <w:r>
        <w:rPr>
          <w:sz w:val="24"/>
        </w:rPr>
        <w:t>The Bank’s estimate of the twelve-month</w:t>
      </w:r>
    </w:p>
    <w:p>
      <w:pPr>
        <w:spacing w:line="242" w:lineRule="auto" w:before="5"/>
        <w:ind w:left="165" w:right="302" w:firstLine="0"/>
        <w:jc w:val="left"/>
        <w:rPr>
          <w:sz w:val="24"/>
        </w:rPr>
      </w:pPr>
      <w:r>
        <w:rPr>
          <w:sz w:val="24"/>
        </w:rPr>
        <w:t>employment-weighted mean wage settlement has been unchanged for the past nine months, at around 3.7%. Estimates of private and public wage settlements have also changed little since the November </w:t>
      </w:r>
      <w:r>
        <w:rPr>
          <w:i/>
          <w:sz w:val="24"/>
        </w:rPr>
        <w:t>Report </w:t>
      </w:r>
      <w:r>
        <w:rPr>
          <w:sz w:val="24"/>
        </w:rPr>
        <w:t>(see Chart 3.3).</w:t>
      </w:r>
    </w:p>
    <w:p>
      <w:pPr>
        <w:spacing w:after="0" w:line="242" w:lineRule="auto"/>
        <w:jc w:val="left"/>
        <w:rPr>
          <w:sz w:val="24"/>
        </w:rPr>
        <w:sectPr>
          <w:type w:val="continuous"/>
          <w:pgSz w:w="11900" w:h="16840"/>
          <w:pgMar w:top="1220" w:bottom="280" w:left="640" w:right="600"/>
          <w:cols w:num="3" w:equalWidth="0">
            <w:col w:w="2526" w:space="437"/>
            <w:col w:w="864" w:space="967"/>
            <w:col w:w="5866"/>
          </w:cols>
        </w:sectPr>
      </w:pPr>
    </w:p>
    <w:p>
      <w:pPr>
        <w:tabs>
          <w:tab w:pos="1109" w:val="left" w:leader="none"/>
          <w:tab w:pos="1703" w:val="left" w:leader="none"/>
          <w:tab w:pos="2343" w:val="left" w:leader="none"/>
          <w:tab w:pos="2976" w:val="left" w:leader="none"/>
        </w:tabs>
        <w:spacing w:line="88" w:lineRule="exact" w:before="0"/>
        <w:ind w:left="443" w:right="0" w:firstLine="0"/>
        <w:jc w:val="left"/>
        <w:rPr>
          <w:sz w:val="12"/>
        </w:rPr>
      </w:pPr>
      <w:r>
        <w:rPr>
          <w:sz w:val="12"/>
        </w:rPr>
        <w:t>1994</w:t>
        <w:tab/>
        <w:t>95</w:t>
        <w:tab/>
        <w:t>96</w:t>
        <w:tab/>
        <w:t>97</w:t>
        <w:tab/>
        <w:t>98</w:t>
      </w:r>
      <w:r>
        <w:rPr>
          <w:spacing w:val="13"/>
          <w:sz w:val="12"/>
        </w:rPr>
        <w:t> </w:t>
      </w:r>
      <w:r>
        <w:rPr>
          <w:sz w:val="12"/>
        </w:rPr>
        <w:t>99</w:t>
      </w:r>
    </w:p>
    <w:p>
      <w:pPr>
        <w:spacing w:after="0" w:line="88" w:lineRule="exact"/>
        <w:jc w:val="left"/>
        <w:rPr>
          <w:sz w:val="12"/>
        </w:rPr>
        <w:sectPr>
          <w:type w:val="continuous"/>
          <w:pgSz w:w="11900" w:h="16840"/>
          <w:pgMar w:top="1220" w:bottom="280" w:left="640" w:right="600"/>
        </w:sectPr>
      </w:pPr>
    </w:p>
    <w:p>
      <w:pPr>
        <w:spacing w:before="78"/>
        <w:ind w:left="196" w:right="0" w:firstLine="0"/>
        <w:jc w:val="left"/>
        <w:rPr>
          <w:sz w:val="12"/>
        </w:rPr>
      </w:pPr>
      <w:r>
        <w:rPr>
          <w:sz w:val="12"/>
        </w:rPr>
        <w:t>Source: Bank of England.</w:t>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3"/>
        <w:rPr>
          <w:sz w:val="17"/>
        </w:rPr>
      </w:pPr>
    </w:p>
    <w:p>
      <w:pPr>
        <w:pStyle w:val="Heading7"/>
        <w:spacing w:before="1"/>
        <w:ind w:left="200"/>
      </w:pPr>
      <w:r>
        <w:rPr>
          <w:color w:val="0093C1"/>
        </w:rPr>
        <w:t>Chart 3.4</w:t>
      </w:r>
    </w:p>
    <w:p>
      <w:pPr>
        <w:spacing w:line="249" w:lineRule="auto" w:before="10"/>
        <w:ind w:left="200" w:right="20" w:firstLine="0"/>
        <w:jc w:val="left"/>
        <w:rPr>
          <w:b/>
          <w:sz w:val="20"/>
        </w:rPr>
      </w:pPr>
      <w:r>
        <w:rPr>
          <w:b/>
          <w:color w:val="0093C1"/>
          <w:sz w:val="20"/>
        </w:rPr>
        <w:t>Growth in GDP and overtime payments 1986–98</w:t>
      </w:r>
    </w:p>
    <w:p>
      <w:pPr>
        <w:spacing w:line="242" w:lineRule="auto" w:before="0"/>
        <w:ind w:left="196" w:right="302" w:firstLine="0"/>
        <w:jc w:val="left"/>
        <w:rPr>
          <w:sz w:val="24"/>
        </w:rPr>
      </w:pPr>
      <w:r>
        <w:rPr/>
        <w:br w:type="column"/>
      </w:r>
      <w:r>
        <w:rPr>
          <w:sz w:val="24"/>
        </w:rPr>
        <w:t>On 1 February, the Government announced its decision to accept all the main pay recommendations of the pay review bodies. For the 1999/2000 financial year, the results of the review bodies imply an average rise of 4.1% in public sector pay for the employees concerned, to be met from resources allocated under the Comprehensive Spending Review. These pay settlements will not be staged. Settlements were paid in two stages during the 1998/99 financial year, in April and December. So public sector earnings growth between April and December 1999 will be temporarily higher than the average rise, to the extent of the second- stage payments.</w:t>
      </w:r>
    </w:p>
    <w:p>
      <w:pPr>
        <w:spacing w:after="0" w:line="242" w:lineRule="auto"/>
        <w:jc w:val="left"/>
        <w:rPr>
          <w:sz w:val="24"/>
        </w:rPr>
        <w:sectPr>
          <w:type w:val="continuous"/>
          <w:pgSz w:w="11900" w:h="16840"/>
          <w:pgMar w:top="1220" w:bottom="280" w:left="640" w:right="600"/>
          <w:cols w:num="2" w:equalWidth="0">
            <w:col w:w="3646" w:space="1118"/>
            <w:col w:w="5896"/>
          </w:cols>
        </w:sectPr>
      </w:pPr>
    </w:p>
    <w:p>
      <w:pPr>
        <w:spacing w:line="208" w:lineRule="auto" w:before="98"/>
        <w:ind w:left="213" w:right="22" w:firstLine="104"/>
        <w:jc w:val="left"/>
        <w:rPr>
          <w:sz w:val="12"/>
        </w:rPr>
      </w:pPr>
      <w:r>
        <w:rPr/>
        <w:pict>
          <v:line style="position:absolute;mso-position-horizontal-relative:page;mso-position-vertical-relative:paragraph;z-index:-21054464" from="52.167pt,18.273947pt" to="48.167pt,18.273947pt" stroked="true" strokeweight=".5pt" strokecolor="#000000">
            <v:stroke dashstyle="solid"/>
            <w10:wrap type="none"/>
          </v:line>
        </w:pict>
      </w:r>
      <w:r>
        <w:rPr>
          <w:sz w:val="12"/>
        </w:rPr>
        <w:t>Percentage changes on </w:t>
      </w:r>
      <w:r>
        <w:rPr>
          <w:position w:val="-8"/>
          <w:sz w:val="12"/>
        </w:rPr>
        <w:t>7 </w:t>
      </w:r>
      <w:r>
        <w:rPr>
          <w:sz w:val="12"/>
        </w:rPr>
        <w:t>a year earlier</w:t>
      </w:r>
    </w:p>
    <w:p>
      <w:pPr>
        <w:spacing w:before="122"/>
        <w:ind w:left="213" w:right="0" w:firstLine="0"/>
        <w:jc w:val="left"/>
        <w:rPr>
          <w:sz w:val="12"/>
        </w:rPr>
      </w:pPr>
      <w:r>
        <w:rPr/>
        <w:pict>
          <v:group style="position:absolute;margin-left:48.167pt;margin-top:9.618563pt;width:167pt;height:126.75pt;mso-position-horizontal-relative:page;mso-position-vertical-relative:paragraph;z-index:-21055488" coordorigin="963,192" coordsize="3340,2535">
            <v:shape style="position:absolute;left:963;top:477;width:80;height:2200" coordorigin="963,477" coordsize="80,2200" path="m1043,2117l963,2117m1043,2397l963,2397m1043,2677l963,2677m1043,1837l963,1837m1043,1577l963,1577m1043,1297l963,1297m1043,1037l963,1037m1043,757l963,757m1043,477l963,477e" filled="false" stroked="true" strokeweight=".5pt" strokecolor="#000000">
              <v:path arrowok="t"/>
              <v:stroke dashstyle="solid"/>
            </v:shape>
            <v:shape style="position:absolute;left:1563;top:217;width:2580;height:2300" coordorigin="1563,217" coordsize="2580,2300" path="m1563,217l1603,297,1663,477,1703,557,1723,577,1743,617,1763,737,1783,877,1803,997,1843,1037,1863,1037,1923,1397,1943,1457,1963,1537,1983,1597,2043,1417,2083,1417,2103,1437,2123,1557,2143,1697,2183,1837,2243,2017,2263,2097,2263,2157,2283,2237,2323,2337,2343,2437,2363,2517,2383,2417,2403,2337,2423,2217,2483,2037,2503,2037,2523,2017,2543,2017,2563,1977,2603,1937,2623,1857,2663,1737,2683,1697,2723,1657,2763,1537,2783,1497,2843,1257,2903,1137,2923,1077,2963,1037,3003,917,3003,877,3023,837,3043,777,3083,697,3103,637,3163,517,3243,637,3283,757,3363,1077,3383,1177,3403,1257,3463,1317,3483,1257,3503,1217,3523,1157,3563,1157,3583,1177,3623,1157,3643,1157,3643,1137,3703,1137,3743,1117,3783,1117,3803,1057,3823,977,3843,917,3863,877,3883,857,3903,817,3963,757,4023,937,4043,977,4063,1037,4083,1077,4103,1137,4143,1217e" filled="false" stroked="true" strokeweight="1pt" strokecolor="#008256">
              <v:path arrowok="t"/>
              <v:stroke dashstyle="solid"/>
            </v:shape>
            <v:shape style="position:absolute;left:4203;top:197;width:100;height:2200" coordorigin="4203,197" coordsize="100,2200" path="m4203,2117l4303,2117m4203,2397l4303,2397m4203,1837l4303,1837m4203,1577l4303,1577m4203,1297l4303,1297m4203,1037l4303,1037m4203,757l4303,757m4203,477l4303,477m4203,197l4303,197e" filled="false" stroked="true" strokeweight=".5pt" strokecolor="#000000">
              <v:path arrowok="t"/>
              <v:stroke dashstyle="solid"/>
            </v:shape>
            <v:shape style="position:absolute;left:1123;top:397;width:2920;height:2320" coordorigin="1123,397" coordsize="2920,2320" path="m1123,1217l1143,1237,1263,1237,1283,1257,1323,1257,1343,1177,1363,1117,1403,1037,1423,977,1463,817,1483,757,1503,677,1503,617,1523,617,1543,537,1563,477,1583,397,1823,637,1843,697,1863,777,1963,1077,1983,1157,2063,1397,2083,1517,2123,1717,2143,1837,2183,1957,2223,2157,2243,2277,2263,2377,2263,2497,2283,2597,2323,2717,2363,2477,2383,2337,2543,1377,2563,1237,2583,1317,2803,1977,2823,1897,2843,1837,2903,1597,2923,1537,2963,1457,3003,1297,3003,1237,3043,1077,3063,1097,3103,1117,3303,1317,3363,1437,3383,1497,3443,1617,3463,1677,3543,1837,3583,1757,3623,1697,3643,1657,3643,1617,3663,1557,3683,1517,3703,1457,3723,1417,3763,1377,3783,1317,3803,1277,3843,1317,3863,1357,3903,1397,3923,1437,3983,1497,4003,1537,4043,1577e" filled="false" stroked="true" strokeweight="1pt" strokecolor="#952e40">
              <v:path arrowok="t"/>
              <v:stroke dashstyle="solid"/>
            </v:shape>
            <v:line style="position:absolute" from="4143,1837" to="1123,1837" stroked="true" strokeweight=".5pt" strokecolor="#000000">
              <v:stroke dashstyle="solid"/>
            </v:line>
            <w10:wrap type="none"/>
          </v:group>
        </w:pict>
      </w:r>
      <w:r>
        <w:rPr/>
        <w:pict>
          <v:line style="position:absolute;mso-position-horizontal-relative:page;mso-position-vertical-relative:paragraph;z-index:15963136" from="52.167pt,9.868563pt" to="48.167pt,9.868563pt" stroked="true" strokeweight=".5pt" strokecolor="#000000">
            <v:stroke dashstyle="solid"/>
            <w10:wrap type="none"/>
          </v:line>
        </w:pict>
      </w:r>
      <w:r>
        <w:rPr>
          <w:sz w:val="12"/>
        </w:rPr>
        <w:t>6</w:t>
      </w:r>
    </w:p>
    <w:p>
      <w:pPr>
        <w:spacing w:line="129" w:lineRule="exact" w:before="83"/>
        <w:ind w:left="213" w:right="0" w:firstLine="0"/>
        <w:jc w:val="left"/>
        <w:rPr>
          <w:sz w:val="12"/>
        </w:rPr>
      </w:pPr>
      <w:r>
        <w:rPr/>
        <w:br w:type="column"/>
      </w:r>
      <w:r>
        <w:rPr>
          <w:sz w:val="12"/>
        </w:rPr>
        <w:t>Percentage changes on</w:t>
      </w:r>
    </w:p>
    <w:p>
      <w:pPr>
        <w:spacing w:line="218" w:lineRule="auto" w:before="0"/>
        <w:ind w:left="680" w:right="0" w:firstLine="0"/>
        <w:jc w:val="left"/>
        <w:rPr>
          <w:sz w:val="12"/>
        </w:rPr>
      </w:pPr>
      <w:r>
        <w:rPr>
          <w:sz w:val="12"/>
        </w:rPr>
        <w:t>a year earl</w:t>
      </w:r>
      <w:r>
        <w:rPr>
          <w:sz w:val="12"/>
          <w:u w:val="single"/>
        </w:rPr>
        <w:t>ie</w:t>
      </w:r>
      <w:r>
        <w:rPr>
          <w:sz w:val="12"/>
        </w:rPr>
        <w:t>r</w:t>
      </w:r>
      <w:r>
        <w:rPr>
          <w:spacing w:val="15"/>
          <w:sz w:val="12"/>
        </w:rPr>
        <w:t> </w:t>
      </w:r>
      <w:r>
        <w:rPr>
          <w:position w:val="-7"/>
          <w:sz w:val="12"/>
        </w:rPr>
        <w:t>17.5</w:t>
      </w:r>
    </w:p>
    <w:p>
      <w:pPr>
        <w:spacing w:before="145"/>
        <w:ind w:left="0" w:right="38" w:firstLine="0"/>
        <w:jc w:val="right"/>
        <w:rPr>
          <w:sz w:val="12"/>
        </w:rPr>
      </w:pPr>
      <w:r>
        <w:rPr>
          <w:sz w:val="12"/>
        </w:rPr>
        <w:t>15.0</w:t>
      </w:r>
    </w:p>
    <w:p>
      <w:pPr>
        <w:pStyle w:val="BodyText"/>
        <w:spacing w:before="10"/>
        <w:rPr>
          <w:sz w:val="24"/>
        </w:rPr>
      </w:pPr>
      <w:r>
        <w:rPr/>
        <w:br w:type="column"/>
      </w:r>
      <w:r>
        <w:rPr>
          <w:sz w:val="24"/>
        </w:rPr>
      </w:r>
    </w:p>
    <w:p>
      <w:pPr>
        <w:pStyle w:val="Heading4"/>
        <w:spacing w:line="242" w:lineRule="auto"/>
        <w:ind w:left="213" w:right="215"/>
      </w:pPr>
      <w:r>
        <w:rPr/>
        <w:t>Wage drift, the difference between earnings growth and settlements, incorporates factors such as overtime</w:t>
      </w:r>
    </w:p>
    <w:p>
      <w:pPr>
        <w:spacing w:after="0" w:line="242" w:lineRule="auto"/>
        <w:sectPr>
          <w:type w:val="continuous"/>
          <w:pgSz w:w="11900" w:h="16840"/>
          <w:pgMar w:top="1220" w:bottom="280" w:left="640" w:right="600"/>
          <w:cols w:num="3" w:equalWidth="0">
            <w:col w:w="1452" w:space="910"/>
            <w:col w:w="1602" w:space="783"/>
            <w:col w:w="5913"/>
          </w:cols>
        </w:sectPr>
      </w:pPr>
    </w:p>
    <w:p>
      <w:pPr>
        <w:spacing w:line="125" w:lineRule="exact" w:before="0"/>
        <w:ind w:left="213" w:right="0" w:firstLine="0"/>
        <w:jc w:val="left"/>
        <w:rPr>
          <w:sz w:val="12"/>
        </w:rPr>
      </w:pPr>
      <w:r>
        <w:rPr>
          <w:sz w:val="12"/>
        </w:rPr>
        <w:t>5</w:t>
      </w:r>
    </w:p>
    <w:p>
      <w:pPr>
        <w:spacing w:line="129" w:lineRule="exact" w:before="22"/>
        <w:ind w:left="0" w:right="38" w:firstLine="0"/>
        <w:jc w:val="right"/>
        <w:rPr>
          <w:sz w:val="12"/>
        </w:rPr>
      </w:pPr>
      <w:r>
        <w:rPr>
          <w:sz w:val="12"/>
        </w:rPr>
        <w:t>Overtime payments</w:t>
      </w:r>
    </w:p>
    <w:p>
      <w:pPr>
        <w:pStyle w:val="ListParagraph"/>
        <w:numPr>
          <w:ilvl w:val="0"/>
          <w:numId w:val="15"/>
        </w:numPr>
        <w:tabs>
          <w:tab w:pos="1066" w:val="left" w:leader="none"/>
          <w:tab w:pos="1067" w:val="left" w:leader="none"/>
        </w:tabs>
        <w:spacing w:line="129" w:lineRule="exact" w:before="0" w:after="0"/>
        <w:ind w:left="1280" w:right="71" w:hanging="1280"/>
        <w:jc w:val="right"/>
        <w:rPr>
          <w:sz w:val="12"/>
        </w:rPr>
      </w:pPr>
      <w:r>
        <w:rPr>
          <w:sz w:val="12"/>
        </w:rPr>
        <w:t>(right-hand scale)</w:t>
      </w:r>
    </w:p>
    <w:p>
      <w:pPr>
        <w:pStyle w:val="BodyText"/>
        <w:spacing w:before="4"/>
        <w:rPr>
          <w:sz w:val="12"/>
        </w:rPr>
      </w:pPr>
    </w:p>
    <w:p>
      <w:pPr>
        <w:spacing w:before="0"/>
        <w:ind w:left="213" w:right="0" w:firstLine="0"/>
        <w:jc w:val="left"/>
        <w:rPr>
          <w:sz w:val="12"/>
        </w:rPr>
      </w:pPr>
      <w:r>
        <w:rPr>
          <w:sz w:val="12"/>
        </w:rPr>
        <w:t>3</w:t>
      </w:r>
    </w:p>
    <w:p>
      <w:pPr>
        <w:pStyle w:val="BodyText"/>
        <w:spacing w:before="7"/>
        <w:rPr>
          <w:sz w:val="10"/>
        </w:rPr>
      </w:pPr>
    </w:p>
    <w:p>
      <w:pPr>
        <w:spacing w:before="0"/>
        <w:ind w:left="213" w:right="0" w:firstLine="0"/>
        <w:jc w:val="left"/>
        <w:rPr>
          <w:sz w:val="12"/>
        </w:rPr>
      </w:pPr>
      <w:r>
        <w:rPr>
          <w:sz w:val="12"/>
        </w:rPr>
        <w:t>2</w:t>
      </w:r>
    </w:p>
    <w:p>
      <w:pPr>
        <w:pStyle w:val="BodyText"/>
        <w:spacing w:before="4"/>
        <w:rPr>
          <w:sz w:val="12"/>
        </w:rPr>
      </w:pPr>
    </w:p>
    <w:p>
      <w:pPr>
        <w:spacing w:line="118" w:lineRule="exact" w:before="0"/>
        <w:ind w:left="213" w:right="0" w:firstLine="0"/>
        <w:jc w:val="left"/>
        <w:rPr>
          <w:sz w:val="12"/>
        </w:rPr>
      </w:pPr>
      <w:r>
        <w:rPr>
          <w:sz w:val="12"/>
        </w:rPr>
        <w:t>1</w:t>
      </w:r>
    </w:p>
    <w:p>
      <w:pPr>
        <w:spacing w:line="153" w:lineRule="exact" w:before="0"/>
        <w:ind w:left="264" w:right="0" w:firstLine="0"/>
        <w:jc w:val="left"/>
        <w:rPr>
          <w:sz w:val="16"/>
        </w:rPr>
      </w:pPr>
      <w:r>
        <w:rPr>
          <w:sz w:val="16"/>
        </w:rPr>
        <w:t>+</w:t>
      </w:r>
    </w:p>
    <w:p>
      <w:pPr>
        <w:spacing w:line="97" w:lineRule="exact" w:before="0"/>
        <w:ind w:left="213" w:right="0" w:firstLine="0"/>
        <w:jc w:val="left"/>
        <w:rPr>
          <w:sz w:val="12"/>
        </w:rPr>
      </w:pPr>
      <w:r>
        <w:rPr>
          <w:sz w:val="12"/>
        </w:rPr>
        <w:t>0</w:t>
      </w:r>
    </w:p>
    <w:p>
      <w:pPr>
        <w:spacing w:line="154" w:lineRule="exact" w:before="0"/>
        <w:ind w:left="264" w:right="0" w:firstLine="0"/>
        <w:jc w:val="left"/>
        <w:rPr>
          <w:sz w:val="16"/>
        </w:rPr>
      </w:pPr>
      <w:r>
        <w:rPr>
          <w:sz w:val="16"/>
        </w:rPr>
        <w:t>_</w:t>
      </w:r>
    </w:p>
    <w:p>
      <w:pPr>
        <w:spacing w:before="19"/>
        <w:ind w:left="213" w:right="0" w:firstLine="0"/>
        <w:jc w:val="left"/>
        <w:rPr>
          <w:sz w:val="12"/>
        </w:rPr>
      </w:pPr>
      <w:r>
        <w:rPr>
          <w:sz w:val="12"/>
        </w:rPr>
        <w:t>1</w:t>
      </w:r>
    </w:p>
    <w:p>
      <w:pPr>
        <w:pStyle w:val="BodyText"/>
        <w:spacing w:before="4"/>
        <w:rPr>
          <w:sz w:val="12"/>
        </w:rPr>
      </w:pPr>
    </w:p>
    <w:p>
      <w:pPr>
        <w:spacing w:before="0"/>
        <w:ind w:left="213" w:right="0" w:firstLine="0"/>
        <w:jc w:val="left"/>
        <w:rPr>
          <w:sz w:val="12"/>
        </w:rPr>
      </w:pPr>
      <w:r>
        <w:rPr>
          <w:sz w:val="12"/>
        </w:rPr>
        <w:t>2</w:t>
      </w:r>
    </w:p>
    <w:p>
      <w:pPr>
        <w:pStyle w:val="BodyText"/>
        <w:spacing w:before="4"/>
        <w:rPr>
          <w:sz w:val="12"/>
        </w:rPr>
      </w:pPr>
    </w:p>
    <w:p>
      <w:pPr>
        <w:spacing w:before="0"/>
        <w:ind w:left="213" w:right="0" w:firstLine="0"/>
        <w:jc w:val="left"/>
        <w:rPr>
          <w:sz w:val="12"/>
        </w:rPr>
      </w:pPr>
      <w:r>
        <w:rPr>
          <w:sz w:val="12"/>
        </w:rPr>
        <w:t>3</w:t>
      </w:r>
    </w:p>
    <w:p>
      <w:pPr>
        <w:pStyle w:val="BodyText"/>
        <w:spacing w:before="7"/>
        <w:rPr>
          <w:sz w:val="10"/>
        </w:rPr>
      </w:pPr>
    </w:p>
    <w:p>
      <w:pPr>
        <w:spacing w:line="86" w:lineRule="exact" w:before="0"/>
        <w:ind w:left="213" w:right="0" w:firstLine="0"/>
        <w:jc w:val="left"/>
        <w:rPr>
          <w:sz w:val="12"/>
        </w:rPr>
      </w:pPr>
      <w:r>
        <w:rPr/>
        <w:pict>
          <v:shape style="position:absolute;margin-left:56.167pt;margin-top:-1.231437pt;width:159pt;height:5pt;mso-position-horizontal-relative:page;mso-position-vertical-relative:paragraph;z-index:15964672" coordorigin="1123,-25" coordsize="3180,100" path="m4203,75l4303,75m1123,75l4143,75m1263,75l1263,35m1523,75l1523,35m1763,75l1763,35m2003,75l2003,35m2263,75l2263,35m2503,75l2503,35m2743,75l2743,35m3003,75l3003,35m3243,75l3243,35m3483,75l3483,35m3723,75l3723,35m3983,75l3983,35m2003,75l2003,-25m3243,75l3243,-25m1123,75l4143,75m1263,75l1263,35m1523,75l1523,35m1763,75l1763,35m2003,75l2003,35m2263,75l2263,35m2503,75l2503,35m2743,75l2743,35m3003,75l3003,35m3243,75l3243,35m3483,75l3483,35m3723,75l3723,35m3983,75l3983,35m2003,75l2003,-25m3243,75l3243,-25e" filled="false" stroked="true" strokeweight=".5pt" strokecolor="#000000">
            <v:path arrowok="t"/>
            <v:stroke dashstyle="solid"/>
            <w10:wrap type="none"/>
          </v:shape>
        </w:pict>
      </w:r>
      <w:r>
        <w:rPr>
          <w:sz w:val="12"/>
        </w:rPr>
        <w:t>4</w:t>
      </w:r>
    </w:p>
    <w:p>
      <w:pPr>
        <w:pStyle w:val="BodyText"/>
        <w:spacing w:line="20" w:lineRule="exact"/>
        <w:ind w:left="318"/>
        <w:rPr>
          <w:sz w:val="2"/>
        </w:rPr>
      </w:pPr>
      <w:r>
        <w:rPr>
          <w:sz w:val="2"/>
        </w:rPr>
        <w:pict>
          <v:group style="width:4pt;height:.5pt;mso-position-horizontal-relative:char;mso-position-vertical-relative:line" coordorigin="0,0" coordsize="80,10">
            <v:line style="position:absolute" from="80,5" to="0,5" stroked="true" strokeweight=".5pt" strokecolor="#000000">
              <v:stroke dashstyle="solid"/>
            </v:line>
          </v:group>
        </w:pict>
      </w:r>
      <w:r>
        <w:rPr>
          <w:sz w:val="2"/>
        </w:rPr>
      </w:r>
    </w:p>
    <w:p>
      <w:pPr>
        <w:spacing w:line="116" w:lineRule="exact" w:before="0"/>
        <w:ind w:left="213" w:right="0" w:firstLine="0"/>
        <w:jc w:val="left"/>
        <w:rPr>
          <w:sz w:val="12"/>
        </w:rPr>
      </w:pPr>
      <w:r>
        <w:rPr/>
        <w:br w:type="column"/>
      </w:r>
      <w:r>
        <w:rPr>
          <w:sz w:val="12"/>
        </w:rPr>
        <w:t>GDP</w:t>
      </w:r>
    </w:p>
    <w:p>
      <w:pPr>
        <w:spacing w:line="129" w:lineRule="exact" w:before="0"/>
        <w:ind w:left="273" w:right="0" w:firstLine="0"/>
        <w:jc w:val="left"/>
        <w:rPr>
          <w:sz w:val="12"/>
        </w:rPr>
      </w:pPr>
      <w:r>
        <w:rPr>
          <w:sz w:val="12"/>
        </w:rPr>
        <w:t>(left-hand scale)</w:t>
      </w:r>
    </w:p>
    <w:p>
      <w:pPr>
        <w:spacing w:line="118" w:lineRule="exact" w:before="0"/>
        <w:ind w:left="257" w:right="0" w:firstLine="0"/>
        <w:jc w:val="left"/>
        <w:rPr>
          <w:sz w:val="12"/>
        </w:rPr>
      </w:pPr>
      <w:r>
        <w:rPr/>
        <w:br w:type="column"/>
      </w:r>
      <w:r>
        <w:rPr>
          <w:sz w:val="12"/>
        </w:rPr>
        <w:t>12.5</w:t>
      </w:r>
    </w:p>
    <w:p>
      <w:pPr>
        <w:pStyle w:val="BodyText"/>
        <w:spacing w:before="4"/>
        <w:rPr>
          <w:sz w:val="12"/>
        </w:rPr>
      </w:pPr>
    </w:p>
    <w:p>
      <w:pPr>
        <w:spacing w:before="0"/>
        <w:ind w:left="257" w:right="0" w:firstLine="0"/>
        <w:jc w:val="left"/>
        <w:rPr>
          <w:sz w:val="12"/>
        </w:rPr>
      </w:pPr>
      <w:r>
        <w:rPr>
          <w:sz w:val="12"/>
        </w:rPr>
        <w:t>10.0</w:t>
      </w:r>
    </w:p>
    <w:p>
      <w:pPr>
        <w:pStyle w:val="BodyText"/>
        <w:spacing w:before="4"/>
        <w:rPr>
          <w:sz w:val="12"/>
        </w:rPr>
      </w:pPr>
    </w:p>
    <w:p>
      <w:pPr>
        <w:spacing w:before="0"/>
        <w:ind w:left="317" w:right="0" w:firstLine="0"/>
        <w:jc w:val="left"/>
        <w:rPr>
          <w:sz w:val="12"/>
        </w:rPr>
      </w:pPr>
      <w:r>
        <w:rPr>
          <w:sz w:val="12"/>
        </w:rPr>
        <w:t>7.5</w:t>
      </w:r>
    </w:p>
    <w:p>
      <w:pPr>
        <w:pStyle w:val="BodyText"/>
        <w:spacing w:before="4"/>
        <w:rPr>
          <w:sz w:val="12"/>
        </w:rPr>
      </w:pPr>
    </w:p>
    <w:p>
      <w:pPr>
        <w:spacing w:before="0"/>
        <w:ind w:left="317" w:right="0" w:firstLine="0"/>
        <w:jc w:val="left"/>
        <w:rPr>
          <w:sz w:val="12"/>
        </w:rPr>
      </w:pPr>
      <w:r>
        <w:rPr>
          <w:sz w:val="12"/>
        </w:rPr>
        <w:t>5.0</w:t>
      </w:r>
    </w:p>
    <w:p>
      <w:pPr>
        <w:pStyle w:val="BodyText"/>
        <w:spacing w:before="7"/>
        <w:rPr>
          <w:sz w:val="10"/>
        </w:rPr>
      </w:pPr>
    </w:p>
    <w:p>
      <w:pPr>
        <w:spacing w:line="120" w:lineRule="exact" w:before="0"/>
        <w:ind w:left="317" w:right="0" w:firstLine="0"/>
        <w:jc w:val="left"/>
        <w:rPr>
          <w:sz w:val="12"/>
        </w:rPr>
      </w:pPr>
      <w:r>
        <w:rPr>
          <w:sz w:val="12"/>
        </w:rPr>
        <w:t>2.5</w:t>
      </w:r>
    </w:p>
    <w:p>
      <w:pPr>
        <w:spacing w:line="163" w:lineRule="exact" w:before="0"/>
        <w:ind w:left="210" w:right="0" w:firstLine="0"/>
        <w:jc w:val="left"/>
        <w:rPr>
          <w:sz w:val="16"/>
        </w:rPr>
      </w:pPr>
      <w:r>
        <w:rPr>
          <w:sz w:val="16"/>
        </w:rPr>
        <w:t>+</w:t>
      </w:r>
    </w:p>
    <w:p>
      <w:pPr>
        <w:spacing w:line="172" w:lineRule="auto" w:before="10"/>
        <w:ind w:left="210" w:right="0" w:firstLine="0"/>
        <w:jc w:val="left"/>
        <w:rPr>
          <w:sz w:val="12"/>
        </w:rPr>
      </w:pPr>
      <w:r>
        <w:rPr>
          <w:position w:val="-9"/>
          <w:sz w:val="16"/>
        </w:rPr>
        <w:t>_</w:t>
      </w:r>
      <w:r>
        <w:rPr>
          <w:spacing w:val="-14"/>
          <w:position w:val="-9"/>
          <w:sz w:val="16"/>
        </w:rPr>
        <w:t> </w:t>
      </w:r>
      <w:r>
        <w:rPr>
          <w:sz w:val="12"/>
        </w:rPr>
        <w:t>0.0</w:t>
      </w:r>
    </w:p>
    <w:p>
      <w:pPr>
        <w:spacing w:before="50"/>
        <w:ind w:left="317" w:right="0" w:firstLine="0"/>
        <w:jc w:val="left"/>
        <w:rPr>
          <w:sz w:val="12"/>
        </w:rPr>
      </w:pPr>
      <w:r>
        <w:rPr>
          <w:sz w:val="12"/>
        </w:rPr>
        <w:t>2.5</w:t>
      </w:r>
    </w:p>
    <w:p>
      <w:pPr>
        <w:pStyle w:val="BodyText"/>
        <w:spacing w:before="3"/>
        <w:rPr>
          <w:sz w:val="12"/>
        </w:rPr>
      </w:pPr>
    </w:p>
    <w:p>
      <w:pPr>
        <w:spacing w:before="1"/>
        <w:ind w:left="317" w:right="0" w:firstLine="0"/>
        <w:jc w:val="left"/>
        <w:rPr>
          <w:sz w:val="12"/>
        </w:rPr>
      </w:pPr>
      <w:r>
        <w:rPr>
          <w:sz w:val="12"/>
        </w:rPr>
        <w:t>5.0</w:t>
      </w:r>
    </w:p>
    <w:p>
      <w:pPr>
        <w:pStyle w:val="BodyText"/>
        <w:spacing w:before="3"/>
        <w:rPr>
          <w:sz w:val="12"/>
        </w:rPr>
      </w:pPr>
    </w:p>
    <w:p>
      <w:pPr>
        <w:spacing w:before="1"/>
        <w:ind w:left="317" w:right="0" w:firstLine="0"/>
        <w:jc w:val="left"/>
        <w:rPr>
          <w:sz w:val="12"/>
        </w:rPr>
      </w:pPr>
      <w:r>
        <w:rPr/>
        <w:pict>
          <v:line style="position:absolute;mso-position-horizontal-relative:page;mso-position-vertical-relative:paragraph;z-index:15964160" from="210.167007pt,4.151555pt" to="215.167007pt,4.151555pt" stroked="true" strokeweight=".5pt" strokecolor="#000000">
            <v:stroke dashstyle="solid"/>
            <w10:wrap type="none"/>
          </v:line>
        </w:pict>
      </w:r>
      <w:r>
        <w:rPr>
          <w:sz w:val="12"/>
        </w:rPr>
        <w:t>7.5</w:t>
      </w:r>
    </w:p>
    <w:p>
      <w:pPr>
        <w:pStyle w:val="BodyText"/>
        <w:spacing w:before="3"/>
        <w:rPr>
          <w:sz w:val="12"/>
        </w:rPr>
      </w:pPr>
    </w:p>
    <w:p>
      <w:pPr>
        <w:spacing w:line="73" w:lineRule="exact" w:before="1"/>
        <w:ind w:left="257" w:right="0" w:firstLine="0"/>
        <w:jc w:val="left"/>
        <w:rPr>
          <w:sz w:val="12"/>
        </w:rPr>
      </w:pPr>
      <w:r>
        <w:rPr>
          <w:sz w:val="12"/>
        </w:rPr>
        <w:t>10.0</w:t>
      </w:r>
    </w:p>
    <w:p>
      <w:pPr>
        <w:pStyle w:val="Heading4"/>
        <w:spacing w:line="242" w:lineRule="auto" w:before="3"/>
        <w:ind w:left="213" w:right="215"/>
      </w:pPr>
      <w:r>
        <w:rPr/>
        <w:br w:type="column"/>
      </w:r>
      <w:r>
        <w:rPr/>
        <w:t>payments, shift premia and bonuses. The components of wage drift are likely to be responsive to demand conditions. As Chart 3.4 shows, there has been a close correlation between the growth of overtime payments, as measured by the New Earnings Survey (NES), and the growth of GDP since the mid 1980s. And the available evidence, including that from the Bank’s regional Agencies presented to the July meeting of the MPC, suggests that an important factor underpinning bonuses</w:t>
      </w:r>
    </w:p>
    <w:p>
      <w:pPr>
        <w:spacing w:after="0" w:line="242" w:lineRule="auto"/>
        <w:sectPr>
          <w:type w:val="continuous"/>
          <w:pgSz w:w="11900" w:h="16840"/>
          <w:pgMar w:top="1220" w:bottom="280" w:left="640" w:right="600"/>
          <w:cols w:num="4" w:equalWidth="0">
            <w:col w:w="2204" w:space="156"/>
            <w:col w:w="1057" w:space="39"/>
            <w:col w:w="508" w:space="783"/>
            <w:col w:w="5913"/>
          </w:cols>
        </w:sectPr>
      </w:pPr>
    </w:p>
    <w:p>
      <w:pPr>
        <w:spacing w:before="0"/>
        <w:ind w:left="366" w:right="0" w:firstLine="0"/>
        <w:jc w:val="left"/>
        <w:rPr>
          <w:sz w:val="12"/>
        </w:rPr>
      </w:pPr>
      <w:r>
        <w:rPr>
          <w:color w:val="231F20"/>
          <w:sz w:val="12"/>
        </w:rPr>
        <w:t>1986 </w:t>
      </w:r>
      <w:r>
        <w:rPr>
          <w:sz w:val="12"/>
        </w:rPr>
        <w:t>87 88</w:t>
      </w:r>
    </w:p>
    <w:p>
      <w:pPr>
        <w:spacing w:before="0"/>
        <w:ind w:left="100" w:right="0" w:firstLine="0"/>
        <w:jc w:val="left"/>
        <w:rPr>
          <w:sz w:val="12"/>
        </w:rPr>
      </w:pPr>
      <w:r>
        <w:rPr/>
        <w:br w:type="column"/>
      </w:r>
      <w:r>
        <w:rPr>
          <w:sz w:val="12"/>
        </w:rPr>
        <w:t>89 90 91 92 93 94 95 96 97 98</w:t>
      </w:r>
    </w:p>
    <w:p>
      <w:pPr>
        <w:pStyle w:val="Heading4"/>
        <w:spacing w:line="246" w:lineRule="exact"/>
        <w:ind w:left="366"/>
      </w:pPr>
      <w:r>
        <w:rPr/>
        <w:br w:type="column"/>
      </w:r>
      <w:r>
        <w:rPr/>
        <w:t>is corporate profits, particularly in the year preceding</w:t>
      </w:r>
    </w:p>
    <w:p>
      <w:pPr>
        <w:spacing w:line="242" w:lineRule="auto" w:before="4"/>
        <w:ind w:left="366" w:right="0" w:firstLine="0"/>
        <w:jc w:val="left"/>
        <w:rPr>
          <w:sz w:val="24"/>
        </w:rPr>
      </w:pPr>
      <w:r>
        <w:rPr>
          <w:sz w:val="24"/>
        </w:rPr>
        <w:t>bonus payments. Corporate profit growth slowed during 1998. More recent evidence from the Agencies has</w:t>
      </w:r>
    </w:p>
    <w:p>
      <w:pPr>
        <w:spacing w:after="0" w:line="242" w:lineRule="auto"/>
        <w:jc w:val="left"/>
        <w:rPr>
          <w:sz w:val="24"/>
        </w:rPr>
        <w:sectPr>
          <w:type w:val="continuous"/>
          <w:pgSz w:w="11900" w:h="16840"/>
          <w:pgMar w:top="1220" w:bottom="280" w:left="640" w:right="600"/>
          <w:cols w:num="3" w:equalWidth="0">
            <w:col w:w="1047" w:space="40"/>
            <w:col w:w="2461" w:space="1046"/>
            <w:col w:w="6066"/>
          </w:cols>
        </w:sectPr>
      </w:pPr>
    </w:p>
    <w:p>
      <w:pPr>
        <w:pStyle w:val="BodyText"/>
        <w:spacing w:before="6"/>
        <w:rPr>
          <w:sz w:val="20"/>
        </w:rPr>
      </w:pPr>
    </w:p>
    <w:p>
      <w:pPr>
        <w:pStyle w:val="BodyText"/>
        <w:spacing w:line="20" w:lineRule="exact"/>
        <w:ind w:left="4938"/>
        <w:rPr>
          <w:sz w:val="2"/>
        </w:rPr>
      </w:pPr>
      <w:r>
        <w:rPr>
          <w:sz w:val="2"/>
        </w:rPr>
        <w:pict>
          <v:group style="width:277pt;height:.15pt;mso-position-horizontal-relative:char;mso-position-vertical-relative:line" coordorigin="0,0" coordsize="5540,3">
            <v:line style="position:absolute" from="0,1" to="5540,1" stroked="true" strokeweight=".125pt" strokecolor="#000000">
              <v:stroke dashstyle="solid"/>
            </v:line>
          </v:group>
        </w:pict>
      </w:r>
      <w:r>
        <w:rPr>
          <w:sz w:val="2"/>
        </w:rPr>
      </w:r>
    </w:p>
    <w:p>
      <w:pPr>
        <w:pStyle w:val="ListParagraph"/>
        <w:numPr>
          <w:ilvl w:val="2"/>
          <w:numId w:val="17"/>
        </w:numPr>
        <w:tabs>
          <w:tab w:pos="5201" w:val="left" w:leader="none"/>
        </w:tabs>
        <w:spacing w:line="208" w:lineRule="auto" w:before="4" w:after="0"/>
        <w:ind w:left="5200" w:right="765" w:hanging="240"/>
        <w:jc w:val="left"/>
        <w:rPr>
          <w:sz w:val="16"/>
        </w:rPr>
      </w:pPr>
      <w:r>
        <w:rPr>
          <w:sz w:val="16"/>
        </w:rPr>
        <w:t>The May 1997 </w:t>
      </w:r>
      <w:r>
        <w:rPr>
          <w:i/>
          <w:sz w:val="16"/>
        </w:rPr>
        <w:t>Report </w:t>
      </w:r>
      <w:r>
        <w:rPr>
          <w:sz w:val="16"/>
        </w:rPr>
        <w:t>and a box on page 27 of the August 1993 </w:t>
      </w:r>
      <w:r>
        <w:rPr>
          <w:i/>
          <w:sz w:val="16"/>
        </w:rPr>
        <w:t>Report </w:t>
      </w:r>
      <w:r>
        <w:rPr>
          <w:sz w:val="16"/>
        </w:rPr>
        <w:t>discuss the relationship between wage settlements and earnings inflation in depth. They note that turning-points in settlements and earnings roughly coincide and that, if anything, past experience suggests that earnings growth appears to lead settlements. So settlements may, in </w:t>
      </w:r>
      <w:r>
        <w:rPr>
          <w:spacing w:val="-4"/>
          <w:sz w:val="16"/>
        </w:rPr>
        <w:t>part, </w:t>
      </w:r>
      <w:r>
        <w:rPr>
          <w:sz w:val="16"/>
        </w:rPr>
        <w:t>consolidate past wage drift.</w:t>
      </w:r>
    </w:p>
    <w:p>
      <w:pPr>
        <w:spacing w:after="0" w:line="208" w:lineRule="auto"/>
        <w:jc w:val="left"/>
        <w:rPr>
          <w:sz w:val="16"/>
        </w:rPr>
        <w:sectPr>
          <w:type w:val="continuous"/>
          <w:pgSz w:w="11900" w:h="16840"/>
          <w:pgMar w:top="1220" w:bottom="280" w:left="640" w:right="600"/>
        </w:sectPr>
      </w:pPr>
    </w:p>
    <w:p>
      <w:pPr>
        <w:pStyle w:val="BodyText"/>
        <w:rPr>
          <w:sz w:val="20"/>
        </w:rPr>
      </w:pPr>
    </w:p>
    <w:p>
      <w:pPr>
        <w:pStyle w:val="Heading4"/>
        <w:spacing w:line="242" w:lineRule="auto" w:before="207"/>
        <w:ind w:left="4940" w:right="390"/>
      </w:pPr>
      <w:r>
        <w:rPr/>
        <w:t>pointed to lower overtime and bonus payments. So whole-economy wage drift may </w:t>
      </w:r>
      <w:r>
        <w:rPr>
          <w:spacing w:val="-3"/>
        </w:rPr>
        <w:t>have </w:t>
      </w:r>
      <w:r>
        <w:rPr/>
        <w:t>lessened in </w:t>
      </w:r>
      <w:r>
        <w:rPr>
          <w:spacing w:val="-3"/>
        </w:rPr>
        <w:t>recent </w:t>
      </w:r>
      <w:r>
        <w:rPr/>
        <w:t>months.</w:t>
      </w:r>
    </w:p>
    <w:p>
      <w:pPr>
        <w:pStyle w:val="BodyText"/>
        <w:spacing w:before="8"/>
        <w:rPr>
          <w:sz w:val="24"/>
        </w:rPr>
      </w:pPr>
    </w:p>
    <w:p>
      <w:pPr>
        <w:spacing w:line="242" w:lineRule="auto" w:before="0"/>
        <w:ind w:left="4940" w:right="212" w:firstLine="0"/>
        <w:jc w:val="left"/>
        <w:rPr>
          <w:sz w:val="24"/>
        </w:rPr>
      </w:pPr>
      <w:r>
        <w:rPr>
          <w:sz w:val="24"/>
        </w:rPr>
        <w:t>The </w:t>
      </w:r>
      <w:r>
        <w:rPr>
          <w:spacing w:val="-3"/>
          <w:sz w:val="24"/>
        </w:rPr>
        <w:t>Bank’s </w:t>
      </w:r>
      <w:r>
        <w:rPr>
          <w:sz w:val="24"/>
        </w:rPr>
        <w:t>regional Agents reported that more companies are expecting lower settlements this year than higher. But the outlook for growth in total earnings per head is less </w:t>
      </w:r>
      <w:r>
        <w:rPr>
          <w:spacing w:val="-3"/>
          <w:sz w:val="24"/>
        </w:rPr>
        <w:t>clear. </w:t>
      </w:r>
      <w:r>
        <w:rPr>
          <w:sz w:val="24"/>
        </w:rPr>
        <w:t>Some firms cite the inflation outlook and company prospects as important factors exerting downward pressure on earnings growth; but other factors, such as the need to retain and recruit staff, </w:t>
      </w:r>
      <w:r>
        <w:rPr>
          <w:spacing w:val="-3"/>
          <w:sz w:val="24"/>
        </w:rPr>
        <w:t>have </w:t>
      </w:r>
      <w:r>
        <w:rPr>
          <w:sz w:val="24"/>
        </w:rPr>
        <w:t>contributed to upward pressure on earnings growth, particularly in the service sector. The effects of the </w:t>
      </w:r>
      <w:r>
        <w:rPr>
          <w:spacing w:val="-3"/>
          <w:sz w:val="24"/>
        </w:rPr>
        <w:t>Working Time </w:t>
      </w:r>
      <w:r>
        <w:rPr>
          <w:sz w:val="24"/>
        </w:rPr>
        <w:t>Directive (WTD) and the National Minimum </w:t>
      </w:r>
      <w:r>
        <w:rPr>
          <w:spacing w:val="-5"/>
          <w:sz w:val="24"/>
        </w:rPr>
        <w:t>Wage </w:t>
      </w:r>
      <w:r>
        <w:rPr>
          <w:sz w:val="24"/>
        </w:rPr>
        <w:t>may also be influencing the outlook for growth in earnings per head—a number of firms </w:t>
      </w:r>
      <w:r>
        <w:rPr>
          <w:spacing w:val="-3"/>
          <w:sz w:val="24"/>
        </w:rPr>
        <w:t>have </w:t>
      </w:r>
      <w:r>
        <w:rPr>
          <w:spacing w:val="-6"/>
          <w:sz w:val="24"/>
        </w:rPr>
        <w:t>not </w:t>
      </w:r>
      <w:r>
        <w:rPr>
          <w:sz w:val="24"/>
        </w:rPr>
        <w:t>yet adjusted wages to take account of these policy changes.</w:t>
      </w:r>
    </w:p>
    <w:p>
      <w:pPr>
        <w:pStyle w:val="BodyText"/>
        <w:spacing w:before="1"/>
      </w:pPr>
    </w:p>
    <w:p>
      <w:pPr>
        <w:spacing w:after="0"/>
        <w:sectPr>
          <w:footerReference w:type="even" r:id="rId78"/>
          <w:footerReference w:type="default" r:id="rId79"/>
          <w:pgSz w:w="11900" w:h="16840"/>
          <w:pgMar w:footer="597" w:header="586" w:top="780" w:bottom="780" w:left="640" w:right="600"/>
          <w:pgNumType w:start="26"/>
        </w:sectPr>
      </w:pPr>
    </w:p>
    <w:p>
      <w:pPr>
        <w:pStyle w:val="Heading7"/>
        <w:spacing w:before="125"/>
        <w:ind w:left="160"/>
      </w:pPr>
      <w:r>
        <w:rPr>
          <w:color w:val="0093C1"/>
        </w:rPr>
        <w:t>Table 3.A</w:t>
      </w:r>
    </w:p>
    <w:p>
      <w:pPr>
        <w:spacing w:before="10"/>
        <w:ind w:left="160" w:right="0" w:firstLine="0"/>
        <w:jc w:val="left"/>
        <w:rPr>
          <w:sz w:val="12"/>
        </w:rPr>
      </w:pPr>
      <w:r>
        <w:rPr>
          <w:b/>
          <w:color w:val="0093C1"/>
          <w:sz w:val="20"/>
        </w:rPr>
        <w:t>The recent evolution of inflation expectations</w:t>
      </w:r>
      <w:r>
        <w:rPr>
          <w:position w:val="4"/>
          <w:sz w:val="12"/>
        </w:rPr>
        <w:t>(a)</w:t>
      </w:r>
    </w:p>
    <w:p>
      <w:pPr>
        <w:spacing w:before="106"/>
        <w:ind w:left="160" w:right="0" w:firstLine="0"/>
        <w:jc w:val="left"/>
        <w:rPr>
          <w:sz w:val="14"/>
        </w:rPr>
      </w:pPr>
      <w:r>
        <w:rPr>
          <w:sz w:val="14"/>
        </w:rPr>
        <w:t>Percentage increases in prices</w:t>
      </w:r>
    </w:p>
    <w:p>
      <w:pPr>
        <w:spacing w:before="119"/>
        <w:ind w:left="160" w:right="0" w:firstLine="0"/>
        <w:jc w:val="left"/>
        <w:rPr>
          <w:b/>
          <w:sz w:val="14"/>
        </w:rPr>
      </w:pPr>
      <w:r>
        <w:rPr>
          <w:b/>
          <w:sz w:val="14"/>
        </w:rPr>
        <w:t>RPI inflation rate one year ahead</w:t>
      </w:r>
    </w:p>
    <w:p>
      <w:pPr>
        <w:tabs>
          <w:tab w:pos="4259" w:val="left" w:leader="none"/>
        </w:tabs>
        <w:spacing w:line="150" w:lineRule="exact" w:before="59"/>
        <w:ind w:left="2510" w:right="0" w:firstLine="0"/>
        <w:jc w:val="left"/>
        <w:rPr>
          <w:sz w:val="14"/>
        </w:rPr>
      </w:pPr>
      <w:r>
        <w:rPr>
          <w:spacing w:val="-9"/>
          <w:sz w:val="14"/>
          <w:u w:val="single"/>
        </w:rPr>
        <w:t> </w:t>
      </w:r>
      <w:r>
        <w:rPr>
          <w:sz w:val="14"/>
          <w:u w:val="single"/>
        </w:rPr>
        <w:t>1998</w:t>
        <w:tab/>
      </w:r>
    </w:p>
    <w:p>
      <w:pPr>
        <w:tabs>
          <w:tab w:pos="3079" w:val="left" w:leader="none"/>
          <w:tab w:pos="3567" w:val="left" w:leader="none"/>
          <w:tab w:pos="4033" w:val="left" w:leader="none"/>
        </w:tabs>
        <w:spacing w:line="150" w:lineRule="exact" w:before="0"/>
        <w:ind w:left="2510" w:right="0" w:firstLine="0"/>
        <w:jc w:val="left"/>
        <w:rPr>
          <w:sz w:val="14"/>
        </w:rPr>
      </w:pPr>
      <w:r>
        <w:rPr>
          <w:spacing w:val="-9"/>
          <w:sz w:val="14"/>
          <w:u w:val="single"/>
        </w:rPr>
        <w:t> </w:t>
      </w:r>
      <w:r>
        <w:rPr>
          <w:sz w:val="14"/>
          <w:u w:val="single"/>
        </w:rPr>
        <w:t>Q1</w:t>
      </w:r>
      <w:r>
        <w:rPr>
          <w:sz w:val="14"/>
        </w:rPr>
        <w:tab/>
      </w:r>
      <w:r>
        <w:rPr>
          <w:sz w:val="14"/>
          <w:u w:val="single"/>
        </w:rPr>
        <w:t> Q2</w:t>
      </w:r>
      <w:r>
        <w:rPr>
          <w:sz w:val="14"/>
        </w:rPr>
        <w:tab/>
      </w:r>
      <w:r>
        <w:rPr>
          <w:sz w:val="14"/>
          <w:u w:val="single"/>
        </w:rPr>
        <w:t>Q3</w:t>
      </w:r>
      <w:r>
        <w:rPr>
          <w:sz w:val="14"/>
        </w:rPr>
        <w:tab/>
      </w:r>
      <w:r>
        <w:rPr>
          <w:sz w:val="14"/>
          <w:u w:val="single"/>
        </w:rPr>
        <w:t>Q4</w:t>
      </w:r>
      <w:r>
        <w:rPr>
          <w:spacing w:val="-10"/>
          <w:sz w:val="14"/>
          <w:u w:val="single"/>
        </w:rPr>
        <w:t> </w:t>
      </w:r>
    </w:p>
    <w:p>
      <w:pPr>
        <w:tabs>
          <w:tab w:pos="2536" w:val="left" w:leader="none"/>
          <w:tab w:pos="3102" w:val="left" w:leader="none"/>
          <w:tab w:pos="3568" w:val="left" w:leader="none"/>
          <w:tab w:pos="4209" w:val="right" w:leader="none"/>
        </w:tabs>
        <w:spacing w:line="150" w:lineRule="exact" w:before="39"/>
        <w:ind w:left="160" w:right="0" w:firstLine="0"/>
        <w:jc w:val="left"/>
        <w:rPr>
          <w:sz w:val="14"/>
        </w:rPr>
      </w:pPr>
      <w:r>
        <w:rPr>
          <w:sz w:val="14"/>
        </w:rPr>
        <w:t>Academic economists</w:t>
        <w:tab/>
        <w:t>3.0</w:t>
        <w:tab/>
        <w:t>3.2</w:t>
        <w:tab/>
        <w:t>2.9</w:t>
        <w:tab/>
        <w:t>2.5</w:t>
      </w:r>
    </w:p>
    <w:p>
      <w:pPr>
        <w:tabs>
          <w:tab w:pos="2536" w:val="left" w:leader="none"/>
          <w:tab w:pos="3102" w:val="left" w:leader="none"/>
          <w:tab w:pos="3568" w:val="left" w:leader="none"/>
          <w:tab w:pos="4209" w:val="right" w:leader="none"/>
        </w:tabs>
        <w:spacing w:line="140" w:lineRule="exact" w:before="0"/>
        <w:ind w:left="160" w:right="0" w:firstLine="0"/>
        <w:jc w:val="left"/>
        <w:rPr>
          <w:sz w:val="14"/>
        </w:rPr>
      </w:pPr>
      <w:r>
        <w:rPr>
          <w:sz w:val="14"/>
        </w:rPr>
        <w:t>Business economists</w:t>
        <w:tab/>
        <w:t>3.0</w:t>
        <w:tab/>
        <w:t>3.1</w:t>
        <w:tab/>
        <w:t>2.6</w:t>
        <w:tab/>
        <w:t>2.1</w:t>
      </w:r>
    </w:p>
    <w:p>
      <w:pPr>
        <w:tabs>
          <w:tab w:pos="2536" w:val="left" w:leader="none"/>
          <w:tab w:pos="3102" w:val="left" w:leader="none"/>
          <w:tab w:pos="3568" w:val="left" w:leader="none"/>
          <w:tab w:pos="4209" w:val="right" w:leader="none"/>
        </w:tabs>
        <w:spacing w:line="140" w:lineRule="exact" w:before="0"/>
        <w:ind w:left="160" w:right="0" w:firstLine="0"/>
        <w:jc w:val="left"/>
        <w:rPr>
          <w:sz w:val="14"/>
        </w:rPr>
      </w:pPr>
      <w:r>
        <w:rPr>
          <w:sz w:val="14"/>
        </w:rPr>
        <w:t>Finance directors</w:t>
        <w:tab/>
        <w:t>3.3</w:t>
        <w:tab/>
        <w:t>3.4</w:t>
        <w:tab/>
        <w:t>3.1</w:t>
        <w:tab/>
        <w:t>2.5</w:t>
      </w:r>
    </w:p>
    <w:p>
      <w:pPr>
        <w:tabs>
          <w:tab w:pos="2535" w:val="left" w:leader="none"/>
          <w:tab w:pos="3102" w:val="left" w:leader="none"/>
          <w:tab w:pos="3568" w:val="left" w:leader="none"/>
          <w:tab w:pos="4209" w:val="right" w:leader="none"/>
        </w:tabs>
        <w:spacing w:line="140" w:lineRule="exact" w:before="0"/>
        <w:ind w:left="160" w:right="0" w:firstLine="0"/>
        <w:jc w:val="left"/>
        <w:rPr>
          <w:sz w:val="14"/>
        </w:rPr>
      </w:pPr>
      <w:r>
        <w:rPr>
          <w:sz w:val="14"/>
        </w:rPr>
        <w:t>Investment analysts</w:t>
        <w:tab/>
        <w:t>3.1</w:t>
        <w:tab/>
        <w:t>3.3</w:t>
        <w:tab/>
        <w:t>3.3</w:t>
        <w:tab/>
        <w:t>2.4</w:t>
      </w:r>
    </w:p>
    <w:p>
      <w:pPr>
        <w:tabs>
          <w:tab w:pos="2535" w:val="left" w:leader="none"/>
          <w:tab w:pos="3101" w:val="left" w:leader="none"/>
          <w:tab w:pos="3568" w:val="left" w:leader="none"/>
          <w:tab w:pos="4034" w:val="left" w:leader="none"/>
        </w:tabs>
        <w:spacing w:line="140" w:lineRule="exact" w:before="0"/>
        <w:ind w:left="160" w:right="0" w:firstLine="0"/>
        <w:jc w:val="left"/>
        <w:rPr>
          <w:sz w:val="14"/>
        </w:rPr>
      </w:pPr>
      <w:r>
        <w:rPr>
          <w:sz w:val="14"/>
        </w:rPr>
        <w:t>Trade unions</w:t>
        <w:tab/>
        <w:t>3.5</w:t>
        <w:tab/>
        <w:t>3.3</w:t>
        <w:tab/>
        <w:t>3.2</w:t>
        <w:tab/>
        <w:t>3.0</w:t>
      </w:r>
    </w:p>
    <w:p>
      <w:pPr>
        <w:tabs>
          <w:tab w:pos="2535" w:val="left" w:leader="none"/>
          <w:tab w:pos="3101" w:val="left" w:leader="none"/>
          <w:tab w:pos="3567" w:val="left" w:leader="none"/>
          <w:tab w:pos="4208" w:val="right" w:leader="none"/>
        </w:tabs>
        <w:spacing w:line="150" w:lineRule="exact" w:before="0"/>
        <w:ind w:left="160" w:right="0" w:firstLine="0"/>
        <w:jc w:val="left"/>
        <w:rPr>
          <w:sz w:val="14"/>
        </w:rPr>
      </w:pPr>
      <w:r>
        <w:rPr>
          <w:sz w:val="14"/>
        </w:rPr>
        <w:t>General public</w:t>
        <w:tab/>
        <w:t>4.3</w:t>
        <w:tab/>
        <w:t>4.4</w:t>
        <w:tab/>
        <w:t>4.5</w:t>
        <w:tab/>
        <w:t>4.2</w:t>
      </w:r>
    </w:p>
    <w:p>
      <w:pPr>
        <w:spacing w:before="119"/>
        <w:ind w:left="160" w:right="0" w:firstLine="0"/>
        <w:jc w:val="left"/>
        <w:rPr>
          <w:b/>
          <w:sz w:val="14"/>
        </w:rPr>
      </w:pPr>
      <w:r>
        <w:rPr>
          <w:b/>
          <w:sz w:val="14"/>
        </w:rPr>
        <w:t>RPI inflation rate two years ahead</w:t>
      </w:r>
    </w:p>
    <w:p>
      <w:pPr>
        <w:tabs>
          <w:tab w:pos="2536" w:val="left" w:leader="none"/>
          <w:tab w:pos="3102" w:val="left" w:leader="none"/>
          <w:tab w:pos="3568" w:val="left" w:leader="none"/>
          <w:tab w:pos="4209" w:val="right" w:leader="none"/>
        </w:tabs>
        <w:spacing w:line="150" w:lineRule="exact" w:before="59"/>
        <w:ind w:left="160" w:right="0" w:firstLine="0"/>
        <w:jc w:val="left"/>
        <w:rPr>
          <w:sz w:val="14"/>
        </w:rPr>
      </w:pPr>
      <w:r>
        <w:rPr>
          <w:sz w:val="14"/>
        </w:rPr>
        <w:t>Academic economists</w:t>
        <w:tab/>
        <w:t>3.1</w:t>
        <w:tab/>
        <w:t>3.1</w:t>
        <w:tab/>
        <w:t>3.0</w:t>
        <w:tab/>
        <w:t>2.7</w:t>
      </w:r>
    </w:p>
    <w:p>
      <w:pPr>
        <w:tabs>
          <w:tab w:pos="2536" w:val="left" w:leader="none"/>
          <w:tab w:pos="3102" w:val="left" w:leader="none"/>
          <w:tab w:pos="3568" w:val="left" w:leader="none"/>
          <w:tab w:pos="4209" w:val="right" w:leader="none"/>
        </w:tabs>
        <w:spacing w:line="140" w:lineRule="exact" w:before="0"/>
        <w:ind w:left="160" w:right="0" w:firstLine="0"/>
        <w:jc w:val="left"/>
        <w:rPr>
          <w:sz w:val="14"/>
        </w:rPr>
      </w:pPr>
      <w:r>
        <w:rPr>
          <w:sz w:val="14"/>
        </w:rPr>
        <w:t>Business economists</w:t>
        <w:tab/>
        <w:t>2.9</w:t>
        <w:tab/>
        <w:t>2.9</w:t>
        <w:tab/>
        <w:t>2.4</w:t>
        <w:tab/>
        <w:t>2.3</w:t>
      </w:r>
    </w:p>
    <w:p>
      <w:pPr>
        <w:tabs>
          <w:tab w:pos="2536" w:val="left" w:leader="none"/>
          <w:tab w:pos="3102" w:val="left" w:leader="none"/>
          <w:tab w:pos="3568" w:val="left" w:leader="none"/>
          <w:tab w:pos="4209" w:val="right" w:leader="none"/>
        </w:tabs>
        <w:spacing w:line="140" w:lineRule="exact" w:before="0"/>
        <w:ind w:left="160" w:right="0" w:firstLine="0"/>
        <w:jc w:val="left"/>
        <w:rPr>
          <w:sz w:val="14"/>
        </w:rPr>
      </w:pPr>
      <w:r>
        <w:rPr>
          <w:sz w:val="14"/>
        </w:rPr>
        <w:t>Finance directors</w:t>
        <w:tab/>
        <w:t>3.3</w:t>
        <w:tab/>
        <w:t>3.2</w:t>
        <w:tab/>
        <w:t>2.9</w:t>
        <w:tab/>
        <w:t>2.9</w:t>
      </w:r>
    </w:p>
    <w:p>
      <w:pPr>
        <w:tabs>
          <w:tab w:pos="2535" w:val="left" w:leader="none"/>
          <w:tab w:pos="3102" w:val="left" w:leader="none"/>
          <w:tab w:pos="3568" w:val="left" w:leader="none"/>
          <w:tab w:pos="4034" w:val="left" w:leader="none"/>
        </w:tabs>
        <w:spacing w:line="140" w:lineRule="exact" w:before="0"/>
        <w:ind w:left="160" w:right="0" w:firstLine="0"/>
        <w:jc w:val="left"/>
        <w:rPr>
          <w:sz w:val="14"/>
        </w:rPr>
      </w:pPr>
      <w:r>
        <w:rPr>
          <w:sz w:val="14"/>
        </w:rPr>
        <w:t>Investment analysts</w:t>
        <w:tab/>
        <w:t>3.3</w:t>
        <w:tab/>
        <w:t>3.3</w:t>
        <w:tab/>
        <w:t>3.1</w:t>
        <w:tab/>
        <w:t>3.0</w:t>
      </w:r>
    </w:p>
    <w:p>
      <w:pPr>
        <w:tabs>
          <w:tab w:pos="2535" w:val="left" w:leader="none"/>
          <w:tab w:pos="3101" w:val="left" w:leader="none"/>
          <w:tab w:pos="3568" w:val="left" w:leader="none"/>
          <w:tab w:pos="4209" w:val="right" w:leader="none"/>
        </w:tabs>
        <w:spacing w:line="140" w:lineRule="exact" w:before="0"/>
        <w:ind w:left="160" w:right="0" w:firstLine="0"/>
        <w:jc w:val="left"/>
        <w:rPr>
          <w:sz w:val="14"/>
        </w:rPr>
      </w:pPr>
      <w:r>
        <w:rPr>
          <w:sz w:val="14"/>
        </w:rPr>
        <w:t>Trade unions</w:t>
        <w:tab/>
        <w:t>3.9</w:t>
        <w:tab/>
        <w:t>3.8</w:t>
        <w:tab/>
        <w:t>3.6</w:t>
        <w:tab/>
        <w:t>3.2</w:t>
      </w:r>
    </w:p>
    <w:p>
      <w:pPr>
        <w:tabs>
          <w:tab w:pos="2535" w:val="left" w:leader="none"/>
          <w:tab w:pos="3101" w:val="left" w:leader="none"/>
          <w:tab w:pos="3567" w:val="left" w:leader="none"/>
          <w:tab w:pos="4208" w:val="right" w:leader="none"/>
        </w:tabs>
        <w:spacing w:line="150" w:lineRule="exact" w:before="0"/>
        <w:ind w:left="160" w:right="0" w:firstLine="0"/>
        <w:jc w:val="left"/>
        <w:rPr>
          <w:sz w:val="14"/>
        </w:rPr>
      </w:pPr>
      <w:r>
        <w:rPr>
          <w:sz w:val="14"/>
        </w:rPr>
        <w:t>General public</w:t>
        <w:tab/>
        <w:t>5.1</w:t>
        <w:tab/>
        <w:t>5.1</w:t>
        <w:tab/>
        <w:t>5.1</w:t>
        <w:tab/>
        <w:t>4.7</w:t>
      </w:r>
    </w:p>
    <w:p>
      <w:pPr>
        <w:spacing w:before="118"/>
        <w:ind w:left="160" w:right="0" w:firstLine="0"/>
        <w:jc w:val="left"/>
        <w:rPr>
          <w:sz w:val="12"/>
        </w:rPr>
      </w:pPr>
      <w:r>
        <w:rPr>
          <w:sz w:val="12"/>
        </w:rPr>
        <w:t>Source: Barclays Basix Survey.</w:t>
      </w:r>
    </w:p>
    <w:p>
      <w:pPr>
        <w:spacing w:line="208" w:lineRule="auto" w:before="116"/>
        <w:ind w:left="400" w:right="0" w:hanging="240"/>
        <w:jc w:val="left"/>
        <w:rPr>
          <w:sz w:val="12"/>
        </w:rPr>
      </w:pPr>
      <w:r>
        <w:rPr>
          <w:sz w:val="12"/>
        </w:rPr>
        <w:t>(a) Figures refer to RPI inflation, except for General public, for which the measure of inflation is not specified.</w:t>
      </w:r>
    </w:p>
    <w:p>
      <w:pPr>
        <w:pStyle w:val="Heading4"/>
        <w:spacing w:line="242" w:lineRule="auto" w:before="90"/>
        <w:ind w:left="160" w:right="201"/>
      </w:pPr>
      <w:r>
        <w:rPr/>
        <w:br w:type="column"/>
      </w:r>
      <w:r>
        <w:rPr/>
        <w:t>Wage-bargainers implicitly negotiate over expected future real wages, which depend on expected future inflation. In particular, lower inflation expectations tend to result in lower rates of increase in nominal wages. As </w:t>
      </w:r>
      <w:hyperlink w:history="true" w:anchor="_bookmark1">
        <w:r>
          <w:rPr/>
          <w:t>noted in Section 1,</w:t>
        </w:r>
      </w:hyperlink>
      <w:r>
        <w:rPr/>
        <w:t> financial market based measures of inflation expectations </w:t>
      </w:r>
      <w:r>
        <w:rPr>
          <w:spacing w:val="-3"/>
        </w:rPr>
        <w:t>have </w:t>
      </w:r>
      <w:r>
        <w:rPr/>
        <w:t>been steadily falling since 1997. RPI inflation expectations according to the Basix Survey </w:t>
      </w:r>
      <w:r>
        <w:rPr>
          <w:spacing w:val="-3"/>
        </w:rPr>
        <w:t>have </w:t>
      </w:r>
      <w:r>
        <w:rPr/>
        <w:t>also fallen.  The survey captures the inflation expectations of a broad range of labour market participants and others, and so is perhaps more likely to shed light on the wage bargain than measures derived from financial market data. As </w:t>
      </w:r>
      <w:r>
        <w:rPr>
          <w:spacing w:val="-4"/>
        </w:rPr>
        <w:t>Table </w:t>
      </w:r>
      <w:r>
        <w:rPr/>
        <w:t>3.A shows, one </w:t>
      </w:r>
      <w:r>
        <w:rPr>
          <w:spacing w:val="-6"/>
        </w:rPr>
        <w:t>and </w:t>
      </w:r>
      <w:r>
        <w:rPr/>
        <w:t>two year ahead inflation expectations of business people, academics, trade unions and the general public mostly fell significantly between 1998 Q3 and 1998</w:t>
      </w:r>
      <w:r>
        <w:rPr>
          <w:spacing w:val="-2"/>
        </w:rPr>
        <w:t> </w:t>
      </w:r>
      <w:r>
        <w:rPr/>
        <w:t>Q4.</w:t>
      </w:r>
    </w:p>
    <w:p>
      <w:pPr>
        <w:spacing w:line="242" w:lineRule="auto" w:before="299"/>
        <w:ind w:left="160" w:right="241" w:firstLine="0"/>
        <w:jc w:val="left"/>
        <w:rPr>
          <w:sz w:val="24"/>
        </w:rPr>
      </w:pPr>
      <w:r>
        <w:rPr>
          <w:sz w:val="24"/>
        </w:rPr>
        <w:t>When bargaining over real wages, employers focus on the real product wage, which compares total labour cost per employee with the post-tax price of goods and services sold. Employees, on the other hand, care about the real consumption wage—the wage received relative to retail prices and personal taxation. If the prices of goods and services charged by domestic producers, net of tax, were expected to rise at a different rate from prices of goods and services bought by workers, this could drive a wedge between the growth rates of real product and consumption wages. The wedge might increase if there were a fall in the terms of trade (the price of exports relative to imports) or if taxation increased. This would tend to reduce labour supply relative to demand, and could raise the level of real </w:t>
      </w:r>
      <w:r>
        <w:rPr>
          <w:spacing w:val="-6"/>
          <w:sz w:val="24"/>
        </w:rPr>
        <w:t>wage </w:t>
      </w:r>
      <w:r>
        <w:rPr>
          <w:sz w:val="24"/>
        </w:rPr>
        <w:t>pressure in the economy.</w:t>
      </w:r>
    </w:p>
    <w:p>
      <w:pPr>
        <w:spacing w:after="0" w:line="242" w:lineRule="auto"/>
        <w:jc w:val="left"/>
        <w:rPr>
          <w:sz w:val="24"/>
        </w:rPr>
        <w:sectPr>
          <w:type w:val="continuous"/>
          <w:pgSz w:w="11900" w:h="16840"/>
          <w:pgMar w:top="1220" w:bottom="280" w:left="640" w:right="600"/>
          <w:cols w:num="2" w:equalWidth="0">
            <w:col w:w="4376" w:space="404"/>
            <w:col w:w="5880"/>
          </w:cols>
        </w:sectPr>
      </w:pPr>
    </w:p>
    <w:p>
      <w:pPr>
        <w:spacing w:line="242" w:lineRule="auto" w:before="447"/>
        <w:ind w:left="4987" w:right="205" w:firstLine="0"/>
        <w:jc w:val="left"/>
        <w:rPr>
          <w:sz w:val="24"/>
        </w:rPr>
      </w:pPr>
      <w:bookmarkStart w:name="Employment and unemployment" w:id="50"/>
      <w:bookmarkEnd w:id="50"/>
      <w:r>
        <w:rPr/>
      </w:r>
      <w:bookmarkStart w:name="_bookmark18" w:id="51"/>
      <w:bookmarkEnd w:id="51"/>
      <w:r>
        <w:rPr/>
      </w:r>
      <w:r>
        <w:rPr>
          <w:sz w:val="24"/>
        </w:rPr>
        <w:t>Measures of real consumption and product wages would ideally incorporate expectations of the appropriate consumer and producer price indices.  But such measures are either imprecise or unavailable, and so actual price outturns must be relied upon to calculate the real wages relevant to firms and households. Estimates based on the National Accounts suggest that real </w:t>
      </w:r>
      <w:r>
        <w:rPr>
          <w:spacing w:val="-3"/>
          <w:sz w:val="24"/>
        </w:rPr>
        <w:t>product </w:t>
      </w:r>
      <w:r>
        <w:rPr>
          <w:sz w:val="24"/>
        </w:rPr>
        <w:t>wages grew at an annual rate of 3.4% in the year to Q3, compared with real consumption wage growth of 1.0%. This might seem to imply some upward real wage pressure. But part of the reason why real product wages </w:t>
      </w:r>
      <w:r>
        <w:rPr>
          <w:spacing w:val="-3"/>
          <w:sz w:val="24"/>
        </w:rPr>
        <w:t>have </w:t>
      </w:r>
      <w:r>
        <w:rPr>
          <w:sz w:val="24"/>
        </w:rPr>
        <w:t>outpaced real consumption wages lies in increased mortgage interest payments, a reduction in mortgage interest relief and increased council taxation. This has led to relatively higher inflation in the </w:t>
      </w:r>
      <w:r>
        <w:rPr>
          <w:spacing w:val="-7"/>
          <w:sz w:val="24"/>
        </w:rPr>
        <w:t>Tax </w:t>
      </w:r>
      <w:r>
        <w:rPr>
          <w:sz w:val="24"/>
        </w:rPr>
        <w:t>and Price Index (TPI), used to calculate the real consumption wage. The recent cuts in interest rates are likely to </w:t>
      </w:r>
      <w:hyperlink w:history="true" w:anchor="_bookmark22">
        <w:r>
          <w:rPr>
            <w:sz w:val="24"/>
          </w:rPr>
          <w:t>reduce inflation as measured by the TPI (see Section 4),</w:t>
        </w:r>
      </w:hyperlink>
      <w:r>
        <w:rPr>
          <w:sz w:val="24"/>
        </w:rPr>
        <w:t> and so the wedge is likely to</w:t>
      </w:r>
      <w:r>
        <w:rPr>
          <w:spacing w:val="-1"/>
          <w:sz w:val="24"/>
        </w:rPr>
        <w:t> </w:t>
      </w:r>
      <w:r>
        <w:rPr>
          <w:sz w:val="24"/>
        </w:rPr>
        <w:t>diminish.</w:t>
      </w:r>
    </w:p>
    <w:p>
      <w:pPr>
        <w:spacing w:line="242" w:lineRule="auto" w:before="304"/>
        <w:ind w:left="4987" w:right="227" w:firstLine="0"/>
        <w:jc w:val="left"/>
        <w:rPr>
          <w:sz w:val="24"/>
        </w:rPr>
      </w:pPr>
      <w:r>
        <w:rPr>
          <w:sz w:val="24"/>
        </w:rPr>
        <w:t>In judging the most likely path for nominal earnings, the MPC has taken into account the fall in inflation expectations in recent months and has lowered the inflation expectations profile used in the central projection. And in light of the evidence from settlements, the components of drift, and alternative measures of earnings, the MPC has decided to further lower the profile for nominal earnings growth in the central projection, compared with the November </w:t>
      </w:r>
      <w:r>
        <w:rPr>
          <w:i/>
          <w:sz w:val="24"/>
        </w:rPr>
        <w:t>Report</w:t>
      </w:r>
      <w:r>
        <w:rPr>
          <w:sz w:val="24"/>
        </w:rPr>
        <w:t>. The MPC has taken account of the more-than-usual uncertainty surrounding the news on earnings by increasing the variance around its projections for earnings growth.</w:t>
      </w:r>
    </w:p>
    <w:p>
      <w:pPr>
        <w:spacing w:after="0" w:line="242" w:lineRule="auto"/>
        <w:jc w:val="left"/>
        <w:rPr>
          <w:sz w:val="24"/>
        </w:rPr>
        <w:sectPr>
          <w:pgSz w:w="11900" w:h="16840"/>
          <w:pgMar w:header="586" w:footer="617" w:top="780" w:bottom="800" w:left="640" w:right="600"/>
        </w:sectPr>
      </w:pPr>
    </w:p>
    <w:p>
      <w:pPr>
        <w:pStyle w:val="Heading7"/>
        <w:spacing w:line="249" w:lineRule="auto" w:before="796"/>
        <w:ind w:left="188" w:right="1534"/>
      </w:pPr>
      <w:r>
        <w:rPr>
          <w:color w:val="0093C1"/>
        </w:rPr>
        <w:t>Chart 3.5 Employment growth</w:t>
      </w:r>
    </w:p>
    <w:p>
      <w:pPr>
        <w:spacing w:line="336" w:lineRule="auto" w:before="83"/>
        <w:ind w:left="1335" w:right="-19" w:firstLine="285"/>
        <w:jc w:val="left"/>
        <w:rPr>
          <w:sz w:val="12"/>
        </w:rPr>
      </w:pPr>
      <w:r>
        <w:rPr/>
        <w:pict>
          <v:line style="position:absolute;mso-position-horizontal-relative:page;mso-position-vertical-relative:paragraph;z-index:15971840" from="45.93pt,11.91857pt" to="40.93pt,11.91857pt" stroked="true" strokeweight=".5pt" strokecolor="#000000">
            <v:stroke dashstyle="solid"/>
            <w10:wrap type="none"/>
          </v:line>
        </w:pict>
      </w:r>
      <w:r>
        <w:rPr>
          <w:sz w:val="12"/>
        </w:rPr>
        <w:t>Percentage changes on a quarter earl</w:t>
      </w:r>
      <w:r>
        <w:rPr>
          <w:sz w:val="12"/>
          <w:u w:val="single"/>
        </w:rPr>
        <w:t>ie</w:t>
      </w:r>
      <w:r>
        <w:rPr>
          <w:sz w:val="12"/>
        </w:rPr>
        <w:t>r LFS (a)</w:t>
      </w:r>
    </w:p>
    <w:p>
      <w:pPr>
        <w:pStyle w:val="BodyText"/>
        <w:spacing w:before="1"/>
        <w:rPr>
          <w:sz w:val="2"/>
        </w:rPr>
      </w:pPr>
    </w:p>
    <w:p>
      <w:pPr>
        <w:pStyle w:val="BodyText"/>
        <w:spacing w:line="20" w:lineRule="exact"/>
        <w:ind w:left="173"/>
        <w:rPr>
          <w:sz w:val="2"/>
        </w:rPr>
      </w:pPr>
      <w:r>
        <w:rPr>
          <w:sz w:val="2"/>
        </w:rPr>
        <w:pict>
          <v:group style="width:5pt;height:.5pt;mso-position-horizontal-relative:char;mso-position-vertical-relative:line" coordorigin="0,0" coordsize="100,10">
            <v:line style="position:absolute" from="100,5" to="0,5" stroked="true" strokeweight=".5pt" strokecolor="#000000">
              <v:stroke dashstyle="solid"/>
            </v:line>
          </v:group>
        </w:pict>
      </w:r>
      <w:r>
        <w:rPr>
          <w:sz w:val="2"/>
        </w:rPr>
      </w:r>
    </w:p>
    <w:p>
      <w:pPr>
        <w:pStyle w:val="BodyText"/>
        <w:spacing w:before="8"/>
        <w:rPr>
          <w:sz w:val="15"/>
        </w:rPr>
      </w:pPr>
      <w:r>
        <w:rPr/>
        <w:pict>
          <v:shape style="position:absolute;margin-left:40.93pt;margin-top:11.265176pt;width:5pt;height:.1pt;mso-position-horizontal-relative:page;mso-position-vertical-relative:paragraph;z-index:-15491584;mso-wrap-distance-left:0;mso-wrap-distance-right:0" coordorigin="819,225" coordsize="100,0" path="m919,225l819,225e" filled="false" stroked="true" strokeweight=".5pt" strokecolor="#000000">
            <v:path arrowok="t"/>
            <v:stroke dashstyle="solid"/>
            <w10:wrap type="topAndBottom"/>
          </v:shape>
        </w:pict>
      </w:r>
      <w:r>
        <w:rPr/>
        <w:pict>
          <v:shape style="position:absolute;margin-left:40.93pt;margin-top:24.265175pt;width:5pt;height:.1pt;mso-position-horizontal-relative:page;mso-position-vertical-relative:paragraph;z-index:-15491072;mso-wrap-distance-left:0;mso-wrap-distance-right:0" coordorigin="819,485" coordsize="100,0" path="m919,485l819,485e" filled="false" stroked="true" strokeweight=".5pt" strokecolor="#000000">
            <v:path arrowok="t"/>
            <v:stroke dashstyle="solid"/>
            <w10:wrap type="topAndBottom"/>
          </v:shape>
        </w:pict>
      </w:r>
      <w:r>
        <w:rPr/>
        <w:pict>
          <v:shape style="position:absolute;margin-left:40.93pt;margin-top:36.265175pt;width:5pt;height:.1pt;mso-position-horizontal-relative:page;mso-position-vertical-relative:paragraph;z-index:-15490560;mso-wrap-distance-left:0;mso-wrap-distance-right:0" coordorigin="819,725" coordsize="100,0" path="m919,725l819,725e" filled="false" stroked="true" strokeweight=".5pt" strokecolor="#000000">
            <v:path arrowok="t"/>
            <v:stroke dashstyle="solid"/>
            <w10:wrap type="topAndBottom"/>
          </v:shape>
        </w:pict>
      </w:r>
      <w:r>
        <w:rPr/>
        <w:pict>
          <v:shape style="position:absolute;margin-left:40.93pt;margin-top:49.265175pt;width:5pt;height:.1pt;mso-position-horizontal-relative:page;mso-position-vertical-relative:paragraph;z-index:-15490048;mso-wrap-distance-left:0;mso-wrap-distance-right:0" coordorigin="819,985" coordsize="100,0" path="m919,985l819,985e" filled="false" stroked="true" strokeweight=".5pt" strokecolor="#000000">
            <v:path arrowok="t"/>
            <v:stroke dashstyle="solid"/>
            <w10:wrap type="topAndBottom"/>
          </v:shape>
        </w:pict>
      </w:r>
      <w:r>
        <w:rPr/>
        <w:pict>
          <v:shape style="position:absolute;margin-left:40.93pt;margin-top:61.265175pt;width:5pt;height:.1pt;mso-position-horizontal-relative:page;mso-position-vertical-relative:paragraph;z-index:-15489536;mso-wrap-distance-left:0;mso-wrap-distance-right:0" coordorigin="819,1225" coordsize="100,0" path="m919,1225l819,1225e" filled="false" stroked="true" strokeweight=".5pt" strokecolor="#000000">
            <v:path arrowok="t"/>
            <v:stroke dashstyle="solid"/>
            <w10:wrap type="topAndBottom"/>
          </v:shape>
        </w:pict>
      </w:r>
    </w:p>
    <w:p>
      <w:pPr>
        <w:pStyle w:val="BodyText"/>
        <w:spacing w:before="9"/>
        <w:rPr>
          <w:sz w:val="15"/>
        </w:rPr>
      </w:pPr>
    </w:p>
    <w:p>
      <w:pPr>
        <w:pStyle w:val="BodyText"/>
        <w:spacing w:before="1"/>
        <w:rPr>
          <w:sz w:val="14"/>
        </w:rPr>
      </w:pPr>
    </w:p>
    <w:p>
      <w:pPr>
        <w:pStyle w:val="BodyText"/>
        <w:spacing w:before="9"/>
        <w:rPr>
          <w:sz w:val="15"/>
        </w:rPr>
      </w:pPr>
    </w:p>
    <w:p>
      <w:pPr>
        <w:pStyle w:val="BodyText"/>
        <w:spacing w:before="1"/>
        <w:rPr>
          <w:sz w:val="14"/>
        </w:rPr>
      </w:pPr>
    </w:p>
    <w:p>
      <w:pPr>
        <w:pStyle w:val="BodyText"/>
        <w:rPr>
          <w:sz w:val="12"/>
        </w:rPr>
      </w:pPr>
      <w:r>
        <w:rPr/>
        <w:br w:type="column"/>
      </w:r>
      <w:r>
        <w:rPr>
          <w:sz w:val="12"/>
        </w:rPr>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5"/>
        <w:rPr>
          <w:sz w:val="16"/>
        </w:rPr>
      </w:pPr>
    </w:p>
    <w:p>
      <w:pPr>
        <w:spacing w:before="0"/>
        <w:ind w:left="25" w:right="0" w:firstLine="0"/>
        <w:jc w:val="left"/>
        <w:rPr>
          <w:sz w:val="12"/>
        </w:rPr>
      </w:pPr>
      <w:r>
        <w:rPr>
          <w:sz w:val="12"/>
        </w:rPr>
        <w:t>0.7</w:t>
      </w:r>
    </w:p>
    <w:p>
      <w:pPr>
        <w:spacing w:before="102"/>
        <w:ind w:left="25" w:right="0" w:firstLine="0"/>
        <w:jc w:val="left"/>
        <w:rPr>
          <w:sz w:val="12"/>
        </w:rPr>
      </w:pPr>
      <w:r>
        <w:rPr>
          <w:sz w:val="12"/>
        </w:rPr>
        <w:t>0.6</w:t>
      </w:r>
    </w:p>
    <w:p>
      <w:pPr>
        <w:pStyle w:val="BodyText"/>
        <w:spacing w:before="7"/>
        <w:rPr>
          <w:sz w:val="10"/>
        </w:rPr>
      </w:pPr>
    </w:p>
    <w:p>
      <w:pPr>
        <w:spacing w:before="0"/>
        <w:ind w:left="25" w:right="0" w:firstLine="0"/>
        <w:jc w:val="left"/>
        <w:rPr>
          <w:sz w:val="12"/>
        </w:rPr>
      </w:pPr>
      <w:r>
        <w:rPr>
          <w:sz w:val="12"/>
        </w:rPr>
        <w:t>0.5</w:t>
      </w:r>
    </w:p>
    <w:p>
      <w:pPr>
        <w:spacing w:before="102"/>
        <w:ind w:left="25" w:right="0" w:firstLine="0"/>
        <w:jc w:val="left"/>
        <w:rPr>
          <w:sz w:val="12"/>
        </w:rPr>
      </w:pPr>
      <w:r>
        <w:rPr>
          <w:sz w:val="12"/>
        </w:rPr>
        <w:t>0.4</w:t>
      </w:r>
    </w:p>
    <w:p>
      <w:pPr>
        <w:pStyle w:val="BodyText"/>
        <w:spacing w:before="7"/>
        <w:rPr>
          <w:sz w:val="10"/>
        </w:rPr>
      </w:pPr>
    </w:p>
    <w:p>
      <w:pPr>
        <w:spacing w:before="0"/>
        <w:ind w:left="25" w:right="0" w:firstLine="0"/>
        <w:jc w:val="left"/>
        <w:rPr>
          <w:sz w:val="12"/>
        </w:rPr>
      </w:pPr>
      <w:r>
        <w:rPr>
          <w:sz w:val="12"/>
        </w:rPr>
        <w:t>0.3</w:t>
      </w:r>
    </w:p>
    <w:p>
      <w:pPr>
        <w:spacing w:before="102"/>
        <w:ind w:left="25" w:right="0" w:firstLine="0"/>
        <w:jc w:val="left"/>
        <w:rPr>
          <w:sz w:val="12"/>
        </w:rPr>
      </w:pPr>
      <w:r>
        <w:rPr>
          <w:sz w:val="12"/>
        </w:rPr>
        <w:t>0.2</w:t>
      </w:r>
    </w:p>
    <w:p>
      <w:pPr>
        <w:pStyle w:val="BodyText"/>
        <w:spacing w:before="7"/>
        <w:rPr>
          <w:sz w:val="10"/>
        </w:rPr>
      </w:pPr>
    </w:p>
    <w:p>
      <w:pPr>
        <w:spacing w:line="109" w:lineRule="exact" w:before="0"/>
        <w:ind w:left="25" w:right="0" w:firstLine="0"/>
        <w:jc w:val="left"/>
        <w:rPr>
          <w:sz w:val="12"/>
        </w:rPr>
      </w:pPr>
      <w:r>
        <w:rPr/>
        <w:pict>
          <v:group style="position:absolute;margin-left:40.93pt;margin-top:-61.148438pt;width:166pt;height:128.5pt;mso-position-horizontal-relative:page;mso-position-vertical-relative:paragraph;z-index:-21046784" coordorigin="819,-1223" coordsize="3320,2570">
            <v:line style="position:absolute" from="919,342" to="819,342" stroked="true" strokeweight=".5pt" strokecolor="#000000">
              <v:stroke dashstyle="solid"/>
            </v:line>
            <v:shape style="position:absolute;left:978;top:339;width:3000;height:5" coordorigin="979,340" coordsize="3000,5" path="m979,345l3479,345m979,340l1299,340m1399,340l1659,340m1749,340l1839,340m2029,340l2119,340m2309,340l2399,340m2589,340l2659,340m2849,340l2939,340m3129,340l3209,340m3579,345l3979,345m3399,340l3579,340m3679,340l3759,340m3952,340l3979,340e" filled="false" stroked="true" strokeweight=".25pt" strokecolor="#000000">
              <v:path arrowok="t"/>
              <v:stroke dashstyle="solid"/>
            </v:shape>
            <v:rect style="position:absolute;left:1018;top:342;width:100;height:220" filled="true" fillcolor="#faab54" stroked="false">
              <v:fill type="solid"/>
            </v:rect>
            <v:rect style="position:absolute;left:1018;top:342;width:100;height:220" filled="false" stroked="true" strokeweight=".5pt" strokecolor="#000000">
              <v:stroke dashstyle="solid"/>
            </v:rect>
            <v:rect style="position:absolute;left:1298;top:-618;width:100;height:960" filled="true" fillcolor="#faab54" stroked="false">
              <v:fill type="solid"/>
            </v:rect>
            <v:rect style="position:absolute;left:1298;top:-618;width:100;height:960" filled="false" stroked="true" strokeweight=".5pt" strokecolor="#000000">
              <v:stroke dashstyle="solid"/>
            </v:rect>
            <v:rect style="position:absolute;left:1578;top:-1218;width:80;height:1560" filled="true" fillcolor="#faab54" stroked="false">
              <v:fill type="solid"/>
            </v:rect>
            <v:rect style="position:absolute;left:1578;top:-1218;width:80;height:1560" filled="false" stroked="true" strokeweight=".5pt" strokecolor="#000000">
              <v:stroke dashstyle="solid"/>
            </v:rect>
            <v:rect style="position:absolute;left:1838;top:-838;width:100;height:1180" filled="true" fillcolor="#faab54" stroked="false">
              <v:fill type="solid"/>
            </v:rect>
            <v:rect style="position:absolute;left:1838;top:-838;width:100;height:1180" filled="false" stroked="true" strokeweight=".5pt" strokecolor="#000000">
              <v:stroke dashstyle="solid"/>
            </v:rect>
            <v:rect style="position:absolute;left:2118;top:-238;width:100;height:580" filled="true" fillcolor="#faab54" stroked="false">
              <v:fill type="solid"/>
            </v:rect>
            <v:rect style="position:absolute;left:2118;top:-238;width:100;height:580" filled="false" stroked="true" strokeweight=".5pt" strokecolor="#000000">
              <v:stroke dashstyle="solid"/>
            </v:rect>
            <v:rect style="position:absolute;left:2398;top:-1098;width:90;height:1440" filled="true" fillcolor="#faab54" stroked="false">
              <v:fill type="solid"/>
            </v:rect>
            <v:rect style="position:absolute;left:2398;top:-1098;width:90;height:1440" filled="false" stroked="true" strokeweight=".5pt" strokecolor="#000000">
              <v:stroke dashstyle="solid"/>
            </v:rect>
            <v:rect style="position:absolute;left:2658;top:-498;width:100;height:840" filled="true" fillcolor="#faab54" stroked="false">
              <v:fill type="solid"/>
            </v:rect>
            <v:rect style="position:absolute;left:2658;top:-498;width:100;height:840" filled="false" stroked="true" strokeweight=".5pt" strokecolor="#000000">
              <v:stroke dashstyle="solid"/>
            </v:rect>
            <v:rect style="position:absolute;left:2938;top:-1038;width:100;height:1380" filled="true" fillcolor="#faab54" stroked="false">
              <v:fill type="solid"/>
            </v:rect>
            <v:rect style="position:absolute;left:2938;top:-1038;width:100;height:1380" filled="false" stroked="true" strokeweight=".5pt" strokecolor="#000000">
              <v:stroke dashstyle="solid"/>
            </v:rect>
            <v:rect style="position:absolute;left:3208;top:-678;width:90;height:1020" filled="true" fillcolor="#faab54" stroked="false">
              <v:fill type="solid"/>
            </v:rect>
            <v:rect style="position:absolute;left:3208;top:-678;width:90;height:1020" filled="false" stroked="true" strokeweight=".5pt" strokecolor="#000000">
              <v:stroke dashstyle="solid"/>
            </v:rect>
            <v:rect style="position:absolute;left:3478;top:342;width:100;height:960" filled="true" fillcolor="#faab54" stroked="false">
              <v:fill type="solid"/>
            </v:rect>
            <v:rect style="position:absolute;left:3478;top:342;width:100;height:960" filled="false" stroked="true" strokeweight=".5pt" strokecolor="#000000">
              <v:stroke dashstyle="solid"/>
            </v:rect>
            <v:rect style="position:absolute;left:3758;top:-538;width:100;height:880" filled="true" fillcolor="#faab54" stroked="false">
              <v:fill type="solid"/>
            </v:rect>
            <v:rect style="position:absolute;left:3758;top:-538;width:100;height:880" filled="false" stroked="true" strokeweight=".5pt" strokecolor="#000000">
              <v:stroke dashstyle="solid"/>
            </v:rect>
            <v:rect style="position:absolute;left:1118;top:342;width:80;height:320" filled="true" fillcolor="#952e40" stroked="false">
              <v:fill type="solid"/>
            </v:rect>
            <v:rect style="position:absolute;left:1118;top:342;width:80;height:320" filled="false" stroked="true" strokeweight=".5pt" strokecolor="#000000">
              <v:stroke dashstyle="solid"/>
            </v:rect>
            <v:rect style="position:absolute;left:1398;top:-98;width:80;height:440" filled="true" fillcolor="#952e40" stroked="false">
              <v:fill type="solid"/>
            </v:rect>
            <v:rect style="position:absolute;left:1398;top:-98;width:80;height:440" filled="false" stroked="true" strokeweight=".5pt" strokecolor="#000000">
              <v:stroke dashstyle="solid"/>
            </v:rect>
            <v:rect style="position:absolute;left:1658;top:-738;width:90;height:1080" filled="true" fillcolor="#952e40" stroked="false">
              <v:fill type="solid"/>
            </v:rect>
            <v:rect style="position:absolute;left:1658;top:-738;width:90;height:1080" filled="false" stroked="true" strokeweight=".5pt" strokecolor="#000000">
              <v:stroke dashstyle="solid"/>
            </v:rect>
            <v:rect style="position:absolute;left:1938;top:-1218;width:90;height:1560" filled="true" fillcolor="#952e40" stroked="false">
              <v:fill type="solid"/>
            </v:rect>
            <v:rect style="position:absolute;left:1938;top:-1218;width:90;height:1560" filled="false" stroked="true" strokeweight=".5pt" strokecolor="#000000">
              <v:stroke dashstyle="solid"/>
            </v:rect>
            <v:rect style="position:absolute;left:2218;top:-1038;width:90;height:1380" filled="true" fillcolor="#952e40" stroked="false">
              <v:fill type="solid"/>
            </v:rect>
            <v:rect style="position:absolute;left:2218;top:-1038;width:90;height:1380" filled="false" stroked="true" strokeweight=".5pt" strokecolor="#000000">
              <v:stroke dashstyle="solid"/>
            </v:rect>
            <v:rect style="position:absolute;left:2488;top:-458;width:100;height:800" filled="true" fillcolor="#952e40" stroked="false">
              <v:fill type="solid"/>
            </v:rect>
            <v:rect style="position:absolute;left:2488;top:-458;width:100;height:800" filled="false" stroked="true" strokeweight=".5pt" strokecolor="#000000">
              <v:stroke dashstyle="solid"/>
            </v:rect>
            <v:rect style="position:absolute;left:2758;top:-658;width:90;height:1000" filled="true" fillcolor="#952e40" stroked="false">
              <v:fill type="solid"/>
            </v:rect>
            <v:rect style="position:absolute;left:2758;top:-658;width:90;height:1000" filled="false" stroked="true" strokeweight=".5pt" strokecolor="#000000">
              <v:stroke dashstyle="solid"/>
            </v:rect>
            <v:rect style="position:absolute;left:3038;top:-98;width:90;height:440" filled="true" fillcolor="#952e40" stroked="false">
              <v:fill type="solid"/>
            </v:rect>
            <v:rect style="position:absolute;left:3038;top:-98;width:90;height:440" filled="false" stroked="true" strokeweight=".5pt" strokecolor="#000000">
              <v:stroke dashstyle="solid"/>
            </v:rect>
            <v:rect style="position:absolute;left:3298;top:-218;width:100;height:560" filled="true" fillcolor="#952e40" stroked="false">
              <v:fill type="solid"/>
            </v:rect>
            <v:rect style="position:absolute;left:3298;top:-218;width:100;height:560" filled="false" stroked="true" strokeweight=".5pt" strokecolor="#000000">
              <v:stroke dashstyle="solid"/>
            </v:rect>
            <v:rect style="position:absolute;left:3578;top:-298;width:100;height:640" filled="true" fillcolor="#952e40" stroked="false">
              <v:fill type="solid"/>
            </v:rect>
            <v:rect style="position:absolute;left:3578;top:-298;width:100;height:640" filled="false" stroked="true" strokeweight=".5pt" strokecolor="#000000">
              <v:stroke dashstyle="solid"/>
            </v:rect>
            <v:rect style="position:absolute;left:3858;top:-398;width:94;height:740" filled="true" fillcolor="#952e40" stroked="false">
              <v:fill type="solid"/>
            </v:rect>
            <v:rect style="position:absolute;left:3858;top:-398;width:94;height:740" filled="false" stroked="true" strokeweight=".5pt" strokecolor="#000000">
              <v:stroke dashstyle="solid"/>
            </v:rect>
            <v:shape style="position:absolute;left:4038;top:-1158;width:100;height:2500" coordorigin="4039,-1158" coordsize="100,2500" path="m4139,602l4039,602m4139,842l4039,842m4139,1102l4039,1102m4139,1342l4039,1342m4139,342l4039,342m4139,82l4039,82m4139,-158l4039,-158m4139,-418l4039,-418m4139,-658l4039,-658m4139,-918l4039,-918m4139,-1158l4039,-1158e" filled="false" stroked="true" strokeweight=".5pt" strokecolor="#000000">
              <v:path arrowok="t"/>
              <v:stroke dashstyle="solid"/>
            </v:shape>
            <v:shape style="position:absolute;left:3081;top:-1055;width:770;height:133" type="#_x0000_t202" filled="false" stroked="false">
              <v:textbox inset="0,0,0,0">
                <w:txbxContent>
                  <w:p>
                    <w:pPr>
                      <w:spacing w:line="133" w:lineRule="exact" w:before="0"/>
                      <w:ind w:left="0" w:right="0" w:firstLine="0"/>
                      <w:jc w:val="left"/>
                      <w:rPr>
                        <w:sz w:val="12"/>
                      </w:rPr>
                    </w:pPr>
                    <w:r>
                      <w:rPr>
                        <w:sz w:val="12"/>
                      </w:rPr>
                      <w:t>Workforce jobs</w:t>
                    </w:r>
                  </w:p>
                </w:txbxContent>
              </v:textbox>
              <w10:wrap type="none"/>
            </v:shape>
            <w10:wrap type="none"/>
          </v:group>
        </w:pict>
      </w:r>
      <w:r>
        <w:rPr>
          <w:sz w:val="12"/>
        </w:rPr>
        <w:t>0.1</w:t>
      </w:r>
    </w:p>
    <w:p>
      <w:pPr>
        <w:pStyle w:val="BodyText"/>
        <w:spacing w:before="8"/>
        <w:rPr>
          <w:sz w:val="27"/>
        </w:rPr>
      </w:pPr>
      <w:r>
        <w:rPr/>
        <w:br w:type="column"/>
      </w:r>
      <w:r>
        <w:rPr>
          <w:sz w:val="27"/>
        </w:rPr>
      </w:r>
    </w:p>
    <w:p>
      <w:pPr>
        <w:pStyle w:val="Heading2"/>
        <w:numPr>
          <w:ilvl w:val="1"/>
          <w:numId w:val="18"/>
        </w:numPr>
        <w:tabs>
          <w:tab w:pos="1549" w:val="left" w:leader="none"/>
          <w:tab w:pos="1550" w:val="left" w:leader="none"/>
        </w:tabs>
        <w:spacing w:line="240" w:lineRule="auto" w:before="1" w:after="0"/>
        <w:ind w:left="1549" w:right="0" w:hanging="1362"/>
        <w:jc w:val="left"/>
        <w:rPr>
          <w:u w:val="none"/>
        </w:rPr>
      </w:pPr>
      <w:r>
        <w:rPr>
          <w:color w:val="009483"/>
          <w:u w:val="thick" w:color="0093C1"/>
        </w:rPr>
        <w:t>Employment and unemployment</w:t>
      </w:r>
      <w:r>
        <w:rPr>
          <w:color w:val="009483"/>
          <w:spacing w:val="-26"/>
          <w:u w:val="thick" w:color="0093C1"/>
        </w:rPr>
        <w:t> </w:t>
      </w:r>
    </w:p>
    <w:p>
      <w:pPr>
        <w:pStyle w:val="BodyText"/>
        <w:spacing w:before="10"/>
        <w:rPr>
          <w:b/>
          <w:sz w:val="23"/>
        </w:rPr>
      </w:pPr>
    </w:p>
    <w:p>
      <w:pPr>
        <w:pStyle w:val="Heading4"/>
        <w:spacing w:before="1"/>
        <w:ind w:left="188"/>
      </w:pPr>
      <w:r>
        <w:rPr/>
        <w:t>Recent employment data have been strong (see</w:t>
      </w:r>
    </w:p>
    <w:p>
      <w:pPr>
        <w:spacing w:line="242" w:lineRule="auto" w:before="4"/>
        <w:ind w:left="188" w:right="214" w:firstLine="0"/>
        <w:jc w:val="left"/>
        <w:rPr>
          <w:sz w:val="24"/>
        </w:rPr>
      </w:pPr>
      <w:r>
        <w:rPr>
          <w:sz w:val="24"/>
        </w:rPr>
        <w:t>Chart 3.5). Employment, as measured by the LFS, rose by 98,000 (0.4%) in the three months to </w:t>
      </w:r>
      <w:r>
        <w:rPr>
          <w:spacing w:val="-3"/>
          <w:sz w:val="24"/>
        </w:rPr>
        <w:t>November. </w:t>
      </w:r>
      <w:r>
        <w:rPr>
          <w:sz w:val="24"/>
        </w:rPr>
        <w:t>The employment rate rose to 73.8% in October from 73.2% </w:t>
      </w:r>
      <w:r>
        <w:rPr>
          <w:spacing w:val="-17"/>
          <w:sz w:val="24"/>
        </w:rPr>
        <w:t>a </w:t>
      </w:r>
      <w:r>
        <w:rPr>
          <w:sz w:val="24"/>
        </w:rPr>
        <w:t>year ago—its highest level since 1990.  And according to the </w:t>
      </w:r>
      <w:r>
        <w:rPr>
          <w:spacing w:val="-3"/>
          <w:sz w:val="24"/>
        </w:rPr>
        <w:t>Workforce </w:t>
      </w:r>
      <w:r>
        <w:rPr>
          <w:sz w:val="24"/>
        </w:rPr>
        <w:t>jobs </w:t>
      </w:r>
      <w:r>
        <w:rPr>
          <w:spacing w:val="-4"/>
          <w:sz w:val="24"/>
        </w:rPr>
        <w:t>survey, </w:t>
      </w:r>
      <w:r>
        <w:rPr>
          <w:sz w:val="24"/>
        </w:rPr>
        <w:t>employment increased by 97,000 in 1998 Q3, a rise of 0.4%, after falling</w:t>
      </w:r>
      <w:r>
        <w:rPr>
          <w:spacing w:val="-2"/>
          <w:sz w:val="24"/>
        </w:rPr>
        <w:t> </w:t>
      </w:r>
      <w:r>
        <w:rPr>
          <w:sz w:val="24"/>
        </w:rPr>
        <w:t>in</w:t>
      </w:r>
    </w:p>
    <w:p>
      <w:pPr>
        <w:spacing w:line="164" w:lineRule="exact" w:before="7"/>
        <w:ind w:left="188" w:right="0" w:firstLine="0"/>
        <w:jc w:val="left"/>
        <w:rPr>
          <w:sz w:val="24"/>
        </w:rPr>
      </w:pPr>
      <w:r>
        <w:rPr>
          <w:sz w:val="24"/>
        </w:rPr>
        <w:t>1998 Q2. Recent revisions to the Workforce jobs survey</w:t>
      </w:r>
    </w:p>
    <w:p>
      <w:pPr>
        <w:spacing w:after="0" w:line="164" w:lineRule="exact"/>
        <w:jc w:val="left"/>
        <w:rPr>
          <w:sz w:val="24"/>
        </w:rPr>
        <w:sectPr>
          <w:type w:val="continuous"/>
          <w:pgSz w:w="11900" w:h="16840"/>
          <w:pgMar w:top="1220" w:bottom="280" w:left="640" w:right="600"/>
          <w:cols w:num="3" w:equalWidth="0">
            <w:col w:w="3504" w:space="40"/>
            <w:col w:w="216" w:space="1039"/>
            <w:col w:w="5861"/>
          </w:cols>
        </w:sectPr>
      </w:pPr>
    </w:p>
    <w:p>
      <w:pPr>
        <w:pStyle w:val="BodyText"/>
        <w:rPr>
          <w:sz w:val="20"/>
        </w:rPr>
      </w:pPr>
    </w:p>
    <w:p>
      <w:pPr>
        <w:pStyle w:val="BodyText"/>
        <w:spacing w:before="9"/>
        <w:rPr>
          <w:sz w:val="21"/>
        </w:rPr>
      </w:pPr>
    </w:p>
    <w:p>
      <w:pPr>
        <w:pStyle w:val="BodyText"/>
        <w:spacing w:line="20" w:lineRule="exact"/>
        <w:ind w:left="173"/>
        <w:rPr>
          <w:sz w:val="2"/>
        </w:rPr>
      </w:pPr>
      <w:r>
        <w:rPr>
          <w:sz w:val="2"/>
        </w:rPr>
        <w:pict>
          <v:group style="width:5pt;height:.5pt;mso-position-horizontal-relative:char;mso-position-vertical-relative:line" coordorigin="0,0" coordsize="100,10">
            <v:line style="position:absolute" from="100,5" to="0,5" stroked="true" strokeweight=".5pt" strokecolor="#000000">
              <v:stroke dashstyle="solid"/>
            </v:line>
          </v:group>
        </w:pict>
      </w:r>
      <w:r>
        <w:rPr>
          <w:sz w:val="2"/>
        </w:rPr>
      </w:r>
    </w:p>
    <w:p>
      <w:pPr>
        <w:pStyle w:val="BodyText"/>
        <w:spacing w:before="8"/>
        <w:rPr>
          <w:sz w:val="15"/>
        </w:rPr>
      </w:pPr>
      <w:r>
        <w:rPr/>
        <w:pict>
          <v:shape style="position:absolute;margin-left:40.93pt;margin-top:11.25pt;width:5pt;height:.1pt;mso-position-horizontal-relative:page;mso-position-vertical-relative:paragraph;z-index:-15488512;mso-wrap-distance-left:0;mso-wrap-distance-right:0" coordorigin="819,225" coordsize="100,0" path="m919,225l819,225e" filled="false" stroked="true" strokeweight=".5pt" strokecolor="#000000">
            <v:path arrowok="t"/>
            <v:stroke dashstyle="solid"/>
            <w10:wrap type="topAndBottom"/>
          </v:shape>
        </w:pict>
      </w:r>
      <w:r>
        <w:rPr/>
        <w:pict>
          <v:shape style="position:absolute;margin-left:40.93pt;margin-top:24.25pt;width:5pt;height:.1pt;mso-position-horizontal-relative:page;mso-position-vertical-relative:paragraph;z-index:-15488000;mso-wrap-distance-left:0;mso-wrap-distance-right:0" coordorigin="819,485" coordsize="100,0" path="m919,485l819,485e" filled="false" stroked="true" strokeweight=".5pt" strokecolor="#000000">
            <v:path arrowok="t"/>
            <v:stroke dashstyle="solid"/>
            <w10:wrap type="topAndBottom"/>
          </v:shape>
        </w:pict>
      </w:r>
      <w:r>
        <w:rPr/>
        <w:pict>
          <v:shape style="position:absolute;margin-left:40.93pt;margin-top:36.25pt;width:5pt;height:.1pt;mso-position-horizontal-relative:page;mso-position-vertical-relative:paragraph;z-index:-15487488;mso-wrap-distance-left:0;mso-wrap-distance-right:0" coordorigin="819,725" coordsize="100,0" path="m919,725l819,725e" filled="false" stroked="true" strokeweight=".5pt" strokecolor="#000000">
            <v:path arrowok="t"/>
            <v:stroke dashstyle="solid"/>
            <w10:wrap type="topAndBottom"/>
          </v:shape>
        </w:pict>
      </w:r>
    </w:p>
    <w:p>
      <w:pPr>
        <w:pStyle w:val="BodyText"/>
        <w:spacing w:before="9"/>
        <w:rPr>
          <w:sz w:val="15"/>
        </w:rPr>
      </w:pPr>
    </w:p>
    <w:p>
      <w:pPr>
        <w:pStyle w:val="BodyText"/>
        <w:spacing w:before="1"/>
        <w:rPr>
          <w:sz w:val="14"/>
        </w:rPr>
      </w:pPr>
    </w:p>
    <w:p>
      <w:pPr>
        <w:pStyle w:val="BodyText"/>
        <w:rPr>
          <w:sz w:val="12"/>
        </w:rPr>
      </w:pPr>
    </w:p>
    <w:p>
      <w:pPr>
        <w:pStyle w:val="BodyText"/>
        <w:spacing w:before="8"/>
        <w:rPr>
          <w:sz w:val="12"/>
        </w:rPr>
      </w:pPr>
    </w:p>
    <w:p>
      <w:pPr>
        <w:spacing w:before="0"/>
        <w:ind w:left="0" w:right="38" w:firstLine="0"/>
        <w:jc w:val="right"/>
        <w:rPr>
          <w:sz w:val="12"/>
        </w:rPr>
      </w:pPr>
      <w:r>
        <w:rPr>
          <w:sz w:val="12"/>
        </w:rPr>
        <w:t>1996</w:t>
      </w:r>
    </w:p>
    <w:p>
      <w:pPr>
        <w:pStyle w:val="BodyText"/>
        <w:rPr>
          <w:sz w:val="12"/>
        </w:rPr>
      </w:pPr>
      <w:r>
        <w:rPr/>
        <w:br w:type="column"/>
      </w:r>
      <w:r>
        <w:rPr>
          <w:sz w:val="12"/>
        </w:rPr>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3"/>
        <w:rPr>
          <w:sz w:val="14"/>
        </w:rPr>
      </w:pPr>
    </w:p>
    <w:p>
      <w:pPr>
        <w:tabs>
          <w:tab w:pos="1801" w:val="left" w:leader="none"/>
        </w:tabs>
        <w:spacing w:before="0"/>
        <w:ind w:left="855" w:right="0" w:firstLine="0"/>
        <w:jc w:val="left"/>
        <w:rPr>
          <w:sz w:val="12"/>
        </w:rPr>
      </w:pPr>
      <w:r>
        <w:rPr>
          <w:sz w:val="12"/>
        </w:rPr>
        <w:t>97</w:t>
        <w:tab/>
      </w:r>
      <w:r>
        <w:rPr>
          <w:spacing w:val="-10"/>
          <w:sz w:val="12"/>
        </w:rPr>
        <w:t>98</w:t>
      </w:r>
    </w:p>
    <w:p>
      <w:pPr>
        <w:spacing w:line="147" w:lineRule="exact" w:before="0"/>
        <w:ind w:left="313" w:right="0" w:firstLine="0"/>
        <w:jc w:val="left"/>
        <w:rPr>
          <w:sz w:val="16"/>
        </w:rPr>
      </w:pPr>
      <w:r>
        <w:rPr/>
        <w:br w:type="column"/>
      </w:r>
      <w:r>
        <w:rPr>
          <w:sz w:val="16"/>
        </w:rPr>
        <w:t>+</w:t>
      </w:r>
    </w:p>
    <w:p>
      <w:pPr>
        <w:spacing w:line="97" w:lineRule="exact" w:before="0"/>
        <w:ind w:left="400" w:right="0" w:firstLine="0"/>
        <w:jc w:val="left"/>
        <w:rPr>
          <w:sz w:val="12"/>
        </w:rPr>
      </w:pPr>
      <w:r>
        <w:rPr>
          <w:sz w:val="12"/>
        </w:rPr>
        <w:t>0.0</w:t>
      </w:r>
    </w:p>
    <w:p>
      <w:pPr>
        <w:spacing w:line="153" w:lineRule="exact" w:before="0"/>
        <w:ind w:left="313" w:right="0" w:firstLine="0"/>
        <w:jc w:val="left"/>
        <w:rPr>
          <w:sz w:val="16"/>
        </w:rPr>
      </w:pPr>
      <w:r>
        <w:rPr>
          <w:sz w:val="16"/>
        </w:rPr>
        <w:t>–</w:t>
      </w:r>
    </w:p>
    <w:p>
      <w:pPr>
        <w:spacing w:line="125" w:lineRule="exact" w:before="0"/>
        <w:ind w:left="400" w:right="0" w:firstLine="0"/>
        <w:jc w:val="left"/>
        <w:rPr>
          <w:sz w:val="12"/>
        </w:rPr>
      </w:pPr>
      <w:r>
        <w:rPr>
          <w:sz w:val="12"/>
        </w:rPr>
        <w:t>0.1</w:t>
      </w:r>
    </w:p>
    <w:p>
      <w:pPr>
        <w:pStyle w:val="BodyText"/>
        <w:spacing w:before="7"/>
        <w:rPr>
          <w:sz w:val="10"/>
        </w:rPr>
      </w:pPr>
    </w:p>
    <w:p>
      <w:pPr>
        <w:spacing w:before="0"/>
        <w:ind w:left="0" w:right="38" w:firstLine="0"/>
        <w:jc w:val="right"/>
        <w:rPr>
          <w:sz w:val="12"/>
        </w:rPr>
      </w:pPr>
      <w:r>
        <w:rPr>
          <w:sz w:val="12"/>
        </w:rPr>
        <w:t>0.2</w:t>
      </w:r>
    </w:p>
    <w:p>
      <w:pPr>
        <w:spacing w:before="102"/>
        <w:ind w:left="0" w:right="38" w:firstLine="0"/>
        <w:jc w:val="right"/>
        <w:rPr>
          <w:sz w:val="12"/>
        </w:rPr>
      </w:pPr>
      <w:r>
        <w:rPr>
          <w:sz w:val="12"/>
        </w:rPr>
        <w:t>0.3</w:t>
      </w:r>
    </w:p>
    <w:p>
      <w:pPr>
        <w:pStyle w:val="BodyText"/>
        <w:spacing w:before="7"/>
        <w:rPr>
          <w:sz w:val="10"/>
        </w:rPr>
      </w:pPr>
    </w:p>
    <w:p>
      <w:pPr>
        <w:spacing w:before="0"/>
        <w:ind w:left="0" w:right="38" w:firstLine="0"/>
        <w:jc w:val="right"/>
        <w:rPr>
          <w:sz w:val="12"/>
        </w:rPr>
      </w:pPr>
      <w:r>
        <w:rPr>
          <w:sz w:val="12"/>
        </w:rPr>
        <w:t>0.4</w:t>
      </w:r>
    </w:p>
    <w:p>
      <w:pPr>
        <w:spacing w:before="102"/>
        <w:ind w:left="0" w:right="38" w:firstLine="0"/>
        <w:jc w:val="right"/>
        <w:rPr>
          <w:sz w:val="12"/>
        </w:rPr>
      </w:pPr>
      <w:r>
        <w:rPr/>
        <w:pict>
          <v:shape style="position:absolute;margin-left:40.93pt;margin-top:4.201562pt;width:166pt;height:6pt;mso-position-horizontal-relative:page;mso-position-vertical-relative:paragraph;z-index:15970304" coordorigin="819,84" coordsize="3320,120" path="m919,204l819,204m4139,204l4039,204m1119,197l1119,144m1119,197l1119,84m1399,197l1399,144m1659,197l1659,144m1939,197l1939,144m2219,197l2219,144m2219,197l2219,84m2479,197l2479,144m2759,197l2759,144m3039,197l3039,144m3299,197l3299,144m3299,197l3299,84m3579,197l3579,144m3859,197l3859,144m979,204l3979,204e" filled="false" stroked="true" strokeweight=".5pt" strokecolor="#000000">
            <v:path arrowok="t"/>
            <v:stroke dashstyle="solid"/>
            <w10:wrap type="none"/>
          </v:shape>
        </w:pict>
      </w:r>
      <w:r>
        <w:rPr>
          <w:sz w:val="12"/>
        </w:rPr>
        <w:t>0.5</w:t>
      </w:r>
    </w:p>
    <w:p>
      <w:pPr>
        <w:pStyle w:val="Heading4"/>
        <w:spacing w:line="242" w:lineRule="auto" w:before="110"/>
        <w:ind w:left="855" w:right="252"/>
      </w:pPr>
      <w:r>
        <w:rPr/>
        <w:br w:type="column"/>
      </w:r>
      <w:r>
        <w:rPr>
          <w:spacing w:val="-3"/>
        </w:rPr>
        <w:t>have </w:t>
      </w:r>
      <w:r>
        <w:rPr/>
        <w:t>increased the estimated level of employee jobs by some 450,000 since September 1997, and increased the rate of employment growth during 1997. The two measures differ because the </w:t>
      </w:r>
      <w:r>
        <w:rPr>
          <w:spacing w:val="-3"/>
        </w:rPr>
        <w:t>Workforce </w:t>
      </w:r>
      <w:r>
        <w:rPr/>
        <w:t>measure is </w:t>
      </w:r>
      <w:r>
        <w:rPr>
          <w:spacing w:val="-4"/>
        </w:rPr>
        <w:t>based </w:t>
      </w:r>
      <w:r>
        <w:rPr/>
        <w:t>on a survey of the number of employee jobs, whereas the LFS measure is based on the number of people in</w:t>
      </w:r>
    </w:p>
    <w:p>
      <w:pPr>
        <w:spacing w:after="0" w:line="242" w:lineRule="auto"/>
        <w:sectPr>
          <w:type w:val="continuous"/>
          <w:pgSz w:w="11900" w:h="16840"/>
          <w:pgMar w:top="1220" w:bottom="280" w:left="640" w:right="600"/>
          <w:cols w:num="4" w:equalWidth="0">
            <w:col w:w="1136" w:space="71"/>
            <w:col w:w="1922" w:space="39"/>
            <w:col w:w="591" w:space="373"/>
            <w:col w:w="6528"/>
          </w:cols>
        </w:sectPr>
      </w:pPr>
    </w:p>
    <w:p>
      <w:pPr>
        <w:spacing w:before="85"/>
        <w:ind w:left="184" w:right="0" w:firstLine="0"/>
        <w:jc w:val="left"/>
        <w:rPr>
          <w:sz w:val="12"/>
        </w:rPr>
      </w:pPr>
      <w:r>
        <w:rPr>
          <w:sz w:val="12"/>
        </w:rPr>
        <w:t>(a) Note: LFS data centred around March, June, September and December.</w:t>
      </w:r>
    </w:p>
    <w:p>
      <w:pPr>
        <w:pStyle w:val="Heading4"/>
        <w:spacing w:before="7"/>
        <w:ind w:left="184"/>
      </w:pPr>
      <w:r>
        <w:rPr/>
        <w:br w:type="column"/>
      </w:r>
      <w:r>
        <w:rPr/>
        <w:t>work. But both suggest that employment rose</w:t>
      </w:r>
    </w:p>
    <w:p>
      <w:pPr>
        <w:spacing w:after="0"/>
        <w:sectPr>
          <w:type w:val="continuous"/>
          <w:pgSz w:w="11900" w:h="16840"/>
          <w:pgMar w:top="1220" w:bottom="280" w:left="640" w:right="600"/>
          <w:cols w:num="2" w:equalWidth="0">
            <w:col w:w="3927" w:space="876"/>
            <w:col w:w="5857"/>
          </w:cols>
        </w:sectPr>
      </w:pPr>
    </w:p>
    <w:p>
      <w:pPr>
        <w:pStyle w:val="BodyText"/>
        <w:rPr>
          <w:sz w:val="20"/>
        </w:rPr>
      </w:pPr>
    </w:p>
    <w:p>
      <w:pPr>
        <w:spacing w:before="217"/>
        <w:ind w:left="4967" w:right="0" w:firstLine="0"/>
        <w:jc w:val="left"/>
        <w:rPr>
          <w:sz w:val="24"/>
        </w:rPr>
      </w:pPr>
      <w:r>
        <w:rPr>
          <w:sz w:val="24"/>
        </w:rPr>
        <w:t>substantially, by more than 250,000 in the year to</w:t>
      </w:r>
    </w:p>
    <w:p>
      <w:pPr>
        <w:spacing w:line="242" w:lineRule="auto" w:before="4"/>
        <w:ind w:left="4967" w:right="153" w:firstLine="0"/>
        <w:jc w:val="left"/>
        <w:rPr>
          <w:sz w:val="24"/>
        </w:rPr>
      </w:pPr>
      <w:r>
        <w:rPr>
          <w:sz w:val="24"/>
        </w:rPr>
        <w:t>1998 Q3. The MPC’s projections for inflation and output are based on the LFS measure, and are therefore unaffected by the revisions to the Workforce jobs survey.</w:t>
      </w:r>
    </w:p>
    <w:p>
      <w:pPr>
        <w:pStyle w:val="BodyText"/>
        <w:spacing w:before="10"/>
        <w:rPr>
          <w:sz w:val="16"/>
        </w:rPr>
      </w:pPr>
    </w:p>
    <w:p>
      <w:pPr>
        <w:spacing w:after="0"/>
        <w:rPr>
          <w:sz w:val="16"/>
        </w:rPr>
        <w:sectPr>
          <w:pgSz w:w="11900" w:h="16840"/>
          <w:pgMar w:header="586" w:footer="597" w:top="780" w:bottom="780" w:left="640" w:right="600"/>
        </w:sectPr>
      </w:pPr>
    </w:p>
    <w:p>
      <w:pPr>
        <w:pStyle w:val="BodyText"/>
        <w:rPr>
          <w:sz w:val="22"/>
        </w:rPr>
      </w:pPr>
    </w:p>
    <w:p>
      <w:pPr>
        <w:pStyle w:val="BodyText"/>
        <w:rPr>
          <w:sz w:val="22"/>
        </w:rPr>
      </w:pPr>
    </w:p>
    <w:p>
      <w:pPr>
        <w:pStyle w:val="Heading7"/>
        <w:spacing w:line="249" w:lineRule="auto" w:before="127"/>
        <w:ind w:left="178" w:right="21"/>
      </w:pPr>
      <w:r>
        <w:rPr>
          <w:color w:val="0093C1"/>
        </w:rPr>
        <w:t>Chart 3.6 Unemployment rates</w:t>
      </w:r>
    </w:p>
    <w:p>
      <w:pPr>
        <w:pStyle w:val="BodyText"/>
        <w:rPr>
          <w:b/>
          <w:sz w:val="22"/>
        </w:rPr>
      </w:pPr>
      <w:r>
        <w:rPr/>
        <w:br w:type="column"/>
      </w:r>
      <w:r>
        <w:rPr>
          <w:b/>
          <w:sz w:val="22"/>
        </w:rPr>
      </w:r>
    </w:p>
    <w:p>
      <w:pPr>
        <w:pStyle w:val="BodyText"/>
        <w:rPr>
          <w:b/>
          <w:sz w:val="22"/>
        </w:rPr>
      </w:pPr>
    </w:p>
    <w:p>
      <w:pPr>
        <w:pStyle w:val="BodyText"/>
        <w:rPr>
          <w:b/>
          <w:sz w:val="22"/>
        </w:rPr>
      </w:pPr>
    </w:p>
    <w:p>
      <w:pPr>
        <w:pStyle w:val="BodyText"/>
        <w:rPr>
          <w:b/>
          <w:sz w:val="22"/>
        </w:rPr>
      </w:pPr>
    </w:p>
    <w:p>
      <w:pPr>
        <w:pStyle w:val="BodyText"/>
        <w:spacing w:before="6"/>
        <w:rPr>
          <w:b/>
          <w:sz w:val="20"/>
        </w:rPr>
      </w:pPr>
    </w:p>
    <w:p>
      <w:pPr>
        <w:spacing w:before="0"/>
        <w:ind w:left="178" w:right="0" w:firstLine="0"/>
        <w:jc w:val="left"/>
        <w:rPr>
          <w:sz w:val="12"/>
        </w:rPr>
      </w:pPr>
      <w:r>
        <w:rPr/>
        <w:pict>
          <v:group style="position:absolute;margin-left:40.410pt;margin-top:7.85216pt;width:166pt;height:133.5pt;mso-position-horizontal-relative:page;mso-position-vertical-relative:paragraph;z-index:-21040128" coordorigin="808,157" coordsize="3320,2670">
            <v:shape style="position:absolute;left:4028;top:2162;width:100;height:660" coordorigin="4028,2162" coordsize="100,660" path="m4128,2822l4028,2822m4128,2502l4028,2502m4128,2162l4028,2162e" filled="false" stroked="true" strokeweight=".5pt" strokecolor="#000000">
              <v:path arrowok="t"/>
              <v:stroke dashstyle="solid"/>
            </v:shape>
            <v:shape style="position:absolute;left:968;top:2022;width:3000;height:740" coordorigin="968,2022" coordsize="3000,740" path="m968,2082l988,2102,1008,2102,1008,2122,1028,2122,1048,2142,1068,2142,1088,2162,1108,2162,1128,2182,1148,2182,1168,2202,1188,2182,1268,2182,1268,2162,1308,2162,1328,2142,1368,2142,1388,2122,1388,2142,1488,2142,1508,2162,1588,2162,1608,2182,1628,2222,1668,2262,1668,2302,1688,2302,1708,2342,1748,2382,1788,2462,1808,2482,1828,2482,1968,2622,1988,2622,2008,2642,2088,2642,2108,2622,2208,2622,2228,2562,2248,2542,2268,2502,2288,2442,2288,2422,2308,2362,2428,2122,2448,2102,2468,2102,2488,2082,2508,2082,2528,2062,2548,2062,2548,2042,2588,2042,2608,2022,2628,2022,2688,2082,2748,2082,2788,2042,2808,2082,2828,2102,2828,2142,2848,2142,2868,2162,2888,2162,2908,2182,2928,2222,2948,2242,2948,2262,2968,2282,2988,2282,3008,2322,3028,2322,3048,2362,3088,2362,3128,2442,3148,2462,3168,2462,3188,2482,3328,2482,3328,2462,3368,2462,3388,2482,3408,2482,3428,2502,3448,2462,3468,2462,3468,2482,3508,2522,3528,2522,3548,2502,3588,2542,3588,2682,3608,2642,3648,2682,3668,2682,3688,2642,3708,2622,3728,2642,3728,2682,3748,2702,3768,2702,3788,2682,3828,2682,3848,2702,3848,2722,3868,2762,3888,2742,3908,2742,3928,2702,3968,2702e" filled="false" stroked="true" strokeweight="1pt" strokecolor="#df6f1d">
              <v:path arrowok="t"/>
              <v:stroke dashstyle="solid"/>
            </v:shape>
            <v:shape style="position:absolute;left:4028;top:162;width:100;height:1660" coordorigin="4028,162" coordsize="100,1660" path="m4128,1822l4028,1822m4128,1502l4028,1502m4128,1162l4028,1162m4128,822l4028,822m4128,502l4028,502m4128,162l4028,162e" filled="false" stroked="true" strokeweight=".5pt" strokecolor="#000000">
              <v:path arrowok="t"/>
              <v:stroke dashstyle="solid"/>
            </v:shape>
            <v:shape style="position:absolute;left:968;top:242;width:3000;height:1860" coordorigin="968,242" coordsize="3000,1860" path="m968,242l988,262,1008,262,1008,282,1068,342,1088,342,1128,382,1128,402,1148,402,1168,422,1308,422,1328,442,1388,442,1428,482,1448,482,1468,502,1488,502,1508,522,1528,522,1528,542,1548,562,1568,562,1588,582,1648,762,1668,802,1668,862,1708,982,1728,1022,1768,1142,1768,1202,1788,1262,1868,1422,1888,1482,1908,1522,1908,1562,1968,1682,1988,1742,2008,1782,2028,1782,2028,1802,2048,1802,2068,1822,2088,1822,2108,1842,2128,1842,2148,1862,2168,1862,2168,1882,2188,1882,2208,1902,2228,1862,2248,1802,2288,1722,2288,1682,2328,1602,2348,1542,2428,1382,2428,1342,2548,1102,2548,1042,2568,1022,2588,982,2608,922,2628,902,2648,902,2668,862,2688,842,2708,802,2728,742,2748,702,2768,642,2788,622,2808,642,2828,642,2828,682,2848,682,2868,702,2888,702,2908,742,2968,742,3008,862,3028,902,3048,902,3068,922,3068,962,3088,962,3108,1042,3128,1082,3148,1142,3168,1182,3188,1202,3208,1202,3208,1182,3248,1222,3268,1262,3288,1262,3308,1282,3328,1262,3328,1282,3348,1302,3368,1382,3388,1342,3428,1382,3468,1382,3468,1402,3488,1442,3528,1482,3548,1482,3568,1502,3588,1542,3588,1582,3628,1702,3648,1742,3668,1762,3688,1762,3708,1742,3728,1802,3728,1882,3768,1962,3828,2022,3848,2002,3848,2042,3868,2062,3888,2102,3908,2102,3928,2062,3948,2102,3968,2102e" filled="false" stroked="true" strokeweight="1pt" strokecolor="#f7a08b">
              <v:path arrowok="t"/>
              <v:stroke dashstyle="solid"/>
            </v:shape>
            <v:shape style="position:absolute;left:968;top:422;width:3000;height:2220" coordorigin="968,422" coordsize="3000,2220" path="m968,662l988,622,1008,622,1028,562,1068,562,1088,522,1108,602,1148,522,1168,522,1188,562,1208,562,1228,522,1268,522,1288,502,1328,502,1348,422,1368,462,1388,462,1388,422,1428,422,1468,502,1488,502,1508,522,1528,562,1528,622,1548,662,1568,682,1588,762,1608,782,1628,862,1648,922,1668,962,1668,1022,1688,1102,1708,1122,1728,1222,1748,1262,1768,1322,1768,1362,1788,1422,1808,1462,1828,1522,1848,1602,1868,1622,1888,1662,1908,1722,1908,1802,1948,1922,1968,1962,1988,2042,2008,2062,2028,2102,2028,2122,2068,2202,2088,2202,2108,2222,2148,2302,2168,2302,2188,2322,2208,2302,2248,2302,2288,2222,2288,2162,2328,2042,2348,1962,2368,1862,2388,1722,2408,1622,2428,1562,2428,1462,2448,1402,2468,1362,2488,1282,2508,1262,2528,1222,2548,1202,2548,1122,2568,1062,2588,1062,2608,1002,2628,962,2648,962,2668,922,2688,902,2688,862,2708,782,2728,762,2748,662,2788,662,2808,682,2828,682,2848,722,2888,722,2908,762,2928,782,2948,822,2948,882,2968,862,2988,882,3048,1002,3068,1022,3068,1062,3088,1102,3108,1122,3128,1202,3148,1222,3168,1282,3188,1362,3208,1422,3228,1462,3248,1462,3268,1502,3288,1502,3308,1522,3328,1522,3328,1562,3368,1562,3388,1602,3408,1602,3428,1622,3448,1622,3488,1702,3508,1722,3528,1762,3548,1822,3568,1922,3588,2002,3588,2042,3608,2122,3628,2162,3648,2222,3688,2302,3708,2362,3728,2402,3728,2422,3788,2542,3808,2542,3828,2562,3888,2562,3928,2642,3968,2642e" filled="false" stroked="true" strokeweight="1pt" strokecolor="#952e40">
              <v:path arrowok="t"/>
              <v:stroke dashstyle="solid"/>
            </v:shape>
            <v:shape style="position:absolute;left:808;top:162;width:100;height:2660" coordorigin="808,162" coordsize="100,2660" path="m908,2822l808,2822m908,2502l808,2502m908,2162l808,2162m908,1822l808,1822m908,1502l808,1502m908,1162l808,1162m908,822l808,822m908,502l808,502m908,162l808,162e" filled="false" stroked="true" strokeweight=".5pt" strokecolor="#000000">
              <v:path arrowok="t"/>
              <v:stroke dashstyle="solid"/>
            </v:shape>
            <v:shape style="position:absolute;left:1071;top:178;width:1350;height:133" type="#_x0000_t202" filled="false" stroked="false">
              <v:textbox inset="0,0,0,0">
                <w:txbxContent>
                  <w:p>
                    <w:pPr>
                      <w:spacing w:line="133" w:lineRule="exact" w:before="0"/>
                      <w:ind w:left="0" w:right="0" w:firstLine="0"/>
                      <w:jc w:val="left"/>
                      <w:rPr>
                        <w:sz w:val="12"/>
                      </w:rPr>
                    </w:pPr>
                    <w:r>
                      <w:rPr>
                        <w:sz w:val="12"/>
                      </w:rPr>
                      <w:t>LFS unemployment rate (a)</w:t>
                    </w:r>
                  </w:p>
                </w:txbxContent>
              </v:textbox>
              <w10:wrap type="none"/>
            </v:shape>
            <v:shape style="position:absolute;left:2411;top:1671;width:757;height:133" type="#_x0000_t202" filled="false" stroked="false">
              <v:textbox inset="0,0,0,0">
                <w:txbxContent>
                  <w:p>
                    <w:pPr>
                      <w:spacing w:line="133" w:lineRule="exact" w:before="0"/>
                      <w:ind w:left="0" w:right="0" w:firstLine="0"/>
                      <w:jc w:val="left"/>
                      <w:rPr>
                        <w:sz w:val="12"/>
                      </w:rPr>
                    </w:pPr>
                    <w:r>
                      <w:rPr>
                        <w:sz w:val="12"/>
                      </w:rPr>
                      <w:t>Claimant count</w:t>
                    </w:r>
                  </w:p>
                </w:txbxContent>
              </v:textbox>
              <w10:wrap type="none"/>
            </v:shape>
            <v:shape style="position:absolute;left:1224;top:2651;width:1907;height:133" type="#_x0000_t202" filled="false" stroked="false">
              <v:textbox inset="0,0,0,0">
                <w:txbxContent>
                  <w:p>
                    <w:pPr>
                      <w:spacing w:line="133" w:lineRule="exact" w:before="0"/>
                      <w:ind w:left="0" w:right="0" w:firstLine="0"/>
                      <w:jc w:val="left"/>
                      <w:rPr>
                        <w:sz w:val="12"/>
                      </w:rPr>
                    </w:pPr>
                    <w:r>
                      <w:rPr>
                        <w:sz w:val="12"/>
                      </w:rPr>
                      <w:t>Short-term LFS unemployment rate (b)</w:t>
                    </w:r>
                  </w:p>
                </w:txbxContent>
              </v:textbox>
              <w10:wrap type="none"/>
            </v:shape>
            <w10:wrap type="none"/>
          </v:group>
        </w:pict>
      </w:r>
      <w:r>
        <w:rPr>
          <w:sz w:val="12"/>
        </w:rPr>
        <w:t>Per cent</w:t>
      </w:r>
      <w:r>
        <w:rPr>
          <w:spacing w:val="1"/>
          <w:sz w:val="12"/>
        </w:rPr>
        <w:t> </w:t>
      </w:r>
      <w:r>
        <w:rPr>
          <w:position w:val="-8"/>
          <w:sz w:val="12"/>
        </w:rPr>
        <w:t>12</w:t>
      </w:r>
    </w:p>
    <w:p>
      <w:pPr>
        <w:spacing w:before="194"/>
        <w:ind w:left="599" w:right="0" w:firstLine="0"/>
        <w:jc w:val="left"/>
        <w:rPr>
          <w:sz w:val="12"/>
        </w:rPr>
      </w:pPr>
      <w:r>
        <w:rPr>
          <w:sz w:val="12"/>
        </w:rPr>
        <w:t>11</w:t>
      </w:r>
    </w:p>
    <w:p>
      <w:pPr>
        <w:pStyle w:val="BodyText"/>
        <w:spacing w:before="2"/>
        <w:rPr>
          <w:sz w:val="17"/>
        </w:rPr>
      </w:pPr>
    </w:p>
    <w:p>
      <w:pPr>
        <w:spacing w:before="1"/>
        <w:ind w:left="599" w:right="0" w:firstLine="0"/>
        <w:jc w:val="left"/>
        <w:rPr>
          <w:sz w:val="12"/>
        </w:rPr>
      </w:pPr>
      <w:r>
        <w:rPr>
          <w:sz w:val="12"/>
        </w:rPr>
        <w:t>10</w:t>
      </w:r>
    </w:p>
    <w:p>
      <w:pPr>
        <w:pStyle w:val="BodyText"/>
        <w:spacing w:before="1"/>
        <w:rPr>
          <w:sz w:val="17"/>
        </w:rPr>
      </w:pPr>
    </w:p>
    <w:p>
      <w:pPr>
        <w:spacing w:before="1"/>
        <w:ind w:left="659" w:right="0" w:firstLine="0"/>
        <w:jc w:val="left"/>
        <w:rPr>
          <w:sz w:val="12"/>
        </w:rPr>
      </w:pPr>
      <w:r>
        <w:rPr>
          <w:sz w:val="12"/>
        </w:rPr>
        <w:t>9</w:t>
      </w:r>
    </w:p>
    <w:p>
      <w:pPr>
        <w:pStyle w:val="BodyText"/>
        <w:spacing w:before="2"/>
        <w:rPr>
          <w:sz w:val="17"/>
        </w:rPr>
      </w:pPr>
    </w:p>
    <w:p>
      <w:pPr>
        <w:spacing w:before="0"/>
        <w:ind w:left="659" w:right="0" w:firstLine="0"/>
        <w:jc w:val="left"/>
        <w:rPr>
          <w:sz w:val="12"/>
        </w:rPr>
      </w:pPr>
      <w:r>
        <w:rPr>
          <w:sz w:val="12"/>
        </w:rPr>
        <w:t>8</w:t>
      </w:r>
    </w:p>
    <w:p>
      <w:pPr>
        <w:pStyle w:val="BodyText"/>
        <w:spacing w:before="2"/>
        <w:rPr>
          <w:sz w:val="17"/>
        </w:rPr>
      </w:pPr>
    </w:p>
    <w:p>
      <w:pPr>
        <w:spacing w:before="0"/>
        <w:ind w:left="659" w:right="0" w:firstLine="0"/>
        <w:jc w:val="left"/>
        <w:rPr>
          <w:sz w:val="12"/>
        </w:rPr>
      </w:pPr>
      <w:r>
        <w:rPr>
          <w:sz w:val="12"/>
        </w:rPr>
        <w:t>7</w:t>
      </w:r>
    </w:p>
    <w:p>
      <w:pPr>
        <w:pStyle w:val="BodyText"/>
        <w:spacing w:before="2"/>
        <w:rPr>
          <w:sz w:val="17"/>
        </w:rPr>
      </w:pPr>
    </w:p>
    <w:p>
      <w:pPr>
        <w:spacing w:before="0"/>
        <w:ind w:left="659" w:right="0" w:firstLine="0"/>
        <w:jc w:val="left"/>
        <w:rPr>
          <w:sz w:val="12"/>
        </w:rPr>
      </w:pPr>
      <w:r>
        <w:rPr>
          <w:sz w:val="12"/>
        </w:rPr>
        <w:t>6</w:t>
      </w:r>
    </w:p>
    <w:p>
      <w:pPr>
        <w:pStyle w:val="BodyText"/>
        <w:spacing w:before="2"/>
        <w:rPr>
          <w:sz w:val="17"/>
        </w:rPr>
      </w:pPr>
    </w:p>
    <w:p>
      <w:pPr>
        <w:spacing w:before="0"/>
        <w:ind w:left="659" w:right="0" w:firstLine="0"/>
        <w:jc w:val="left"/>
        <w:rPr>
          <w:sz w:val="12"/>
        </w:rPr>
      </w:pPr>
      <w:r>
        <w:rPr>
          <w:sz w:val="12"/>
        </w:rPr>
        <w:t>5</w:t>
      </w:r>
    </w:p>
    <w:p>
      <w:pPr>
        <w:pStyle w:val="BodyText"/>
        <w:spacing w:before="2"/>
        <w:rPr>
          <w:sz w:val="17"/>
        </w:rPr>
      </w:pPr>
    </w:p>
    <w:p>
      <w:pPr>
        <w:spacing w:before="0"/>
        <w:ind w:left="659" w:right="0" w:firstLine="0"/>
        <w:jc w:val="left"/>
        <w:rPr>
          <w:sz w:val="12"/>
        </w:rPr>
      </w:pPr>
      <w:r>
        <w:rPr>
          <w:sz w:val="12"/>
        </w:rPr>
        <w:t>4</w:t>
      </w:r>
    </w:p>
    <w:p>
      <w:pPr>
        <w:pStyle w:val="BodyText"/>
        <w:spacing w:before="2"/>
        <w:rPr>
          <w:sz w:val="17"/>
        </w:rPr>
      </w:pPr>
    </w:p>
    <w:p>
      <w:pPr>
        <w:spacing w:before="0"/>
        <w:ind w:left="659" w:right="0" w:firstLine="0"/>
        <w:jc w:val="left"/>
        <w:rPr>
          <w:sz w:val="12"/>
        </w:rPr>
      </w:pPr>
      <w:r>
        <w:rPr/>
        <w:pict>
          <v:group style="position:absolute;margin-left:40.410pt;margin-top:2.456573pt;width:167.25pt;height:8.7pt;mso-position-horizontal-relative:page;mso-position-vertical-relative:paragraph;z-index:15975936" coordorigin="808,49" coordsize="3345,174">
            <v:shape style="position:absolute;left:808;top:55;width:3320;height:161" coordorigin="808,55" coordsize="3320,161" path="m4128,55l4028,55m968,215l3968,215m1008,215l1008,175m1048,215l1048,175m1108,215l1108,175m1148,215l1148,175m1208,215l1208,175m1268,215l1268,175m1308,215l1308,175m1356,215l1356,175m1412,215l1412,175m1468,215l1468,175m1528,215l1528,175m1568,215l1568,175m1624,215l1624,175m1679,215l1679,175m1728,215l1728,175m1768,215l1768,175m1828,215l1828,175m1888,215l1888,175m1928,215l1928,175m1976,215l1976,175m2037,215l2037,175m2097,215l2097,175m2148,215l2148,175m2188,215l2188,175m2244,215l2244,175m2299,215l2299,175m2348,215l2348,175m2398,213l2398,173m2450,215l2450,175m2501,215l2501,175m2548,215l2548,175m2599,215l2599,175m2661,215l2661,175m2722,215l2722,175m2768,215l2768,175m2817,215l2817,175m2869,215l2869,175m2921,215l2921,175m2968,215l2968,175m3022,215l3022,175m3075,215l3075,175m3128,215l3128,175m3188,215l3188,175m3228,215l3228,175m3285,215l3285,175m3341,215l3341,175m3388,215l3388,175m3439,215l3439,175m3493,215l3493,175m3548,215l3548,175m3588,215l3588,175m3642,215l3642,175m3700,215l3700,175m3757,215l3757,175m3808,215l3808,175m3854,216l3854,176m3911,215l3911,175m3968,215l3968,175m1108,215l1108,115m1308,215l1308,115m1528,215l1528,115m1728,215l1728,115m1928,215l1928,115m2148,215l2148,115m2348,215l2348,115m2548,215l2548,115m2768,215l2768,115m2968,215l2968,115m3188,215l3188,115m3388,215l3388,115m3588,215l3588,115m3808,215l3808,115m4128,215l3916,215m974,215l808,215e" filled="false" stroked="true" strokeweight=".5pt" strokecolor="#000000">
              <v:path arrowok="t"/>
              <v:stroke dashstyle="solid"/>
            </v:shape>
            <v:shape style="position:absolute;left:4107;top:54;width:40;height:160" coordorigin="4108,54" coordsize="40,160" path="m4128,54l4128,92,4108,109,4148,122,4108,142,4148,159,4124,169,4124,214e" filled="false" stroked="true" strokeweight=".5pt" strokecolor="#000000">
              <v:path arrowok="t"/>
              <v:stroke dashstyle="solid"/>
            </v:shape>
            <v:line style="position:absolute" from="908,55" to="808,55" stroked="true" strokeweight=".5pt" strokecolor="#000000">
              <v:stroke dashstyle="solid"/>
            </v:line>
            <v:shape style="position:absolute;left:887;top:57;width:40;height:160" coordorigin="888,58" coordsize="40,160" path="m908,58l908,96,888,112,928,126,888,146,928,163,904,173,904,218e" filled="false" stroked="true" strokeweight=".5pt" strokecolor="#000000">
              <v:path arrowok="t"/>
              <v:stroke dashstyle="solid"/>
            </v:shape>
            <w10:wrap type="none"/>
          </v:group>
        </w:pict>
      </w:r>
      <w:r>
        <w:rPr>
          <w:sz w:val="12"/>
        </w:rPr>
        <w:t>3</w:t>
      </w:r>
    </w:p>
    <w:p>
      <w:pPr>
        <w:spacing w:line="85" w:lineRule="exact" w:before="2"/>
        <w:ind w:left="659" w:right="0" w:firstLine="0"/>
        <w:jc w:val="left"/>
        <w:rPr>
          <w:sz w:val="12"/>
        </w:rPr>
      </w:pPr>
      <w:r>
        <w:rPr>
          <w:sz w:val="12"/>
        </w:rPr>
        <w:t>0</w:t>
      </w:r>
    </w:p>
    <w:p>
      <w:pPr>
        <w:pStyle w:val="Heading4"/>
        <w:spacing w:line="242" w:lineRule="auto" w:before="90"/>
        <w:ind w:left="178" w:right="210"/>
      </w:pPr>
      <w:r>
        <w:rPr/>
        <w:br w:type="column"/>
      </w:r>
      <w:r>
        <w:rPr/>
        <w:t>The increase in employment has been reflected in falls </w:t>
      </w:r>
      <w:r>
        <w:rPr>
          <w:spacing w:val="-8"/>
        </w:rPr>
        <w:t>in </w:t>
      </w:r>
      <w:r>
        <w:rPr/>
        <w:t>both unemployment and inactivity. According to the most recent data, LFS unemployment fell by 26,000 in the three months to November, compared with the previous three months, and claimant unemployment fell by 14,000 in December. Chart 3.6 shows the recent behaviour of LFS, claimant-count and short-term unemployment. These measures all suggest that unemployment remains very low by recent historical standards—the claimant unemployment rate is at its lowest level since 1980. But there are signs that the downward trend in unemployment has flattened. Both the LFS unemployment rate and the claimant-count rate </w:t>
      </w:r>
      <w:r>
        <w:rPr>
          <w:spacing w:val="-3"/>
        </w:rPr>
        <w:t>have </w:t>
      </w:r>
      <w:r>
        <w:rPr/>
        <w:t>edged down only slightly in recent months, and were at 6.2% in the three months to November and 4.6% in December respectively. So the relatively</w:t>
      </w:r>
      <w:r>
        <w:rPr>
          <w:spacing w:val="-14"/>
        </w:rPr>
        <w:t> </w:t>
      </w:r>
      <w:r>
        <w:rPr/>
        <w:t>stable</w:t>
      </w:r>
    </w:p>
    <w:p>
      <w:pPr>
        <w:spacing w:after="0" w:line="242" w:lineRule="auto"/>
        <w:sectPr>
          <w:type w:val="continuous"/>
          <w:pgSz w:w="11900" w:h="16840"/>
          <w:pgMar w:top="1220" w:bottom="280" w:left="640" w:right="600"/>
          <w:cols w:num="3" w:equalWidth="0">
            <w:col w:w="2002" w:space="923"/>
            <w:col w:w="760" w:space="1104"/>
            <w:col w:w="5871"/>
          </w:cols>
        </w:sectPr>
      </w:pPr>
    </w:p>
    <w:p>
      <w:pPr>
        <w:spacing w:before="21"/>
        <w:ind w:left="224" w:right="0" w:firstLine="0"/>
        <w:jc w:val="left"/>
        <w:rPr>
          <w:sz w:val="12"/>
        </w:rPr>
      </w:pPr>
      <w:r>
        <w:rPr>
          <w:sz w:val="12"/>
        </w:rPr>
        <w:t>1984</w:t>
      </w:r>
    </w:p>
    <w:p>
      <w:pPr>
        <w:tabs>
          <w:tab w:pos="624" w:val="left" w:leader="none"/>
          <w:tab w:pos="1044" w:val="left" w:leader="none"/>
          <w:tab w:pos="1444" w:val="left" w:leader="none"/>
          <w:tab w:pos="1844" w:val="left" w:leader="none"/>
          <w:tab w:pos="2284" w:val="left" w:leader="none"/>
          <w:tab w:pos="2684" w:val="left" w:leader="none"/>
        </w:tabs>
        <w:spacing w:before="21"/>
        <w:ind w:left="224" w:right="0" w:firstLine="0"/>
        <w:jc w:val="left"/>
        <w:rPr>
          <w:sz w:val="12"/>
        </w:rPr>
      </w:pPr>
      <w:r>
        <w:rPr/>
        <w:br w:type="column"/>
      </w:r>
      <w:r>
        <w:rPr>
          <w:sz w:val="12"/>
        </w:rPr>
        <w:t>86</w:t>
        <w:tab/>
        <w:t>88</w:t>
        <w:tab/>
        <w:t>90</w:t>
        <w:tab/>
        <w:t>92</w:t>
        <w:tab/>
        <w:t>94</w:t>
        <w:tab/>
        <w:t>96</w:t>
        <w:tab/>
        <w:t>98</w:t>
      </w:r>
    </w:p>
    <w:p>
      <w:pPr>
        <w:pStyle w:val="Heading4"/>
        <w:spacing w:line="266" w:lineRule="exact"/>
        <w:ind w:left="224"/>
      </w:pPr>
      <w:r>
        <w:rPr/>
        <w:br w:type="column"/>
      </w:r>
      <w:r>
        <w:rPr/>
        <w:t>behaviour of unemployment in the face of rising</w:t>
      </w:r>
    </w:p>
    <w:p>
      <w:pPr>
        <w:spacing w:after="0" w:line="266" w:lineRule="exact"/>
        <w:sectPr>
          <w:type w:val="continuous"/>
          <w:pgSz w:w="11900" w:h="16840"/>
          <w:pgMar w:top="1220" w:bottom="280" w:left="640" w:right="600"/>
          <w:cols w:num="3" w:equalWidth="0">
            <w:col w:w="465" w:space="48"/>
            <w:col w:w="2845" w:space="1384"/>
            <w:col w:w="5918"/>
          </w:cols>
        </w:sectPr>
      </w:pPr>
    </w:p>
    <w:p>
      <w:pPr>
        <w:spacing w:before="12"/>
        <w:ind w:left="173" w:right="0" w:firstLine="0"/>
        <w:jc w:val="left"/>
        <w:rPr>
          <w:sz w:val="12"/>
        </w:rPr>
      </w:pPr>
      <w:r>
        <w:rPr>
          <w:sz w:val="12"/>
        </w:rPr>
        <w:t>Sources: ONS and Bank of England.</w:t>
      </w:r>
    </w:p>
    <w:p>
      <w:pPr>
        <w:pStyle w:val="ListParagraph"/>
        <w:numPr>
          <w:ilvl w:val="0"/>
          <w:numId w:val="19"/>
        </w:numPr>
        <w:tabs>
          <w:tab w:pos="414" w:val="left" w:leader="none"/>
        </w:tabs>
        <w:spacing w:line="129" w:lineRule="exact" w:before="102" w:after="0"/>
        <w:ind w:left="413" w:right="0" w:hanging="241"/>
        <w:jc w:val="left"/>
        <w:rPr>
          <w:sz w:val="12"/>
        </w:rPr>
      </w:pPr>
      <w:r>
        <w:rPr>
          <w:sz w:val="12"/>
        </w:rPr>
        <w:t>LFS unemployment measures started in 1984.</w:t>
      </w:r>
    </w:p>
    <w:p>
      <w:pPr>
        <w:pStyle w:val="ListParagraph"/>
        <w:numPr>
          <w:ilvl w:val="0"/>
          <w:numId w:val="19"/>
        </w:numPr>
        <w:tabs>
          <w:tab w:pos="414" w:val="left" w:leader="none"/>
        </w:tabs>
        <w:spacing w:line="208" w:lineRule="auto" w:before="5" w:after="0"/>
        <w:ind w:left="413" w:right="201" w:hanging="240"/>
        <w:jc w:val="left"/>
        <w:rPr>
          <w:sz w:val="12"/>
        </w:rPr>
      </w:pPr>
      <w:r>
        <w:rPr>
          <w:sz w:val="12"/>
        </w:rPr>
        <w:t>Short-term unemployment refers to those employed for less than </w:t>
      </w:r>
      <w:r>
        <w:rPr>
          <w:spacing w:val="-17"/>
          <w:sz w:val="12"/>
        </w:rPr>
        <w:t>a </w:t>
      </w:r>
      <w:r>
        <w:rPr>
          <w:sz w:val="12"/>
        </w:rPr>
        <w:t>year (seasonally adjusted estimate).</w:t>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6"/>
        <w:rPr>
          <w:sz w:val="15"/>
        </w:rPr>
      </w:pPr>
    </w:p>
    <w:p>
      <w:pPr>
        <w:pStyle w:val="Heading7"/>
        <w:spacing w:before="0"/>
        <w:ind w:left="190"/>
      </w:pPr>
      <w:r>
        <w:rPr>
          <w:color w:val="0093C1"/>
        </w:rPr>
        <w:t>Chart 3.7</w:t>
      </w:r>
    </w:p>
    <w:p>
      <w:pPr>
        <w:spacing w:before="10"/>
        <w:ind w:left="190" w:right="0" w:firstLine="0"/>
        <w:jc w:val="left"/>
        <w:rPr>
          <w:sz w:val="12"/>
        </w:rPr>
      </w:pPr>
      <w:r>
        <w:rPr>
          <w:b/>
          <w:color w:val="0093C1"/>
          <w:sz w:val="20"/>
        </w:rPr>
        <w:t>LFS inactivity rates</w:t>
      </w:r>
      <w:r>
        <w:rPr>
          <w:position w:val="4"/>
          <w:sz w:val="12"/>
        </w:rPr>
        <w:t>(a)</w:t>
      </w:r>
    </w:p>
    <w:p>
      <w:pPr>
        <w:spacing w:before="59"/>
        <w:ind w:left="3115" w:right="0" w:firstLine="0"/>
        <w:jc w:val="left"/>
        <w:rPr>
          <w:sz w:val="12"/>
        </w:rPr>
      </w:pPr>
      <w:r>
        <w:rPr/>
        <w:pict>
          <v:line style="position:absolute;mso-position-horizontal-relative:page;mso-position-vertical-relative:paragraph;z-index:15974912" from="46pt,10.384753pt" to="41pt,10.384753pt" stroked="true" strokeweight=".5pt" strokecolor="#000000">
            <v:stroke dashstyle="solid"/>
            <w10:wrap type="none"/>
          </v:line>
        </w:pict>
      </w:r>
      <w:r>
        <w:rPr/>
        <w:pict>
          <v:line style="position:absolute;mso-position-horizontal-relative:page;mso-position-vertical-relative:paragraph;z-index:-21042688" from="207pt,10.384753pt" to="203pt,10.384753pt" stroked="true" strokeweight=".5pt" strokecolor="#000000">
            <v:stroke dashstyle="solid"/>
            <w10:wrap type="none"/>
          </v:line>
        </w:pict>
      </w:r>
      <w:r>
        <w:rPr>
          <w:sz w:val="12"/>
        </w:rPr>
        <w:t>Per cent</w:t>
      </w:r>
      <w:r>
        <w:rPr>
          <w:spacing w:val="15"/>
          <w:sz w:val="12"/>
        </w:rPr>
        <w:t> </w:t>
      </w:r>
      <w:r>
        <w:rPr>
          <w:position w:val="-6"/>
          <w:sz w:val="12"/>
        </w:rPr>
        <w:t>25.0</w:t>
      </w:r>
    </w:p>
    <w:p>
      <w:pPr>
        <w:pStyle w:val="BodyText"/>
        <w:spacing w:before="3"/>
        <w:rPr>
          <w:sz w:val="25"/>
        </w:rPr>
      </w:pPr>
    </w:p>
    <w:p>
      <w:pPr>
        <w:spacing w:before="0"/>
        <w:ind w:left="0" w:right="38" w:firstLine="0"/>
        <w:jc w:val="right"/>
        <w:rPr>
          <w:sz w:val="12"/>
        </w:rPr>
      </w:pPr>
      <w:r>
        <w:rPr/>
        <w:pict>
          <v:group style="position:absolute;margin-left:41pt;margin-top:4.232574pt;width:166pt;height:112.75pt;mso-position-horizontal-relative:page;mso-position-vertical-relative:paragraph;z-index:15974400" coordorigin="820,85" coordsize="3320,2255">
            <v:shape style="position:absolute;left:820;top:89;width:100;height:2140" coordorigin="820,90" coordsize="100,2140" path="m920,2230l820,2230m920,1810l820,1810m920,1370l820,1370m920,950l820,950m920,510l820,510m920,90l820,90e" filled="false" stroked="true" strokeweight=".5pt" strokecolor="#000000">
              <v:path arrowok="t"/>
              <v:stroke dashstyle="solid"/>
            </v:shape>
            <v:shape style="position:absolute;left:1000;top:129;width:3000;height:460" coordorigin="1000,130" coordsize="3000,460" path="m1000,130l1040,150,1160,190,1200,210,1260,230,1420,230,1460,270,1520,270,1560,290,1620,310,1680,350,1720,390,1780,410,1820,450,1880,470,1920,510,1980,510,1980,530,2040,550,2080,550,2140,570,2180,570,2240,590,2300,570,2340,530,2400,530,2440,510,2560,430,2600,390,2660,350,2700,470,2760,390,2820,290,2860,270,2920,410,2960,350,3020,250,3080,250,3120,410,3180,290,3220,170,3280,210,3320,390,3380,330,3440,230,3480,230,3540,390,3580,350,3640,250,3700,230,3740,390,3800,290,3840,190,3900,170,3960,390,4000,350e" filled="false" stroked="true" strokeweight="1pt" strokecolor="#a790c4">
              <v:path arrowok="t"/>
              <v:stroke dashstyle="solid"/>
            </v:shape>
            <v:shape style="position:absolute;left:1000;top:669;width:3000;height:800" coordorigin="1000,670" coordsize="3000,800" path="m1000,670l1040,690,1160,730,1200,730,1260,750,1300,750,1360,770,1420,770,1460,810,1520,850,1560,870,1680,950,1720,990,1780,1030,1820,1070,1880,1090,1920,1130,1980,1150,2040,1190,2080,1190,2140,1210,2180,1210,2240,1230,2300,1210,2340,1190,2400,1170,2440,1150,2560,1110,2600,1090,2660,1070,2700,1210,2760,1130,2820,1170,2860,1090,2920,1270,2960,1210,3020,1110,3080,1110,3120,1290,3180,1190,3220,1090,3280,1150,3320,1430,3380,1270,3440,1190,3480,1190,3540,1370,3580,1350,3640,1270,3700,1270,3740,1470,3800,1350,3840,1250,3900,1250,3960,1470,4000,1410e" filled="false" stroked="true" strokeweight="1pt" strokecolor="#f7a08b">
              <v:path arrowok="t"/>
              <v:stroke dashstyle="solid"/>
            </v:shape>
            <v:shape style="position:absolute;left:1000;top:1529;width:3000;height:800" coordorigin="1000,1530" coordsize="3000,800" path="m1000,1530l1040,1550,1100,1550,1160,1570,1200,1570,1260,1590,1360,1590,1420,1610,1460,1650,1520,1670,1560,1710,1620,1730,1680,1770,1720,1790,1780,1810,1820,1830,1880,1870,1920,1890,2040,1930,2080,1950,2140,1970,2180,1990,2240,2010,2340,2010,2400,1990,2440,1990,2500,2010,2600,2010,2660,2030,2700,1930,2760,2030,2820,2050,2860,2090,2920,2030,2960,2110,3020,2070,3080,2110,3120,2050,3180,2130,3220,2110,3280,2150,3320,2190,3440,2150,3480,2190,3540,2130,3580,2230,3640,2250,3740,2250,3800,2270,3840,2250,3900,2270,3960,2230,4000,2330e" filled="false" stroked="true" strokeweight="1pt" strokecolor="#ed1b2d">
              <v:path arrowok="t"/>
              <v:stroke dashstyle="solid"/>
            </v:shape>
            <v:shape style="position:absolute;left:4060;top:89;width:80;height:2140" coordorigin="4060,90" coordsize="80,2140" path="m4140,2230l4060,2230m4140,1810l4060,1810m4140,1370l4060,1370m4140,950l4060,950m4140,510l4060,510m4140,90l4060,90e" filled="false" stroked="true" strokeweight=".5pt" strokecolor="#000000">
              <v:path arrowok="t"/>
              <v:stroke dashstyle="solid"/>
            </v:shape>
            <v:shape style="position:absolute;left:1770;top:192;width:864;height:133" type="#_x0000_t202" filled="false" stroked="false">
              <v:textbox inset="0,0,0,0">
                <w:txbxContent>
                  <w:p>
                    <w:pPr>
                      <w:spacing w:line="133" w:lineRule="exact" w:before="0"/>
                      <w:ind w:left="0" w:right="0" w:firstLine="0"/>
                      <w:jc w:val="left"/>
                      <w:rPr>
                        <w:sz w:val="12"/>
                      </w:rPr>
                    </w:pPr>
                    <w:r>
                      <w:rPr>
                        <w:sz w:val="12"/>
                      </w:rPr>
                      <w:t>Overall inactivity</w:t>
                    </w:r>
                  </w:p>
                </w:txbxContent>
              </v:textbox>
              <w10:wrap type="none"/>
            </v:shape>
            <v:shape style="position:absolute;left:1770;top:879;width:1530;height:133" type="#_x0000_t202" filled="false" stroked="false">
              <v:textbox inset="0,0,0,0">
                <w:txbxContent>
                  <w:p>
                    <w:pPr>
                      <w:spacing w:line="133" w:lineRule="exact" w:before="0"/>
                      <w:ind w:left="0" w:right="0" w:firstLine="0"/>
                      <w:jc w:val="left"/>
                      <w:rPr>
                        <w:sz w:val="12"/>
                      </w:rPr>
                    </w:pPr>
                    <w:r>
                      <w:rPr>
                        <w:sz w:val="12"/>
                      </w:rPr>
                      <w:t>Inactivity minus long-term sick</w:t>
                    </w:r>
                  </w:p>
                </w:txbxContent>
              </v:textbox>
              <w10:wrap type="none"/>
            </v:shape>
            <v:shape style="position:absolute;left:2110;top:1672;width:1560;height:253" type="#_x0000_t202" filled="false" stroked="false">
              <v:textbox inset="0,0,0,0">
                <w:txbxContent>
                  <w:p>
                    <w:pPr>
                      <w:spacing w:line="208" w:lineRule="auto" w:before="9"/>
                      <w:ind w:left="60" w:right="0" w:hanging="60"/>
                      <w:jc w:val="left"/>
                      <w:rPr>
                        <w:sz w:val="12"/>
                      </w:rPr>
                    </w:pPr>
                    <w:r>
                      <w:rPr>
                        <w:sz w:val="12"/>
                      </w:rPr>
                      <w:t>Inactivity minus long-term sick, students and retired</w:t>
                    </w:r>
                  </w:p>
                </w:txbxContent>
              </v:textbox>
              <w10:wrap type="none"/>
            </v:shape>
            <w10:wrap type="none"/>
          </v:group>
        </w:pict>
      </w:r>
      <w:r>
        <w:rPr>
          <w:sz w:val="12"/>
        </w:rPr>
        <w:t>22.5</w:t>
      </w:r>
    </w:p>
    <w:p>
      <w:pPr>
        <w:pStyle w:val="BodyText"/>
        <w:rPr>
          <w:sz w:val="12"/>
        </w:rPr>
      </w:pPr>
    </w:p>
    <w:p>
      <w:pPr>
        <w:pStyle w:val="BodyText"/>
        <w:spacing w:before="7"/>
        <w:rPr>
          <w:sz w:val="13"/>
        </w:rPr>
      </w:pPr>
    </w:p>
    <w:p>
      <w:pPr>
        <w:spacing w:before="0"/>
        <w:ind w:left="0" w:right="38" w:firstLine="0"/>
        <w:jc w:val="right"/>
        <w:rPr>
          <w:sz w:val="12"/>
        </w:rPr>
      </w:pPr>
      <w:r>
        <w:rPr>
          <w:sz w:val="12"/>
        </w:rPr>
        <w:t>20.0</w:t>
      </w:r>
    </w:p>
    <w:p>
      <w:pPr>
        <w:pStyle w:val="BodyText"/>
        <w:rPr>
          <w:sz w:val="12"/>
        </w:rPr>
      </w:pPr>
    </w:p>
    <w:p>
      <w:pPr>
        <w:pStyle w:val="BodyText"/>
        <w:spacing w:before="7"/>
        <w:rPr>
          <w:sz w:val="13"/>
        </w:rPr>
      </w:pPr>
    </w:p>
    <w:p>
      <w:pPr>
        <w:spacing w:before="0"/>
        <w:ind w:left="0" w:right="38" w:firstLine="0"/>
        <w:jc w:val="right"/>
        <w:rPr>
          <w:sz w:val="12"/>
        </w:rPr>
      </w:pPr>
      <w:r>
        <w:rPr>
          <w:sz w:val="12"/>
        </w:rPr>
        <w:t>17.5</w:t>
      </w:r>
    </w:p>
    <w:p>
      <w:pPr>
        <w:pStyle w:val="BodyText"/>
        <w:rPr>
          <w:sz w:val="12"/>
        </w:rPr>
      </w:pPr>
    </w:p>
    <w:p>
      <w:pPr>
        <w:pStyle w:val="BodyText"/>
        <w:spacing w:before="7"/>
        <w:rPr>
          <w:sz w:val="13"/>
        </w:rPr>
      </w:pPr>
    </w:p>
    <w:p>
      <w:pPr>
        <w:spacing w:before="0"/>
        <w:ind w:left="0" w:right="38" w:firstLine="0"/>
        <w:jc w:val="right"/>
        <w:rPr>
          <w:sz w:val="12"/>
        </w:rPr>
      </w:pPr>
      <w:r>
        <w:rPr>
          <w:sz w:val="12"/>
        </w:rPr>
        <w:t>15.0</w:t>
      </w:r>
    </w:p>
    <w:p>
      <w:pPr>
        <w:pStyle w:val="BodyText"/>
        <w:rPr>
          <w:sz w:val="12"/>
        </w:rPr>
      </w:pPr>
    </w:p>
    <w:p>
      <w:pPr>
        <w:pStyle w:val="BodyText"/>
        <w:spacing w:before="7"/>
        <w:rPr>
          <w:sz w:val="13"/>
        </w:rPr>
      </w:pPr>
    </w:p>
    <w:p>
      <w:pPr>
        <w:spacing w:before="0"/>
        <w:ind w:left="0" w:right="38" w:firstLine="0"/>
        <w:jc w:val="right"/>
        <w:rPr>
          <w:sz w:val="12"/>
        </w:rPr>
      </w:pPr>
      <w:r>
        <w:rPr>
          <w:sz w:val="12"/>
        </w:rPr>
        <w:t>12.5</w:t>
      </w:r>
    </w:p>
    <w:p>
      <w:pPr>
        <w:pStyle w:val="BodyText"/>
        <w:rPr>
          <w:sz w:val="12"/>
        </w:rPr>
      </w:pPr>
    </w:p>
    <w:p>
      <w:pPr>
        <w:pStyle w:val="BodyText"/>
        <w:spacing w:before="7"/>
        <w:rPr>
          <w:sz w:val="13"/>
        </w:rPr>
      </w:pPr>
    </w:p>
    <w:p>
      <w:pPr>
        <w:spacing w:before="0"/>
        <w:ind w:left="0" w:right="38" w:firstLine="0"/>
        <w:jc w:val="right"/>
        <w:rPr>
          <w:sz w:val="12"/>
        </w:rPr>
      </w:pPr>
      <w:r>
        <w:rPr>
          <w:sz w:val="12"/>
        </w:rPr>
        <w:t>10.0</w:t>
      </w:r>
    </w:p>
    <w:p>
      <w:pPr>
        <w:pStyle w:val="BodyText"/>
        <w:rPr>
          <w:sz w:val="12"/>
        </w:rPr>
      </w:pPr>
    </w:p>
    <w:p>
      <w:pPr>
        <w:pStyle w:val="BodyText"/>
        <w:spacing w:before="7"/>
        <w:rPr>
          <w:sz w:val="13"/>
        </w:rPr>
      </w:pPr>
    </w:p>
    <w:p>
      <w:pPr>
        <w:spacing w:line="80" w:lineRule="exact" w:before="0"/>
        <w:ind w:left="0" w:right="38" w:firstLine="0"/>
        <w:jc w:val="right"/>
        <w:rPr>
          <w:sz w:val="12"/>
        </w:rPr>
      </w:pPr>
      <w:r>
        <w:rPr/>
        <w:pict>
          <v:group style="position:absolute;margin-left:41pt;margin-top:3.45557pt;width:167.35pt;height:8.6pt;mso-position-horizontal-relative:page;mso-position-vertical-relative:paragraph;z-index:15972352" coordorigin="820,69" coordsize="3347,172">
            <v:shape style="position:absolute;left:820;top:75;width:3320;height:160" coordorigin="820,75" coordsize="3320,160" path="m920,75l820,75m1000,235l4000,235m1000,235l1000,175m1040,235l1040,175m1090,235l1090,175m1140,235l1140,175m1200,235l1200,175m1260,235l1260,175m1310,235l1310,175m1360,235l1360,175m1400,235l1400,175m1460,235l1460,175m1510,235l1510,175m1560,235l1560,175m1620,235l1620,175m1660,235l1660,175m1720,235l1720,175m1780,235l1780,175m1820,235l1820,175m1880,235l1880,175m1930,235l1930,175m1980,235l1980,175m2040,235l2040,175m2080,235l2080,175m2130,235l2130,175m2180,235l2180,175m2240,235l2240,175m2300,235l2300,175m2350,235l2350,175m2400,235l2400,175m2440,235l2440,175m2500,235l2500,175m2550,235l2550,175m2600,235l2600,175m2660,235l2660,175m2700,235l2700,175m2760,235l2760,175m2820,235l2820,175m2860,235l2860,175m2920,235l2920,175m2970,235l2970,175m3020,235l3020,175m3080,235l3080,175m3120,235l3120,175m3170,235l3170,175m3220,235l3220,175m3280,235l3280,175m3340,235l3340,175m3390,235l3390,175m3440,235l3440,175m3480,235l3480,175m3540,235l3540,175m3590,235l3590,175m3640,235l3640,175m3700,235l3700,175m3740,235l3740,175m3800,235l3800,175m3860,235l3860,175m3900,235l3900,175m3960,235l3960,175m4000,235l4000,175m1000,235l1000,135m1200,235l1200,135m1400,235l1400,135m1620,235l1620,135m1820,235l1820,135m2040,235l2040,135m2240,235l2240,135m2440,235l2440,135m2660,235l2660,135m2860,235l2860,135m3080,235l3080,135m3280,235l3280,135m3480,235l3480,135m3700,235l3700,135m3900,235l3900,135m4140,75l4060,75m4140,235l4060,235m1043,235l820,235e" filled="false" stroked="true" strokeweight=".5pt" strokecolor="#000000">
              <v:path arrowok="t"/>
              <v:stroke dashstyle="solid"/>
            </v:shape>
            <v:shape style="position:absolute;left:901;top:74;width:3260;height:162" coordorigin="902,74" coordsize="3260,162" path="m4142,78l4142,119,4122,135,4162,149,4122,169,4162,185,4139,195,4138,235m922,74l922,115,902,131,942,145,902,165,942,182,919,192,918,232e" filled="false" stroked="true" strokeweight=".5pt" strokecolor="#000000">
              <v:path arrowok="t"/>
              <v:stroke dashstyle="solid"/>
            </v:shape>
            <w10:wrap type="none"/>
          </v:group>
        </w:pict>
      </w:r>
      <w:r>
        <w:rPr>
          <w:sz w:val="12"/>
        </w:rPr>
        <w:t>7.5</w:t>
      </w:r>
    </w:p>
    <w:p>
      <w:pPr>
        <w:pStyle w:val="Heading4"/>
        <w:spacing w:before="4"/>
        <w:ind w:left="173"/>
      </w:pPr>
      <w:r>
        <w:rPr/>
        <w:br w:type="column"/>
      </w:r>
      <w:r>
        <w:rPr/>
        <w:t>employment is largely accounted for by falling inactivity.</w:t>
      </w:r>
    </w:p>
    <w:p>
      <w:pPr>
        <w:pStyle w:val="BodyText"/>
        <w:spacing w:before="8"/>
        <w:rPr>
          <w:sz w:val="24"/>
        </w:rPr>
      </w:pPr>
    </w:p>
    <w:p>
      <w:pPr>
        <w:spacing w:line="242" w:lineRule="auto" w:before="0"/>
        <w:ind w:left="173" w:right="194" w:firstLine="0"/>
        <w:jc w:val="left"/>
        <w:rPr>
          <w:sz w:val="24"/>
        </w:rPr>
      </w:pPr>
      <w:r>
        <w:rPr>
          <w:sz w:val="24"/>
        </w:rPr>
        <w:t>Inactivity fell by 36,000 in the three months to November, and by 0.9% on a year earlier. This reflects a fall in the number of people not wanting a job, including, among other things, an increase in part-time work by women not previously counted as part of the labour force. Overall inactivity rates have been largely unchanged since 1992. But when allowances are made for the long-term sick, the early retired and students, inactivity rates have been falling (see Chart 3.7). The decline in inactivity rates, adjusted for those factors, is consistent with continuing labour market tightness.</w:t>
      </w:r>
    </w:p>
    <w:p>
      <w:pPr>
        <w:pStyle w:val="BodyText"/>
        <w:spacing w:before="6"/>
        <w:rPr>
          <w:sz w:val="25"/>
        </w:rPr>
      </w:pPr>
    </w:p>
    <w:p>
      <w:pPr>
        <w:spacing w:line="242" w:lineRule="auto" w:before="0"/>
        <w:ind w:left="173" w:right="302" w:firstLine="0"/>
        <w:jc w:val="left"/>
        <w:rPr>
          <w:sz w:val="24"/>
        </w:rPr>
      </w:pPr>
      <w:r>
        <w:rPr>
          <w:sz w:val="24"/>
        </w:rPr>
        <w:t>Labour usage, as measured by total hours worked per week, rose by 0.1% in the three months to November, and by 0.3% on a year earlier. Employment growth has outpaced the growth in total hours worked, so average hours worked per head have fallen. This is consistent</w:t>
      </w:r>
    </w:p>
    <w:p>
      <w:pPr>
        <w:spacing w:after="0" w:line="242" w:lineRule="auto"/>
        <w:jc w:val="left"/>
        <w:rPr>
          <w:sz w:val="24"/>
        </w:rPr>
        <w:sectPr>
          <w:type w:val="continuous"/>
          <w:pgSz w:w="11900" w:h="16840"/>
          <w:pgMar w:top="1220" w:bottom="280" w:left="640" w:right="600"/>
          <w:cols w:num="2" w:equalWidth="0">
            <w:col w:w="3801" w:space="993"/>
            <w:col w:w="5866"/>
          </w:cols>
        </w:sectPr>
      </w:pPr>
    </w:p>
    <w:p>
      <w:pPr>
        <w:pStyle w:val="BodyText"/>
        <w:spacing w:before="7"/>
        <w:rPr>
          <w:sz w:val="14"/>
        </w:rPr>
      </w:pPr>
    </w:p>
    <w:p>
      <w:pPr>
        <w:tabs>
          <w:tab w:pos="809" w:val="left" w:leader="none"/>
          <w:tab w:pos="1224" w:val="left" w:leader="none"/>
          <w:tab w:pos="1644" w:val="left" w:leader="none"/>
          <w:tab w:pos="2079" w:val="left" w:leader="none"/>
          <w:tab w:pos="2469" w:val="left" w:leader="none"/>
          <w:tab w:pos="2884" w:val="left" w:leader="none"/>
          <w:tab w:pos="3259" w:val="left" w:leader="none"/>
        </w:tabs>
        <w:spacing w:before="1"/>
        <w:ind w:left="334" w:right="0" w:firstLine="0"/>
        <w:jc w:val="left"/>
        <w:rPr>
          <w:sz w:val="12"/>
        </w:rPr>
      </w:pPr>
      <w:r>
        <w:rPr>
          <w:sz w:val="12"/>
        </w:rPr>
        <w:t>1984</w:t>
        <w:tab/>
        <w:t>86</w:t>
        <w:tab/>
        <w:t>88</w:t>
        <w:tab/>
        <w:t>90</w:t>
        <w:tab/>
        <w:t>92</w:t>
        <w:tab/>
        <w:t>94</w:t>
        <w:tab/>
        <w:t>96</w:t>
        <w:tab/>
      </w:r>
      <w:r>
        <w:rPr>
          <w:spacing w:val="-10"/>
          <w:sz w:val="12"/>
        </w:rPr>
        <w:t>98</w:t>
      </w:r>
    </w:p>
    <w:p>
      <w:pPr>
        <w:pStyle w:val="BodyText"/>
        <w:spacing w:before="11"/>
        <w:rPr>
          <w:sz w:val="12"/>
        </w:rPr>
      </w:pPr>
    </w:p>
    <w:p>
      <w:pPr>
        <w:spacing w:line="104" w:lineRule="exact" w:before="0"/>
        <w:ind w:left="180" w:right="0" w:firstLine="0"/>
        <w:jc w:val="left"/>
        <w:rPr>
          <w:sz w:val="12"/>
        </w:rPr>
      </w:pPr>
      <w:r>
        <w:rPr>
          <w:sz w:val="12"/>
        </w:rPr>
        <w:t>Sources: ONS and Bank of England.</w:t>
      </w:r>
    </w:p>
    <w:p>
      <w:pPr>
        <w:spacing w:before="80"/>
        <w:ind w:left="180" w:right="0" w:firstLine="0"/>
        <w:jc w:val="left"/>
        <w:rPr>
          <w:sz w:val="12"/>
        </w:rPr>
      </w:pPr>
      <w:r>
        <w:rPr/>
        <w:br w:type="column"/>
      </w:r>
      <w:r>
        <w:rPr>
          <w:sz w:val="12"/>
        </w:rPr>
        <w:t>0.0</w:t>
      </w:r>
    </w:p>
    <w:p>
      <w:pPr>
        <w:pStyle w:val="Heading4"/>
        <w:spacing w:line="242" w:lineRule="auto"/>
        <w:ind w:left="180" w:right="235"/>
      </w:pPr>
      <w:r>
        <w:rPr/>
        <w:br w:type="column"/>
      </w:r>
      <w:r>
        <w:rPr/>
        <w:t>with both a rise in part-time work and a fall in overtime. So earnings per hour may have been growing by more</w:t>
      </w:r>
    </w:p>
    <w:p>
      <w:pPr>
        <w:spacing w:after="0" w:line="242" w:lineRule="auto"/>
        <w:sectPr>
          <w:type w:val="continuous"/>
          <w:pgSz w:w="11900" w:h="16840"/>
          <w:pgMar w:top="1220" w:bottom="280" w:left="640" w:right="600"/>
          <w:cols w:num="3" w:equalWidth="0">
            <w:col w:w="3380" w:space="50"/>
            <w:col w:w="371" w:space="987"/>
            <w:col w:w="5872"/>
          </w:cols>
        </w:sectPr>
      </w:pPr>
    </w:p>
    <w:p>
      <w:pPr>
        <w:pStyle w:val="BodyText"/>
        <w:spacing w:before="1"/>
        <w:rPr>
          <w:sz w:val="13"/>
        </w:rPr>
      </w:pPr>
    </w:p>
    <w:p>
      <w:pPr>
        <w:spacing w:line="208" w:lineRule="auto" w:before="1"/>
        <w:ind w:left="420" w:right="0" w:hanging="240"/>
        <w:jc w:val="left"/>
        <w:rPr>
          <w:sz w:val="12"/>
        </w:rPr>
      </w:pPr>
      <w:r>
        <w:rPr>
          <w:sz w:val="12"/>
        </w:rPr>
        <w:t>(a) Data refer to Great Britain only. Based on non seasonally adjusted annual data before 1992 and quarterly data thereafter. The data have been adjusted for a discontinuity in the series in 1992.</w:t>
      </w:r>
    </w:p>
    <w:p>
      <w:pPr>
        <w:pStyle w:val="Heading4"/>
        <w:spacing w:line="266" w:lineRule="exact"/>
        <w:ind w:left="180"/>
      </w:pPr>
      <w:r>
        <w:rPr/>
        <w:br w:type="column"/>
      </w:r>
      <w:r>
        <w:rPr/>
        <w:t>than earnings per head.</w:t>
      </w:r>
    </w:p>
    <w:p>
      <w:pPr>
        <w:pStyle w:val="BodyText"/>
        <w:spacing w:before="8"/>
        <w:rPr>
          <w:sz w:val="24"/>
        </w:rPr>
      </w:pPr>
    </w:p>
    <w:p>
      <w:pPr>
        <w:spacing w:line="242" w:lineRule="auto" w:before="0"/>
        <w:ind w:left="180" w:right="330" w:firstLine="0"/>
        <w:jc w:val="left"/>
        <w:rPr>
          <w:sz w:val="24"/>
        </w:rPr>
      </w:pPr>
      <w:r>
        <w:rPr>
          <w:sz w:val="24"/>
        </w:rPr>
        <w:t>The continued growth of employment, in the face of slowing output growth, has meant that measured productivity growth, per hour or per head, has fallen. Whole-economy measured productivity growth rose by 1.6% in the year to 1998 Q3. Productivity growth since 1995 has averaged around 1.6%, below its long-run</w:t>
      </w:r>
    </w:p>
    <w:p>
      <w:pPr>
        <w:spacing w:after="0" w:line="242" w:lineRule="auto"/>
        <w:jc w:val="left"/>
        <w:rPr>
          <w:sz w:val="24"/>
        </w:rPr>
        <w:sectPr>
          <w:type w:val="continuous"/>
          <w:pgSz w:w="11900" w:h="16840"/>
          <w:pgMar w:top="1220" w:bottom="280" w:left="640" w:right="600"/>
          <w:cols w:num="2" w:equalWidth="0">
            <w:col w:w="3765" w:space="1022"/>
            <w:col w:w="5873"/>
          </w:cols>
        </w:sectPr>
      </w:pPr>
    </w:p>
    <w:p>
      <w:pPr>
        <w:pStyle w:val="BodyText"/>
        <w:rPr>
          <w:sz w:val="20"/>
        </w:rPr>
      </w:pPr>
    </w:p>
    <w:p>
      <w:pPr>
        <w:spacing w:after="0"/>
        <w:rPr>
          <w:sz w:val="20"/>
        </w:rPr>
        <w:sectPr>
          <w:headerReference w:type="default" r:id="rId80"/>
          <w:headerReference w:type="even" r:id="rId81"/>
          <w:footerReference w:type="default" r:id="rId82"/>
          <w:footerReference w:type="even" r:id="rId83"/>
          <w:pgSz w:w="11900" w:h="16840"/>
          <w:pgMar w:header="586" w:footer="1030" w:top="780" w:bottom="1220" w:left="640" w:right="600"/>
        </w:sectPr>
      </w:pPr>
    </w:p>
    <w:p>
      <w:pPr>
        <w:pStyle w:val="BodyText"/>
        <w:spacing w:before="11"/>
        <w:rPr>
          <w:sz w:val="19"/>
        </w:rPr>
      </w:pPr>
    </w:p>
    <w:p>
      <w:pPr>
        <w:pStyle w:val="Heading7"/>
        <w:spacing w:before="0"/>
      </w:pPr>
      <w:r>
        <w:rPr>
          <w:color w:val="0093C1"/>
        </w:rPr>
        <w:t>Chart 3.8</w:t>
      </w:r>
    </w:p>
    <w:p>
      <w:pPr>
        <w:spacing w:line="249" w:lineRule="auto" w:before="10"/>
        <w:ind w:left="180" w:right="0" w:firstLine="0"/>
        <w:jc w:val="left"/>
        <w:rPr>
          <w:sz w:val="12"/>
        </w:rPr>
      </w:pPr>
      <w:r>
        <w:rPr>
          <w:b/>
          <w:color w:val="0093C1"/>
          <w:sz w:val="20"/>
        </w:rPr>
        <w:t>Whole-economy measured </w:t>
      </w:r>
      <w:r>
        <w:rPr>
          <w:b/>
          <w:color w:val="0093C1"/>
          <w:spacing w:val="-2"/>
          <w:sz w:val="20"/>
        </w:rPr>
        <w:t>productivity </w:t>
      </w:r>
      <w:r>
        <w:rPr>
          <w:b/>
          <w:color w:val="0093C1"/>
          <w:sz w:val="20"/>
        </w:rPr>
        <w:t>growth</w:t>
      </w:r>
      <w:r>
        <w:rPr>
          <w:position w:val="4"/>
          <w:sz w:val="12"/>
        </w:rPr>
        <w:t>(a)</w:t>
      </w:r>
    </w:p>
    <w:p>
      <w:pPr>
        <w:spacing w:before="96"/>
        <w:ind w:left="1785" w:right="0" w:firstLine="0"/>
        <w:jc w:val="left"/>
        <w:rPr>
          <w:sz w:val="12"/>
        </w:rPr>
      </w:pPr>
      <w:r>
        <w:rPr/>
        <w:pict>
          <v:line style="position:absolute;mso-position-horizontal-relative:page;mso-position-vertical-relative:paragraph;z-index:15980544" from="47.5pt,12.901547pt" to="43.5pt,12.901547pt" stroked="true" strokeweight=".5pt" strokecolor="#000000">
            <v:stroke dashstyle="solid"/>
            <w10:wrap type="none"/>
          </v:line>
        </w:pict>
      </w:r>
      <w:r>
        <w:rPr/>
        <w:pict>
          <v:line style="position:absolute;mso-position-horizontal-relative:page;mso-position-vertical-relative:paragraph;z-index:-21037056" from="208.5pt,12.901547pt" to="203.5pt,12.901547pt" stroked="true" strokeweight=".5pt" strokecolor="#000000">
            <v:stroke dashstyle="solid"/>
            <w10:wrap type="none"/>
          </v:line>
        </w:pict>
      </w:r>
      <w:r>
        <w:rPr>
          <w:sz w:val="12"/>
        </w:rPr>
        <w:t>Percentage changes on a year earlier </w:t>
      </w:r>
      <w:r>
        <w:rPr>
          <w:spacing w:val="15"/>
          <w:sz w:val="12"/>
        </w:rPr>
        <w:t> </w:t>
      </w:r>
      <w:r>
        <w:rPr>
          <w:position w:val="-7"/>
          <w:sz w:val="12"/>
        </w:rPr>
        <w:t>7</w:t>
      </w:r>
    </w:p>
    <w:p>
      <w:pPr>
        <w:spacing w:before="135"/>
        <w:ind w:left="0" w:right="38" w:firstLine="0"/>
        <w:jc w:val="right"/>
        <w:rPr>
          <w:sz w:val="12"/>
        </w:rPr>
      </w:pPr>
      <w:r>
        <w:rPr/>
        <w:pict>
          <v:group style="position:absolute;margin-left:43.5pt;margin-top:7.714585pt;width:165pt;height:139.75pt;mso-position-horizontal-relative:page;mso-position-vertical-relative:paragraph;z-index:15980032" coordorigin="870,154" coordsize="3300,2795">
            <v:line style="position:absolute" from="1010,1844" to="4030,1844" stroked="true" strokeweight=".5pt" strokecolor="#000000">
              <v:stroke dashstyle="solid"/>
            </v:line>
            <v:line style="position:absolute" from="1010,1284" to="4030,1284" stroked="true" strokeweight=".5pt" strokecolor="#000000">
              <v:stroke dashstyle="dash"/>
            </v:line>
            <v:shape style="position:absolute;left:1010;top:164;width:3020;height:2640" coordorigin="1010,164" coordsize="3020,2640" path="m1010,1744l1050,2804,1090,2164,1130,2324,1170,1884,1210,1324,1270,864,1310,564,1350,644,1390,544,1430,884,1470,784,1510,164,1550,764,1590,864,1630,1064,1670,1664,1710,2064,1750,2344,1790,2184,1830,1904,1870,804,1910,844,1950,984,1990,984,2030,1164,2070,804,2110,684,2150,1064,2190,1284,2230,1224,2270,1524,2310,1324,2350,1584,2390,1644,2450,1584,2470,1984,2530,1964,2570,2184,2610,2164,2650,1764,2690,1664,2730,1824,2770,1804,2810,1764,2850,1584,2890,1124,2930,944,2970,1024,3010,1144,3050,944,3130,784,3170,804,3210,1024,3250,1204,3290,1064,3330,764,3370,784,3410,784,3450,1004,3490,1364,3530,1464,3570,1544,3630,1404,3650,1384,3710,1464,3730,1444,3790,1544,3830,1504,3870,1384,3910,1384,3950,1504,3990,1404,4030,1404e" filled="false" stroked="true" strokeweight="1pt" strokecolor="#952e40">
              <v:path arrowok="t"/>
              <v:stroke dashstyle="solid"/>
            </v:shape>
            <v:shape style="position:absolute;left:870;top:204;width:3300;height:2740" coordorigin="870,204" coordsize="3300,2740" path="m950,2124l870,2124m950,2404l870,2404m950,2684l870,2684m950,1844l870,1844m950,1584l870,1584m950,1304l870,1304m950,1024l870,1024m950,764l870,764m950,484l870,484m950,204l870,204m4170,2124l4070,2124m4170,2404l4070,2404m4170,2684l4070,2684m4170,1844l4070,1844m4170,1584l4070,1584m4170,1304l4070,1304m4170,1024l4070,1024m4170,764l4070,764m4170,484l4070,484m4170,204l4070,204m950,2944l870,2944m4170,2944l4070,2944m1010,2944l4030,2944m1010,2944l1010,2904m1170,2944l1170,2904m1350,2944l1350,2904m1510,2944l1510,2904m1670,2944l1670,2904m1830,2944l1830,2904m1990,2944l1990,2904m2150,2944l2150,2904m2310,2944l2310,2904m2470,2944l2470,2904m2650,2944l2650,2904m2810,2944l2810,2904m2970,2944l2970,2904m3130,2944l3130,2904m3290,2944l3290,2904m3450,2944l3450,2904m3610,2944l3610,2904m3790,2944l3790,2904m3950,2944l3950,2904m1010,2944l1010,2844m1830,2944l1830,2844m2650,2944l2650,2844m3450,2944l3450,2844e" filled="false" stroked="true" strokeweight=".5pt" strokecolor="#000000">
              <v:path arrowok="t"/>
              <v:stroke dashstyle="solid"/>
            </v:shape>
            <v:line style="position:absolute" from="2527,586" to="2527,1186" stroked="true" strokeweight=".5pt" strokecolor="#000000">
              <v:stroke dashstyle="solid"/>
            </v:line>
            <v:shape style="position:absolute;left:2501;top:1169;width:51;height:85" coordorigin="2502,1169" coordsize="51,85" path="m2552,1169l2502,1169,2508,1185,2513,1197,2527,1254,2528,1245,2531,1234,2534,1222,2537,1210,2541,1198,2552,1169xe" filled="true" fillcolor="#000000" stroked="false">
              <v:path arrowok="t"/>
              <v:fill type="solid"/>
            </v:shape>
            <v:shape style="position:absolute;left:2160;top:327;width:877;height:253" type="#_x0000_t202" filled="false" stroked="false">
              <v:textbox inset="0,0,0,0">
                <w:txbxContent>
                  <w:p>
                    <w:pPr>
                      <w:spacing w:line="208" w:lineRule="auto" w:before="9"/>
                      <w:ind w:left="60" w:right="0" w:hanging="60"/>
                      <w:jc w:val="left"/>
                      <w:rPr>
                        <w:sz w:val="12"/>
                      </w:rPr>
                    </w:pPr>
                    <w:r>
                      <w:rPr>
                        <w:sz w:val="12"/>
                      </w:rPr>
                      <w:t>Long-run average (1960–98)</w:t>
                    </w:r>
                  </w:p>
                </w:txbxContent>
              </v:textbox>
              <w10:wrap type="none"/>
            </v:shape>
            <v:shape style="position:absolute;left:1010;top:1231;width:3040;height:133" type="#_x0000_t202" filled="false" stroked="false">
              <v:textbox inset="0,0,0,0">
                <w:txbxContent>
                  <w:p>
                    <w:pPr>
                      <w:tabs>
                        <w:tab w:pos="3019" w:val="left" w:leader="none"/>
                      </w:tabs>
                      <w:spacing w:line="133" w:lineRule="exact" w:before="0"/>
                      <w:ind w:left="0" w:right="0" w:firstLine="0"/>
                      <w:jc w:val="left"/>
                      <w:rPr>
                        <w:sz w:val="12"/>
                      </w:rPr>
                    </w:pPr>
                    <w:r>
                      <w:rPr>
                        <w:sz w:val="12"/>
                      </w:rPr>
                      <w:t> </w:t>
                      <w:tab/>
                    </w:r>
                  </w:p>
                </w:txbxContent>
              </v:textbox>
              <w10:wrap type="none"/>
            </v:shape>
            <w10:wrap type="none"/>
          </v:group>
        </w:pict>
      </w:r>
      <w:r>
        <w:rPr>
          <w:sz w:val="12"/>
        </w:rPr>
        <w:t>6</w:t>
      </w:r>
    </w:p>
    <w:p>
      <w:pPr>
        <w:pStyle w:val="BodyText"/>
        <w:spacing w:before="8"/>
        <w:rPr>
          <w:sz w:val="11"/>
        </w:rPr>
      </w:pPr>
    </w:p>
    <w:p>
      <w:pPr>
        <w:spacing w:before="0"/>
        <w:ind w:left="0" w:right="38" w:firstLine="0"/>
        <w:jc w:val="right"/>
        <w:rPr>
          <w:sz w:val="12"/>
        </w:rPr>
      </w:pPr>
      <w:r>
        <w:rPr>
          <w:sz w:val="12"/>
        </w:rPr>
        <w:t>5</w:t>
      </w:r>
    </w:p>
    <w:p>
      <w:pPr>
        <w:pStyle w:val="BodyText"/>
        <w:spacing w:before="8"/>
        <w:rPr>
          <w:sz w:val="11"/>
        </w:rPr>
      </w:pPr>
    </w:p>
    <w:p>
      <w:pPr>
        <w:spacing w:before="1"/>
        <w:ind w:left="0" w:right="38" w:firstLine="0"/>
        <w:jc w:val="right"/>
        <w:rPr>
          <w:sz w:val="12"/>
        </w:rPr>
      </w:pPr>
      <w:r>
        <w:rPr>
          <w:sz w:val="12"/>
        </w:rPr>
        <w:t>4</w:t>
      </w:r>
    </w:p>
    <w:p>
      <w:pPr>
        <w:pStyle w:val="BodyText"/>
        <w:spacing w:before="8"/>
        <w:rPr>
          <w:sz w:val="11"/>
        </w:rPr>
      </w:pPr>
    </w:p>
    <w:p>
      <w:pPr>
        <w:spacing w:before="0"/>
        <w:ind w:left="0" w:right="38" w:firstLine="0"/>
        <w:jc w:val="right"/>
        <w:rPr>
          <w:sz w:val="12"/>
        </w:rPr>
      </w:pPr>
      <w:r>
        <w:rPr>
          <w:sz w:val="12"/>
        </w:rPr>
        <w:t>3</w:t>
      </w:r>
    </w:p>
    <w:p>
      <w:pPr>
        <w:pStyle w:val="BodyText"/>
        <w:spacing w:before="8"/>
        <w:rPr>
          <w:sz w:val="11"/>
        </w:rPr>
      </w:pPr>
    </w:p>
    <w:p>
      <w:pPr>
        <w:spacing w:before="0"/>
        <w:ind w:left="0" w:right="38" w:firstLine="0"/>
        <w:jc w:val="right"/>
        <w:rPr>
          <w:sz w:val="12"/>
        </w:rPr>
      </w:pPr>
      <w:r>
        <w:rPr>
          <w:sz w:val="12"/>
        </w:rPr>
        <w:t>2</w:t>
      </w:r>
    </w:p>
    <w:p>
      <w:pPr>
        <w:pStyle w:val="BodyText"/>
        <w:spacing w:before="8"/>
        <w:rPr>
          <w:sz w:val="11"/>
        </w:rPr>
      </w:pPr>
    </w:p>
    <w:p>
      <w:pPr>
        <w:spacing w:line="119" w:lineRule="exact" w:before="0"/>
        <w:ind w:left="3610" w:right="0" w:firstLine="0"/>
        <w:jc w:val="left"/>
        <w:rPr>
          <w:sz w:val="12"/>
        </w:rPr>
      </w:pPr>
      <w:r>
        <w:rPr>
          <w:sz w:val="12"/>
        </w:rPr>
        <w:t>1</w:t>
      </w:r>
    </w:p>
    <w:p>
      <w:pPr>
        <w:spacing w:line="159" w:lineRule="exact" w:before="0"/>
        <w:ind w:left="3513" w:right="0" w:firstLine="0"/>
        <w:jc w:val="left"/>
        <w:rPr>
          <w:sz w:val="16"/>
        </w:rPr>
      </w:pPr>
      <w:r>
        <w:rPr>
          <w:sz w:val="16"/>
        </w:rPr>
        <w:t>+</w:t>
      </w:r>
    </w:p>
    <w:p>
      <w:pPr>
        <w:spacing w:line="170" w:lineRule="auto" w:before="15"/>
        <w:ind w:left="3523" w:right="0" w:firstLine="0"/>
        <w:jc w:val="left"/>
        <w:rPr>
          <w:sz w:val="12"/>
        </w:rPr>
      </w:pPr>
      <w:r>
        <w:rPr>
          <w:spacing w:val="3"/>
          <w:position w:val="-7"/>
          <w:sz w:val="16"/>
        </w:rPr>
        <w:t>_</w:t>
      </w:r>
      <w:r>
        <w:rPr>
          <w:spacing w:val="3"/>
          <w:sz w:val="12"/>
        </w:rPr>
        <w:t>0</w:t>
      </w:r>
    </w:p>
    <w:p>
      <w:pPr>
        <w:spacing w:before="79"/>
        <w:ind w:left="0" w:right="38" w:firstLine="0"/>
        <w:jc w:val="right"/>
        <w:rPr>
          <w:sz w:val="12"/>
        </w:rPr>
      </w:pPr>
      <w:r>
        <w:rPr>
          <w:sz w:val="12"/>
        </w:rPr>
        <w:t>1</w:t>
      </w:r>
    </w:p>
    <w:p>
      <w:pPr>
        <w:pStyle w:val="BodyText"/>
        <w:spacing w:before="8"/>
        <w:rPr>
          <w:sz w:val="11"/>
        </w:rPr>
      </w:pPr>
    </w:p>
    <w:p>
      <w:pPr>
        <w:spacing w:before="0"/>
        <w:ind w:left="0" w:right="38" w:firstLine="0"/>
        <w:jc w:val="right"/>
        <w:rPr>
          <w:sz w:val="12"/>
        </w:rPr>
      </w:pPr>
      <w:r>
        <w:rPr>
          <w:sz w:val="12"/>
        </w:rPr>
        <w:t>2</w:t>
      </w:r>
    </w:p>
    <w:p>
      <w:pPr>
        <w:pStyle w:val="BodyText"/>
        <w:spacing w:before="9"/>
        <w:rPr>
          <w:sz w:val="11"/>
        </w:rPr>
      </w:pPr>
    </w:p>
    <w:p>
      <w:pPr>
        <w:spacing w:before="0"/>
        <w:ind w:left="0" w:right="38" w:firstLine="0"/>
        <w:jc w:val="right"/>
        <w:rPr>
          <w:sz w:val="12"/>
        </w:rPr>
      </w:pPr>
      <w:r>
        <w:rPr>
          <w:sz w:val="12"/>
        </w:rPr>
        <w:t>3</w:t>
      </w:r>
    </w:p>
    <w:p>
      <w:pPr>
        <w:pStyle w:val="BodyText"/>
        <w:spacing w:before="8"/>
        <w:rPr>
          <w:sz w:val="11"/>
        </w:rPr>
      </w:pPr>
    </w:p>
    <w:p>
      <w:pPr>
        <w:spacing w:line="122" w:lineRule="exact" w:before="0"/>
        <w:ind w:left="3610" w:right="0" w:firstLine="0"/>
        <w:jc w:val="left"/>
        <w:rPr>
          <w:sz w:val="12"/>
        </w:rPr>
      </w:pPr>
      <w:r>
        <w:rPr>
          <w:sz w:val="12"/>
        </w:rPr>
        <w:t>4</w:t>
      </w:r>
    </w:p>
    <w:p>
      <w:pPr>
        <w:tabs>
          <w:tab w:pos="1219" w:val="left" w:leader="none"/>
          <w:tab w:pos="2053" w:val="left" w:leader="none"/>
          <w:tab w:pos="2839" w:val="left" w:leader="none"/>
        </w:tabs>
        <w:spacing w:line="122" w:lineRule="exact" w:before="0"/>
        <w:ind w:left="286" w:right="0" w:firstLine="0"/>
        <w:jc w:val="left"/>
        <w:rPr>
          <w:sz w:val="12"/>
        </w:rPr>
      </w:pPr>
      <w:r>
        <w:rPr>
          <w:sz w:val="12"/>
        </w:rPr>
        <w:t>1980</w:t>
        <w:tab/>
        <w:t>85</w:t>
        <w:tab/>
        <w:t>90</w:t>
        <w:tab/>
        <w:t>95</w:t>
      </w:r>
    </w:p>
    <w:p>
      <w:pPr>
        <w:spacing w:before="3"/>
        <w:ind w:left="190" w:right="0" w:firstLine="0"/>
        <w:jc w:val="left"/>
        <w:rPr>
          <w:sz w:val="12"/>
        </w:rPr>
      </w:pPr>
      <w:r>
        <w:rPr>
          <w:sz w:val="12"/>
        </w:rPr>
        <w:t>Source: ONS.</w:t>
      </w:r>
    </w:p>
    <w:p>
      <w:pPr>
        <w:spacing w:before="102"/>
        <w:ind w:left="190" w:right="0" w:firstLine="0"/>
        <w:jc w:val="left"/>
        <w:rPr>
          <w:sz w:val="12"/>
        </w:rPr>
      </w:pPr>
      <w:r>
        <w:rPr>
          <w:sz w:val="12"/>
        </w:rPr>
        <w:t>(a) Defined as output divided by Workforce jobs.</w:t>
      </w:r>
    </w:p>
    <w:p>
      <w:pPr>
        <w:pStyle w:val="Heading4"/>
        <w:spacing w:line="242" w:lineRule="auto" w:before="207"/>
        <w:ind w:left="180" w:right="220"/>
      </w:pPr>
      <w:r>
        <w:rPr/>
        <w:br w:type="column"/>
      </w:r>
      <w:r>
        <w:rPr/>
        <w:t>historical average growth rate of around 2.1% (see Chart 3.8). It is extremely difficult to judge the future path of productivity growth. This is because it depends partly on how quickly firms adjust their demand for labour, and on their choice of adjusting between</w:t>
      </w:r>
      <w:r>
        <w:rPr>
          <w:spacing w:val="-19"/>
        </w:rPr>
        <w:t> </w:t>
      </w:r>
      <w:r>
        <w:rPr/>
        <w:t>average hours worked and the number of people employed. If firms regard slower economic activity as transitory, then they would be unlikely to reduce employee numbers, given hiring and firing costs. This could lower productivity growth. It is also possible that there has been a level shift in trend productivity. Labour market reforms may </w:t>
      </w:r>
      <w:r>
        <w:rPr>
          <w:spacing w:val="-3"/>
        </w:rPr>
        <w:t>have </w:t>
      </w:r>
      <w:r>
        <w:rPr/>
        <w:t>encouraged new workers into the workforce, or created new jobs with lower-than-average productivity. Such factors could act to reduce the level of whole-economy measured productivity. The MPC judges that productivity growth will slow during 1999, before picking up towards the end of the forecast</w:t>
      </w:r>
      <w:r>
        <w:rPr>
          <w:spacing w:val="-5"/>
        </w:rPr>
        <w:t> </w:t>
      </w:r>
      <w:r>
        <w:rPr>
          <w:spacing w:val="-3"/>
        </w:rPr>
        <w:t>period.</w:t>
      </w:r>
    </w:p>
    <w:p>
      <w:pPr>
        <w:spacing w:after="0" w:line="242" w:lineRule="auto"/>
        <w:sectPr>
          <w:type w:val="continuous"/>
          <w:pgSz w:w="11900" w:h="16840"/>
          <w:pgMar w:top="1220" w:bottom="280" w:left="640" w:right="600"/>
          <w:cols w:num="2" w:equalWidth="0">
            <w:col w:w="3711" w:space="1117"/>
            <w:col w:w="5832"/>
          </w:cols>
        </w:sectPr>
      </w:pPr>
    </w:p>
    <w:p>
      <w:pPr>
        <w:pStyle w:val="BodyText"/>
        <w:spacing w:before="3"/>
        <w:rPr>
          <w:sz w:val="19"/>
        </w:rPr>
      </w:pPr>
    </w:p>
    <w:p>
      <w:pPr>
        <w:spacing w:after="0"/>
        <w:rPr>
          <w:sz w:val="19"/>
        </w:rPr>
        <w:sectPr>
          <w:type w:val="continuous"/>
          <w:pgSz w:w="11900" w:h="16840"/>
          <w:pgMar w:top="1220" w:bottom="280" w:left="640" w:right="600"/>
        </w:sectPr>
      </w:pPr>
    </w:p>
    <w:p>
      <w:pPr>
        <w:pStyle w:val="Heading7"/>
        <w:spacing w:before="135"/>
        <w:ind w:left="224"/>
      </w:pPr>
      <w:r>
        <w:rPr>
          <w:color w:val="0093C1"/>
        </w:rPr>
        <w:t>Chart 3.9</w:t>
      </w:r>
    </w:p>
    <w:p>
      <w:pPr>
        <w:spacing w:before="10"/>
        <w:ind w:left="224" w:right="0" w:firstLine="0"/>
        <w:jc w:val="left"/>
        <w:rPr>
          <w:sz w:val="12"/>
        </w:rPr>
      </w:pPr>
      <w:r>
        <w:rPr>
          <w:b/>
          <w:color w:val="0093C1"/>
          <w:sz w:val="20"/>
        </w:rPr>
        <w:t>The extent of regional mismatch</w:t>
      </w:r>
      <w:r>
        <w:rPr>
          <w:position w:val="4"/>
          <w:sz w:val="12"/>
        </w:rPr>
        <w:t>(a)</w:t>
      </w:r>
    </w:p>
    <w:p>
      <w:pPr>
        <w:pStyle w:val="BodyText"/>
        <w:spacing w:before="10" w:after="40"/>
      </w:pPr>
    </w:p>
    <w:p>
      <w:pPr>
        <w:pStyle w:val="BodyText"/>
        <w:spacing w:line="20" w:lineRule="exact"/>
        <w:ind w:left="249"/>
        <w:rPr>
          <w:sz w:val="2"/>
        </w:rPr>
      </w:pPr>
      <w:r>
        <w:rPr>
          <w:sz w:val="2"/>
        </w:rPr>
        <w:pict>
          <v:group style="width:5pt;height:.5pt;mso-position-horizontal-relative:char;mso-position-vertical-relative:line" coordorigin="0,0" coordsize="100,10">
            <v:line style="position:absolute" from="100,5" to="0,5" stroked="true" strokeweight=".5pt" strokecolor="#000000">
              <v:stroke dashstyle="solid"/>
            </v:line>
          </v:group>
        </w:pict>
      </w:r>
      <w:r>
        <w:rPr>
          <w:sz w:val="2"/>
        </w:rPr>
      </w:r>
    </w:p>
    <w:p>
      <w:pPr>
        <w:pStyle w:val="BodyText"/>
        <w:rPr>
          <w:sz w:val="20"/>
        </w:rPr>
      </w:pPr>
      <w:r>
        <w:rPr/>
        <w:br w:type="column"/>
      </w:r>
      <w:r>
        <w:rPr>
          <w:sz w:val="20"/>
        </w:rPr>
      </w:r>
    </w:p>
    <w:p>
      <w:pPr>
        <w:pStyle w:val="BodyText"/>
        <w:rPr>
          <w:sz w:val="20"/>
        </w:rPr>
      </w:pPr>
    </w:p>
    <w:p>
      <w:pPr>
        <w:pStyle w:val="BodyText"/>
        <w:spacing w:before="3"/>
        <w:rPr>
          <w:sz w:val="21"/>
        </w:rPr>
      </w:pPr>
    </w:p>
    <w:p>
      <w:pPr>
        <w:spacing w:before="0"/>
        <w:ind w:left="37" w:right="0" w:firstLine="0"/>
        <w:jc w:val="left"/>
        <w:rPr>
          <w:sz w:val="12"/>
        </w:rPr>
      </w:pPr>
      <w:r>
        <w:rPr>
          <w:sz w:val="12"/>
        </w:rPr>
        <w:t>Per cent </w:t>
      </w:r>
      <w:r>
        <w:rPr>
          <w:position w:val="-6"/>
          <w:sz w:val="12"/>
        </w:rPr>
        <w:t>8</w:t>
      </w:r>
    </w:p>
    <w:p>
      <w:pPr>
        <w:pStyle w:val="BodyText"/>
        <w:spacing w:before="4"/>
        <w:rPr>
          <w:sz w:val="21"/>
        </w:rPr>
      </w:pPr>
    </w:p>
    <w:p>
      <w:pPr>
        <w:spacing w:before="0"/>
        <w:ind w:left="0" w:right="38" w:firstLine="0"/>
        <w:jc w:val="right"/>
        <w:rPr>
          <w:sz w:val="12"/>
        </w:rPr>
      </w:pPr>
      <w:r>
        <w:rPr/>
        <w:pict>
          <v:group style="position:absolute;margin-left:44.720001pt;margin-top:-5.06543pt;width:166pt;height:130pt;mso-position-horizontal-relative:page;mso-position-vertical-relative:paragraph;z-index:15982080" coordorigin="894,-101" coordsize="3320,2600">
            <v:shape style="position:absolute;left:894;top:88;width:100;height:2260" coordorigin="894,89" coordsize="100,2260" path="m994,2349l894,2349m994,1969l894,1969m994,1589l894,1589m994,1209l894,1209m994,829l894,829m994,469l894,469m994,89l894,89e" filled="false" stroked="true" strokeweight=".5pt" strokecolor="#000000">
              <v:path arrowok="t"/>
              <v:stroke dashstyle="solid"/>
            </v:shape>
            <v:shape style="position:absolute;left:1054;top:-92;width:3000;height:2580" coordorigin="1054,-91" coordsize="3000,2580" path="m1054,2469l1094,2489,1114,2429,1154,2389,1174,2409,1214,2389,1254,2349,1314,2349,1334,2329,1374,2269,1434,2149,1474,2129,1494,2109,1534,2089,1634,1989,1654,1949,1694,1889,1714,1709,1754,1589,1774,1349,1814,969,1854,889,1874,749,1914,609,1934,489,1974,469,2014,329,2034,189,2074,149,2094,29,2134,69,2154,129,2194,89,2234,109,2254,89,2294,109,2314,169,2354,169,2414,109,2454,109,2474,169,2534,49,2574,-11,2614,-91,2634,-31,2674,69,2694,129,2734,69,2774,169,2794,169,2834,49,2854,189,2894,509,2934,689,2954,869,2994,969,3014,1169,3054,1389,3074,1629,3114,1869,3154,2029,3174,2129,3214,2229,3234,2329,3274,2349,3314,2409,3334,2429,3394,2429,3434,2409,3454,2349,3534,2349,3554,2329,3594,2309,3614,2329,3654,2329,3674,2349,3714,2309,3774,2309,3814,2349,3834,2389,3874,2369,3914,2369,3934,2349,3974,2289,3994,2289,4054,2349e" filled="false" stroked="true" strokeweight="1pt" strokecolor="#522e91">
              <v:path arrowok="t"/>
              <v:stroke dashstyle="solid"/>
            </v:shape>
            <v:shape style="position:absolute;left:4114;top:88;width:100;height:2260" coordorigin="4114,89" coordsize="100,2260" path="m4214,2349l4114,2349m4214,1969l4114,1969m4214,1589l4114,1589m4214,1209l4114,1209m4214,829l4114,829m4214,469l4114,469m4214,89l4114,89e" filled="false" stroked="true" strokeweight=".5pt" strokecolor="#000000">
              <v:path arrowok="t"/>
              <v:stroke dashstyle="solid"/>
            </v:shape>
            <w10:wrap type="none"/>
          </v:group>
        </w:pict>
      </w:r>
      <w:r>
        <w:rPr/>
        <w:pict>
          <v:line style="position:absolute;mso-position-horizontal-relative:page;mso-position-vertical-relative:paragraph;z-index:-21035520" from="210.720001pt,-14.56543pt" to="205.720001pt,-14.56543pt" stroked="true" strokeweight=".5pt" strokecolor="#000000">
            <v:stroke dashstyle="solid"/>
            <w10:wrap type="none"/>
          </v:line>
        </w:pict>
      </w:r>
      <w:r>
        <w:rPr>
          <w:sz w:val="12"/>
        </w:rPr>
        <w:t>7</w:t>
      </w:r>
    </w:p>
    <w:p>
      <w:pPr>
        <w:pStyle w:val="BodyText"/>
        <w:rPr>
          <w:sz w:val="12"/>
        </w:rPr>
      </w:pPr>
    </w:p>
    <w:p>
      <w:pPr>
        <w:spacing w:before="104"/>
        <w:ind w:left="0" w:right="38" w:firstLine="0"/>
        <w:jc w:val="right"/>
        <w:rPr>
          <w:sz w:val="12"/>
        </w:rPr>
      </w:pPr>
      <w:r>
        <w:rPr>
          <w:sz w:val="12"/>
        </w:rPr>
        <w:t>6</w:t>
      </w:r>
    </w:p>
    <w:p>
      <w:pPr>
        <w:pStyle w:val="BodyText"/>
        <w:rPr>
          <w:sz w:val="12"/>
        </w:rPr>
      </w:pPr>
    </w:p>
    <w:p>
      <w:pPr>
        <w:spacing w:before="84"/>
        <w:ind w:left="0" w:right="38" w:firstLine="0"/>
        <w:jc w:val="right"/>
        <w:rPr>
          <w:sz w:val="12"/>
        </w:rPr>
      </w:pPr>
      <w:r>
        <w:rPr>
          <w:sz w:val="12"/>
        </w:rPr>
        <w:t>5</w:t>
      </w:r>
    </w:p>
    <w:p>
      <w:pPr>
        <w:pStyle w:val="BodyText"/>
        <w:rPr>
          <w:sz w:val="12"/>
        </w:rPr>
      </w:pPr>
    </w:p>
    <w:p>
      <w:pPr>
        <w:spacing w:before="104"/>
        <w:ind w:left="0" w:right="38" w:firstLine="0"/>
        <w:jc w:val="right"/>
        <w:rPr>
          <w:sz w:val="12"/>
        </w:rPr>
      </w:pPr>
      <w:r>
        <w:rPr>
          <w:sz w:val="12"/>
        </w:rPr>
        <w:t>4</w:t>
      </w:r>
    </w:p>
    <w:p>
      <w:pPr>
        <w:pStyle w:val="BodyText"/>
        <w:rPr>
          <w:sz w:val="12"/>
        </w:rPr>
      </w:pPr>
    </w:p>
    <w:p>
      <w:pPr>
        <w:spacing w:before="104"/>
        <w:ind w:left="0" w:right="38" w:firstLine="0"/>
        <w:jc w:val="right"/>
        <w:rPr>
          <w:sz w:val="12"/>
        </w:rPr>
      </w:pPr>
      <w:r>
        <w:rPr>
          <w:sz w:val="12"/>
        </w:rPr>
        <w:t>3</w:t>
      </w:r>
    </w:p>
    <w:p>
      <w:pPr>
        <w:pStyle w:val="BodyText"/>
        <w:rPr>
          <w:sz w:val="12"/>
        </w:rPr>
      </w:pPr>
    </w:p>
    <w:p>
      <w:pPr>
        <w:spacing w:before="104"/>
        <w:ind w:left="0" w:right="38" w:firstLine="0"/>
        <w:jc w:val="right"/>
        <w:rPr>
          <w:sz w:val="12"/>
        </w:rPr>
      </w:pPr>
      <w:r>
        <w:rPr>
          <w:sz w:val="12"/>
        </w:rPr>
        <w:t>2</w:t>
      </w:r>
    </w:p>
    <w:p>
      <w:pPr>
        <w:pStyle w:val="Heading4"/>
        <w:spacing w:line="242" w:lineRule="auto" w:before="90"/>
        <w:ind w:left="224" w:right="241"/>
      </w:pPr>
      <w:r>
        <w:rPr/>
        <w:br w:type="column"/>
      </w:r>
      <w:r>
        <w:rPr/>
        <w:t>Wage pressure is also influenced by the geographic distribution of unemployment. If there are imbalances between the distribution of unemployed workers across different regions, such regional mismatch will affect wage pressure at any given level of aggregate unemployment. Chart 3.9 shows how one measure of regional mismatch has changed over time; it remains low relative to the level in the 1980s. So lower regional mismatch could be a factor contributing to the apparent weakness of upward pressure on earnings growth, despite low aggregate unemployment.</w:t>
      </w:r>
    </w:p>
    <w:p>
      <w:pPr>
        <w:spacing w:after="0" w:line="242" w:lineRule="auto"/>
        <w:sectPr>
          <w:type w:val="continuous"/>
          <w:pgSz w:w="11900" w:h="16840"/>
          <w:pgMar w:top="1220" w:bottom="280" w:left="640" w:right="600"/>
          <w:cols w:num="3" w:equalWidth="0">
            <w:col w:w="3113" w:space="40"/>
            <w:col w:w="553" w:space="1077"/>
            <w:col w:w="5877"/>
          </w:cols>
        </w:sectPr>
      </w:pPr>
    </w:p>
    <w:p>
      <w:pPr>
        <w:pStyle w:val="BodyText"/>
        <w:spacing w:before="9"/>
        <w:rPr>
          <w:sz w:val="12"/>
        </w:rPr>
      </w:pPr>
    </w:p>
    <w:p>
      <w:pPr>
        <w:spacing w:after="0"/>
        <w:rPr>
          <w:sz w:val="12"/>
        </w:rPr>
        <w:sectPr>
          <w:type w:val="continuous"/>
          <w:pgSz w:w="11900" w:h="16840"/>
          <w:pgMar w:top="1220" w:bottom="280" w:left="640" w:right="600"/>
        </w:sectPr>
      </w:pPr>
    </w:p>
    <w:p>
      <w:pPr>
        <w:spacing w:before="95"/>
        <w:ind w:left="3604" w:right="0" w:firstLine="0"/>
        <w:jc w:val="left"/>
        <w:rPr>
          <w:sz w:val="12"/>
        </w:rPr>
      </w:pPr>
      <w:r>
        <w:rPr>
          <w:sz w:val="12"/>
        </w:rPr>
        <w:t>1</w:t>
      </w:r>
    </w:p>
    <w:p>
      <w:pPr>
        <w:pStyle w:val="BodyText"/>
        <w:rPr>
          <w:sz w:val="12"/>
        </w:rPr>
      </w:pPr>
    </w:p>
    <w:p>
      <w:pPr>
        <w:spacing w:line="122" w:lineRule="exact" w:before="84"/>
        <w:ind w:left="3604" w:right="0" w:firstLine="0"/>
        <w:jc w:val="left"/>
        <w:rPr>
          <w:sz w:val="12"/>
        </w:rPr>
      </w:pPr>
      <w:r>
        <w:rPr/>
        <w:pict>
          <v:shape style="position:absolute;margin-left:44.720001pt;margin-top:4.63457pt;width:166pt;height:4pt;mso-position-horizontal-relative:page;mso-position-vertical-relative:paragraph;z-index:15981568" coordorigin="894,93" coordsize="3320,80" path="m994,173l894,173m4214,173l4114,173m1054,173l4054,173m1054,173l1054,133m1174,173l1174,133m1314,173l1314,133m1434,173l1434,133m1554,173l1554,133m1694,173l1694,133m1814,173l1814,133m1934,173l1934,133m2074,173l2074,133m2194,173l2194,133m2314,173l2314,133m2454,173l2454,133m2574,173l2574,133m2694,173l2694,133m2834,173l2834,133m2954,173l2954,133m3074,173l3074,133m3214,173l3214,133m3334,173l3334,133m3454,173l3454,133m3594,173l3594,133m3714,173l3714,133m3834,173l3834,133m3974,173l3974,133m1054,173l1054,93m1694,173l1694,93m2314,173l2314,93m2954,173l2954,93m3594,173l3594,93e" filled="false" stroked="true" strokeweight=".5pt" strokecolor="#000000">
            <v:path arrowok="t"/>
            <v:stroke dashstyle="solid"/>
            <w10:wrap type="none"/>
          </v:shape>
        </w:pict>
      </w:r>
      <w:r>
        <w:rPr>
          <w:sz w:val="12"/>
        </w:rPr>
        <w:t>0</w:t>
      </w:r>
    </w:p>
    <w:p>
      <w:pPr>
        <w:tabs>
          <w:tab w:pos="1050" w:val="left" w:leader="none"/>
          <w:tab w:pos="1690" w:val="left" w:leader="none"/>
          <w:tab w:pos="2317" w:val="left" w:leader="none"/>
          <w:tab w:pos="2964" w:val="left" w:leader="none"/>
        </w:tabs>
        <w:spacing w:line="122" w:lineRule="exact" w:before="0"/>
        <w:ind w:left="304" w:right="0" w:firstLine="0"/>
        <w:jc w:val="left"/>
        <w:rPr>
          <w:sz w:val="12"/>
        </w:rPr>
      </w:pPr>
      <w:r>
        <w:rPr>
          <w:sz w:val="12"/>
        </w:rPr>
        <w:t>1975</w:t>
        <w:tab/>
        <w:t>80</w:t>
        <w:tab/>
        <w:t>85</w:t>
        <w:tab/>
        <w:t>90</w:t>
        <w:tab/>
        <w:t>95</w:t>
      </w:r>
    </w:p>
    <w:p>
      <w:pPr>
        <w:spacing w:line="208" w:lineRule="auto" w:before="50"/>
        <w:ind w:left="460" w:right="444" w:hanging="240"/>
        <w:jc w:val="left"/>
        <w:rPr>
          <w:sz w:val="12"/>
        </w:rPr>
      </w:pPr>
      <w:r>
        <w:rPr>
          <w:sz w:val="12"/>
        </w:rPr>
        <w:t>(a) Defined as the variance of the absolute deviations of regional unemployment from national unemployment, weighted by regional labour share.</w:t>
      </w: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7"/>
        <w:rPr>
          <w:sz w:val="12"/>
        </w:rPr>
      </w:pPr>
    </w:p>
    <w:p>
      <w:pPr>
        <w:pStyle w:val="Heading7"/>
        <w:spacing w:before="0"/>
      </w:pPr>
      <w:r>
        <w:rPr>
          <w:color w:val="0093C1"/>
        </w:rPr>
        <w:t>Chart 3.10</w:t>
      </w:r>
    </w:p>
    <w:p>
      <w:pPr>
        <w:spacing w:before="10"/>
        <w:ind w:left="180" w:right="0" w:firstLine="0"/>
        <w:jc w:val="left"/>
        <w:rPr>
          <w:sz w:val="12"/>
        </w:rPr>
      </w:pPr>
      <w:r>
        <w:rPr>
          <w:b/>
          <w:color w:val="0093C1"/>
          <w:sz w:val="20"/>
        </w:rPr>
        <w:t>Vacancy-unemployment relationships</w:t>
      </w:r>
      <w:r>
        <w:rPr>
          <w:position w:val="4"/>
          <w:sz w:val="12"/>
        </w:rPr>
        <w:t>(a)</w:t>
      </w:r>
    </w:p>
    <w:p>
      <w:pPr>
        <w:tabs>
          <w:tab w:pos="3446" w:val="left" w:leader="none"/>
        </w:tabs>
        <w:spacing w:before="62"/>
        <w:ind w:left="166" w:right="0" w:firstLine="0"/>
        <w:jc w:val="left"/>
        <w:rPr>
          <w:sz w:val="12"/>
        </w:rPr>
      </w:pPr>
      <w:r>
        <w:rPr/>
        <w:pict>
          <v:group style="position:absolute;margin-left:52.833pt;margin-top:16.021486pt;width:165pt;height:115pt;mso-position-horizontal-relative:page;mso-position-vertical-relative:paragraph;z-index:15984128" coordorigin="1057,320" coordsize="3300,2300">
            <v:shape style="position:absolute;left:1056;top:1724;width:100;height:520" coordorigin="1057,1724" coordsize="100,520" path="m1157,2244l1057,2244m1157,1724l1057,1724e" filled="false" stroked="true" strokeweight=".5pt" strokecolor="#000000">
              <v:path arrowok="t"/>
              <v:stroke dashstyle="solid"/>
            </v:shape>
            <v:shape style="position:absolute;left:1196;top:1704;width:3020;height:900" coordorigin="1197,1704" coordsize="3020,900" path="m1197,2604l1337,2524,1457,2544,1597,2524,1717,2544,1857,2564,1977,2364,2117,2324,2257,2324,2377,2244,2777,2244,2897,2204,3037,2144,3157,2044,3297,2004,3437,1944,3557,1704,3697,1844,3817,1824,3957,1804,4077,1904,4217,1924e" filled="false" stroked="true" strokeweight="1pt" strokecolor="#00a995">
              <v:path arrowok="t"/>
              <v:stroke dashstyle="solid"/>
            </v:shape>
            <v:shape style="position:absolute;left:1056;top:1224;width:3300;height:1260" coordorigin="1057,1224" coordsize="3300,1260" path="m4257,2484l4357,2484m4257,2104l4357,2104m4257,1724l4357,1724m1157,1224l1057,1224m4257,1364l4357,1364e" filled="false" stroked="true" strokeweight=".5pt" strokecolor="#000000">
              <v:path arrowok="t"/>
              <v:stroke dashstyle="solid"/>
            </v:shape>
            <v:shape style="position:absolute;left:1196;top:1304;width:3020;height:1000" coordorigin="1197,1304" coordsize="3020,1000" path="m1197,2304l1337,1904,1457,1784,1597,1824,1717,1804,1857,1864,1977,1804,2117,1804,2257,1664,2377,1684,2517,1724,2637,1724,2777,1924,2897,1564,3037,1544,3157,1544,3297,1684,3437,1524,3557,1544,3697,1504,3817,1444,3957,1304,4077,1464,4217,1484e" filled="false" stroked="true" strokeweight="1pt" strokecolor="#522e91">
              <v:path arrowok="t"/>
              <v:stroke dashstyle="solid"/>
            </v:shape>
            <v:shape style="position:absolute;left:1056;top:604;width:3300;height:380" coordorigin="1057,604" coordsize="3300,380" path="m1157,724l1057,724m4257,984l4357,984m4257,604l4357,604e" filled="false" stroked="true" strokeweight=".5pt" strokecolor="#000000">
              <v:path arrowok="t"/>
              <v:stroke dashstyle="solid"/>
            </v:shape>
            <v:shape style="position:absolute;left:1196;top:464;width:3020;height:1580" coordorigin="1197,464" coordsize="3020,1580" path="m1197,2044l1337,1944,1457,1904,1597,1824,1717,1804,1857,1704,1977,1604,2117,1484,2257,1384,2377,1264,2517,1224,2637,1084,2777,1164,2897,1004,3037,944,3157,884,3297,784,3437,744,3557,664,3697,644,3817,584,3957,484,4077,464,4217,484e" filled="false" stroked="true" strokeweight="1pt" strokecolor="#9aca3c">
              <v:path arrowok="t"/>
              <v:stroke dashstyle="solid"/>
            </v:shape>
            <v:shape style="position:absolute;left:2593;top:320;width:1420;height:1100" type="#_x0000_t202" filled="false" stroked="false">
              <v:textbox inset="0,0,0,0">
                <w:txbxContent>
                  <w:p>
                    <w:pPr>
                      <w:spacing w:line="124" w:lineRule="exact" w:before="0"/>
                      <w:ind w:left="0" w:right="0" w:firstLine="0"/>
                      <w:jc w:val="left"/>
                      <w:rPr>
                        <w:sz w:val="12"/>
                      </w:rPr>
                    </w:pPr>
                    <w:r>
                      <w:rPr>
                        <w:sz w:val="12"/>
                      </w:rPr>
                      <w:t>Vacancy stock/</w:t>
                    </w:r>
                  </w:p>
                  <w:p>
                    <w:pPr>
                      <w:spacing w:line="208" w:lineRule="auto" w:before="5"/>
                      <w:ind w:left="60" w:right="231" w:firstLine="0"/>
                      <w:jc w:val="left"/>
                      <w:rPr>
                        <w:sz w:val="12"/>
                      </w:rPr>
                    </w:pPr>
                    <w:r>
                      <w:rPr>
                        <w:sz w:val="12"/>
                      </w:rPr>
                      <w:t>total unemployment (a) (right-hand scale)</w:t>
                    </w:r>
                  </w:p>
                  <w:p>
                    <w:pPr>
                      <w:spacing w:line="240" w:lineRule="auto" w:before="0"/>
                      <w:rPr>
                        <w:sz w:val="12"/>
                      </w:rPr>
                    </w:pPr>
                  </w:p>
                  <w:p>
                    <w:pPr>
                      <w:spacing w:line="240" w:lineRule="auto" w:before="0"/>
                      <w:rPr>
                        <w:sz w:val="12"/>
                      </w:rPr>
                    </w:pPr>
                  </w:p>
                  <w:p>
                    <w:pPr>
                      <w:spacing w:line="208" w:lineRule="auto" w:before="91"/>
                      <w:ind w:left="393" w:right="18" w:hanging="60"/>
                      <w:jc w:val="left"/>
                      <w:rPr>
                        <w:sz w:val="12"/>
                      </w:rPr>
                    </w:pPr>
                    <w:r>
                      <w:rPr>
                        <w:sz w:val="12"/>
                      </w:rPr>
                      <w:t>Vacancy inflows/ stock of unemployed (right-hand scale)</w:t>
                    </w:r>
                  </w:p>
                </w:txbxContent>
              </v:textbox>
              <w10:wrap type="none"/>
            </v:shape>
            <v:shape style="position:absolute;left:2366;top:2247;width:1307;height:373" type="#_x0000_t202" filled="false" stroked="false">
              <v:textbox inset="0,0,0,0">
                <w:txbxContent>
                  <w:p>
                    <w:pPr>
                      <w:spacing w:line="208" w:lineRule="auto" w:before="9"/>
                      <w:ind w:left="60" w:right="18" w:hanging="60"/>
                      <w:jc w:val="left"/>
                      <w:rPr>
                        <w:sz w:val="12"/>
                      </w:rPr>
                    </w:pPr>
                    <w:r>
                      <w:rPr>
                        <w:sz w:val="12"/>
                      </w:rPr>
                      <w:t>Vacancy stock/ unemployment inflow (a) (left-hand scale)</w:t>
                    </w:r>
                  </w:p>
                </w:txbxContent>
              </v:textbox>
              <w10:wrap type="none"/>
            </v:shape>
            <w10:wrap type="none"/>
          </v:group>
        </w:pict>
      </w:r>
      <w:r>
        <w:rPr>
          <w:position w:val="-6"/>
          <w:sz w:val="12"/>
        </w:rPr>
        <w:t>2.00</w:t>
      </w:r>
      <w:r>
        <w:rPr>
          <w:sz w:val="12"/>
        </w:rPr>
        <w:t> </w:t>
      </w:r>
      <w:r>
        <w:rPr>
          <w:sz w:val="12"/>
          <w:u w:val="single"/>
        </w:rPr>
        <w:t>R</w:t>
      </w:r>
      <w:r>
        <w:rPr>
          <w:sz w:val="12"/>
        </w:rPr>
        <w:t>atio</w:t>
        <w:tab/>
        <w:t>Ra</w:t>
      </w:r>
      <w:r>
        <w:rPr>
          <w:sz w:val="12"/>
          <w:u w:val="single"/>
        </w:rPr>
        <w:t>tio</w:t>
      </w:r>
      <w:r>
        <w:rPr>
          <w:sz w:val="12"/>
        </w:rPr>
        <w:t>  </w:t>
      </w:r>
      <w:r>
        <w:rPr>
          <w:position w:val="-7"/>
          <w:sz w:val="12"/>
        </w:rPr>
        <w:t>0.250</w:t>
      </w:r>
    </w:p>
    <w:p>
      <w:pPr>
        <w:pStyle w:val="BodyText"/>
        <w:spacing w:before="11"/>
        <w:rPr>
          <w:sz w:val="20"/>
        </w:rPr>
      </w:pPr>
    </w:p>
    <w:p>
      <w:pPr>
        <w:spacing w:line="128" w:lineRule="exact" w:before="0"/>
        <w:ind w:left="3766" w:right="0" w:firstLine="0"/>
        <w:jc w:val="left"/>
        <w:rPr>
          <w:sz w:val="12"/>
        </w:rPr>
      </w:pPr>
      <w:r>
        <w:rPr>
          <w:sz w:val="12"/>
        </w:rPr>
        <w:t>0.225</w:t>
      </w:r>
    </w:p>
    <w:p>
      <w:pPr>
        <w:spacing w:line="128" w:lineRule="exact" w:before="0"/>
        <w:ind w:left="166" w:right="0" w:firstLine="0"/>
        <w:jc w:val="left"/>
        <w:rPr>
          <w:sz w:val="12"/>
        </w:rPr>
      </w:pPr>
      <w:r>
        <w:rPr>
          <w:sz w:val="12"/>
        </w:rPr>
        <w:t>1.75</w:t>
      </w:r>
    </w:p>
    <w:p>
      <w:pPr>
        <w:pStyle w:val="BodyText"/>
        <w:spacing w:before="7"/>
        <w:rPr>
          <w:sz w:val="10"/>
        </w:rPr>
      </w:pPr>
    </w:p>
    <w:p>
      <w:pPr>
        <w:spacing w:before="0"/>
        <w:ind w:left="3766" w:right="0" w:firstLine="0"/>
        <w:jc w:val="left"/>
        <w:rPr>
          <w:sz w:val="12"/>
        </w:rPr>
      </w:pPr>
      <w:r>
        <w:rPr>
          <w:sz w:val="12"/>
        </w:rPr>
        <w:t>0.200</w:t>
      </w:r>
    </w:p>
    <w:p>
      <w:pPr>
        <w:pStyle w:val="Heading4"/>
        <w:spacing w:line="242" w:lineRule="auto" w:before="137"/>
        <w:ind w:left="166" w:right="275"/>
      </w:pPr>
      <w:r>
        <w:rPr/>
        <w:br w:type="column"/>
      </w:r>
      <w:r>
        <w:rPr/>
        <w:t>Another measure of mismatch that can be used to </w:t>
      </w:r>
      <w:r>
        <w:rPr>
          <w:spacing w:val="-4"/>
        </w:rPr>
        <w:t>gauge </w:t>
      </w:r>
      <w:r>
        <w:rPr/>
        <w:t>labour market tightness is the ratio of the stock of reported vacancies to total unemployment. This ratio can be interpreted as a comparison of unsatisfied labour demand with available </w:t>
      </w:r>
      <w:r>
        <w:rPr>
          <w:spacing w:val="-3"/>
        </w:rPr>
        <w:t>supply. </w:t>
      </w:r>
      <w:r>
        <w:rPr/>
        <w:t>The extent to which the unemployed are able to fill available vacancies is likely to affect wage pressure significantly at any </w:t>
      </w:r>
      <w:r>
        <w:rPr>
          <w:spacing w:val="-3"/>
        </w:rPr>
        <w:t>given level </w:t>
      </w:r>
      <w:r>
        <w:rPr/>
        <w:t>of unemployment. Chart 3.10 shows that the labour market is much tighter now than in 1997 on this measure, though the most recent data suggest that the ratio may be stabilising. </w:t>
      </w:r>
      <w:r>
        <w:rPr>
          <w:spacing w:val="-8"/>
        </w:rPr>
        <w:t>Two </w:t>
      </w:r>
      <w:r>
        <w:rPr/>
        <w:t>alternative measures of the relationship between vacancies and</w:t>
      </w:r>
      <w:r>
        <w:rPr>
          <w:spacing w:val="-7"/>
        </w:rPr>
        <w:t> </w:t>
      </w:r>
      <w:r>
        <w:rPr/>
        <w:t>unemployment,</w:t>
      </w:r>
    </w:p>
    <w:p>
      <w:pPr>
        <w:spacing w:after="0" w:line="242" w:lineRule="auto"/>
        <w:sectPr>
          <w:type w:val="continuous"/>
          <w:pgSz w:w="11900" w:h="16840"/>
          <w:pgMar w:top="1220" w:bottom="280" w:left="640" w:right="600"/>
          <w:cols w:num="2" w:equalWidth="0">
            <w:col w:w="4077" w:space="763"/>
            <w:col w:w="5820"/>
          </w:cols>
        </w:sectPr>
      </w:pPr>
    </w:p>
    <w:p>
      <w:pPr>
        <w:spacing w:line="76" w:lineRule="exact" w:before="0"/>
        <w:ind w:left="166" w:right="0" w:firstLine="0"/>
        <w:jc w:val="left"/>
        <w:rPr>
          <w:sz w:val="12"/>
        </w:rPr>
      </w:pPr>
      <w:r>
        <w:rPr>
          <w:sz w:val="12"/>
        </w:rPr>
        <w:t>1.50</w:t>
      </w:r>
    </w:p>
    <w:p>
      <w:pPr>
        <w:pStyle w:val="BodyText"/>
        <w:rPr>
          <w:sz w:val="12"/>
        </w:rPr>
      </w:pPr>
    </w:p>
    <w:p>
      <w:pPr>
        <w:pStyle w:val="BodyText"/>
        <w:rPr>
          <w:sz w:val="12"/>
        </w:rPr>
      </w:pPr>
    </w:p>
    <w:p>
      <w:pPr>
        <w:spacing w:before="89"/>
        <w:ind w:left="166" w:right="0" w:firstLine="0"/>
        <w:jc w:val="left"/>
        <w:rPr>
          <w:sz w:val="12"/>
        </w:rPr>
      </w:pPr>
      <w:r>
        <w:rPr>
          <w:sz w:val="12"/>
        </w:rPr>
        <w:t>1.25</w:t>
      </w:r>
    </w:p>
    <w:p>
      <w:pPr>
        <w:pStyle w:val="BodyText"/>
        <w:rPr>
          <w:sz w:val="12"/>
        </w:rPr>
      </w:pPr>
    </w:p>
    <w:p>
      <w:pPr>
        <w:pStyle w:val="BodyText"/>
        <w:rPr>
          <w:sz w:val="12"/>
        </w:rPr>
      </w:pPr>
    </w:p>
    <w:p>
      <w:pPr>
        <w:spacing w:before="89"/>
        <w:ind w:left="166" w:right="0" w:firstLine="0"/>
        <w:jc w:val="left"/>
        <w:rPr>
          <w:sz w:val="12"/>
        </w:rPr>
      </w:pPr>
      <w:r>
        <w:rPr>
          <w:sz w:val="12"/>
        </w:rPr>
        <w:t>1.00</w:t>
      </w:r>
    </w:p>
    <w:p>
      <w:pPr>
        <w:pStyle w:val="BodyText"/>
        <w:rPr>
          <w:sz w:val="12"/>
        </w:rPr>
      </w:pPr>
    </w:p>
    <w:p>
      <w:pPr>
        <w:pStyle w:val="BodyText"/>
        <w:rPr>
          <w:sz w:val="12"/>
        </w:rPr>
      </w:pPr>
    </w:p>
    <w:p>
      <w:pPr>
        <w:spacing w:before="90"/>
        <w:ind w:left="166" w:right="0" w:firstLine="0"/>
        <w:jc w:val="left"/>
        <w:rPr>
          <w:sz w:val="12"/>
        </w:rPr>
      </w:pPr>
      <w:r>
        <w:rPr>
          <w:sz w:val="12"/>
        </w:rPr>
        <w:t>0.75</w:t>
      </w:r>
    </w:p>
    <w:p>
      <w:pPr>
        <w:pStyle w:val="BodyText"/>
        <w:rPr>
          <w:sz w:val="12"/>
        </w:rPr>
      </w:pPr>
    </w:p>
    <w:p>
      <w:pPr>
        <w:pStyle w:val="BodyText"/>
        <w:rPr>
          <w:sz w:val="12"/>
        </w:rPr>
      </w:pPr>
    </w:p>
    <w:p>
      <w:pPr>
        <w:spacing w:before="89"/>
        <w:ind w:left="166" w:right="0" w:firstLine="0"/>
        <w:jc w:val="left"/>
        <w:rPr>
          <w:sz w:val="12"/>
        </w:rPr>
      </w:pPr>
      <w:r>
        <w:rPr>
          <w:sz w:val="12"/>
        </w:rPr>
        <w:t>0.50</w:t>
      </w:r>
    </w:p>
    <w:p>
      <w:pPr>
        <w:pStyle w:val="BodyText"/>
        <w:rPr>
          <w:sz w:val="12"/>
        </w:rPr>
      </w:pPr>
      <w:r>
        <w:rPr/>
        <w:br w:type="column"/>
      </w:r>
      <w:r>
        <w:rPr>
          <w:sz w:val="12"/>
        </w:rPr>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2"/>
        <w:rPr>
          <w:sz w:val="13"/>
        </w:rPr>
      </w:pPr>
    </w:p>
    <w:p>
      <w:pPr>
        <w:tabs>
          <w:tab w:pos="1839" w:val="left" w:leader="none"/>
        </w:tabs>
        <w:spacing w:before="1"/>
        <w:ind w:left="166" w:right="0" w:firstLine="0"/>
        <w:jc w:val="left"/>
        <w:rPr>
          <w:sz w:val="12"/>
        </w:rPr>
      </w:pPr>
      <w:r>
        <w:rPr>
          <w:sz w:val="12"/>
        </w:rPr>
        <w:t>1997</w:t>
        <w:tab/>
        <w:t>98</w:t>
      </w:r>
    </w:p>
    <w:p>
      <w:pPr>
        <w:spacing w:before="72"/>
        <w:ind w:left="166" w:right="0" w:firstLine="0"/>
        <w:jc w:val="left"/>
        <w:rPr>
          <w:sz w:val="12"/>
        </w:rPr>
      </w:pPr>
      <w:r>
        <w:rPr/>
        <w:br w:type="column"/>
      </w:r>
      <w:r>
        <w:rPr>
          <w:sz w:val="12"/>
        </w:rPr>
        <w:t>0.175</w:t>
      </w:r>
    </w:p>
    <w:p>
      <w:pPr>
        <w:pStyle w:val="BodyText"/>
        <w:rPr>
          <w:sz w:val="12"/>
        </w:rPr>
      </w:pPr>
    </w:p>
    <w:p>
      <w:pPr>
        <w:spacing w:before="103"/>
        <w:ind w:left="166" w:right="0" w:firstLine="0"/>
        <w:jc w:val="left"/>
        <w:rPr>
          <w:sz w:val="12"/>
        </w:rPr>
      </w:pPr>
      <w:r>
        <w:rPr>
          <w:sz w:val="12"/>
        </w:rPr>
        <w:t>0.150</w:t>
      </w:r>
    </w:p>
    <w:p>
      <w:pPr>
        <w:pStyle w:val="BodyText"/>
        <w:rPr>
          <w:sz w:val="12"/>
        </w:rPr>
      </w:pPr>
    </w:p>
    <w:p>
      <w:pPr>
        <w:spacing w:before="102"/>
        <w:ind w:left="166" w:right="0" w:firstLine="0"/>
        <w:jc w:val="left"/>
        <w:rPr>
          <w:sz w:val="12"/>
        </w:rPr>
      </w:pPr>
      <w:r>
        <w:rPr>
          <w:sz w:val="12"/>
        </w:rPr>
        <w:t>0.125</w:t>
      </w:r>
    </w:p>
    <w:p>
      <w:pPr>
        <w:pStyle w:val="BodyText"/>
        <w:rPr>
          <w:sz w:val="12"/>
        </w:rPr>
      </w:pPr>
    </w:p>
    <w:p>
      <w:pPr>
        <w:spacing w:before="102"/>
        <w:ind w:left="166" w:right="0" w:firstLine="0"/>
        <w:jc w:val="left"/>
        <w:rPr>
          <w:sz w:val="12"/>
        </w:rPr>
      </w:pPr>
      <w:r>
        <w:rPr>
          <w:sz w:val="12"/>
        </w:rPr>
        <w:t>0.100</w:t>
      </w:r>
    </w:p>
    <w:p>
      <w:pPr>
        <w:pStyle w:val="BodyText"/>
        <w:rPr>
          <w:sz w:val="12"/>
        </w:rPr>
      </w:pPr>
    </w:p>
    <w:p>
      <w:pPr>
        <w:spacing w:before="103"/>
        <w:ind w:left="166" w:right="0" w:firstLine="0"/>
        <w:jc w:val="left"/>
        <w:rPr>
          <w:sz w:val="12"/>
        </w:rPr>
      </w:pPr>
      <w:r>
        <w:rPr>
          <w:sz w:val="12"/>
        </w:rPr>
        <w:t>0.075</w:t>
      </w:r>
    </w:p>
    <w:p>
      <w:pPr>
        <w:pStyle w:val="BodyText"/>
        <w:rPr>
          <w:sz w:val="12"/>
        </w:rPr>
      </w:pPr>
    </w:p>
    <w:p>
      <w:pPr>
        <w:spacing w:before="102"/>
        <w:ind w:left="166" w:right="0" w:firstLine="0"/>
        <w:jc w:val="left"/>
        <w:rPr>
          <w:sz w:val="12"/>
        </w:rPr>
      </w:pPr>
      <w:r>
        <w:rPr>
          <w:sz w:val="12"/>
        </w:rPr>
        <w:t>0.050</w:t>
      </w:r>
    </w:p>
    <w:p>
      <w:pPr>
        <w:pStyle w:val="Heading4"/>
        <w:spacing w:line="242" w:lineRule="auto" w:before="16"/>
        <w:ind w:left="166" w:right="308"/>
      </w:pPr>
      <w:r>
        <w:rPr/>
        <w:br w:type="column"/>
      </w:r>
      <w:r>
        <w:rPr/>
        <w:t>which stress the roles of vacancy inflows and inflows into unemployment, are also shown. They also suggest a moderation in labour market tightness.</w:t>
      </w:r>
    </w:p>
    <w:p>
      <w:pPr>
        <w:pStyle w:val="BodyText"/>
        <w:spacing w:before="6"/>
        <w:rPr>
          <w:sz w:val="25"/>
        </w:rPr>
      </w:pPr>
    </w:p>
    <w:p>
      <w:pPr>
        <w:spacing w:line="242" w:lineRule="auto" w:before="0"/>
        <w:ind w:left="166" w:right="274" w:firstLine="0"/>
        <w:jc w:val="left"/>
        <w:rPr>
          <w:sz w:val="24"/>
        </w:rPr>
      </w:pPr>
      <w:r>
        <w:rPr>
          <w:sz w:val="24"/>
        </w:rPr>
        <w:t>Surveys provide a forward-looking perspective of the state of the labour market, and can shed light on</w:t>
      </w:r>
    </w:p>
    <w:p>
      <w:pPr>
        <w:spacing w:line="242" w:lineRule="auto" w:before="3"/>
        <w:ind w:left="166" w:right="180" w:firstLine="0"/>
        <w:jc w:val="left"/>
        <w:rPr>
          <w:sz w:val="24"/>
        </w:rPr>
      </w:pPr>
      <w:r>
        <w:rPr>
          <w:sz w:val="24"/>
        </w:rPr>
        <w:t>near-term employment prospects. Recent C</w:t>
      </w:r>
      <w:r>
        <w:rPr>
          <w:sz w:val="20"/>
        </w:rPr>
        <w:t>IPS </w:t>
      </w:r>
      <w:r>
        <w:rPr>
          <w:sz w:val="24"/>
        </w:rPr>
        <w:t>reports pointed to sharp falls in construction and manufacturing</w:t>
      </w:r>
    </w:p>
    <w:p>
      <w:pPr>
        <w:spacing w:after="0" w:line="242" w:lineRule="auto"/>
        <w:jc w:val="left"/>
        <w:rPr>
          <w:sz w:val="24"/>
        </w:rPr>
        <w:sectPr>
          <w:type w:val="continuous"/>
          <w:pgSz w:w="11900" w:h="16840"/>
          <w:pgMar w:top="1220" w:bottom="280" w:left="640" w:right="600"/>
          <w:cols w:num="4" w:equalWidth="0">
            <w:col w:w="417" w:space="636"/>
            <w:col w:w="2000" w:space="547"/>
            <w:col w:w="477" w:space="763"/>
            <w:col w:w="5820"/>
          </w:cols>
        </w:sectPr>
      </w:pPr>
    </w:p>
    <w:p>
      <w:pPr>
        <w:spacing w:line="208" w:lineRule="auto" w:before="0"/>
        <w:ind w:left="435" w:right="0" w:hanging="240"/>
        <w:jc w:val="left"/>
        <w:rPr>
          <w:sz w:val="12"/>
        </w:rPr>
      </w:pPr>
      <w:r>
        <w:rPr>
          <w:sz w:val="12"/>
        </w:rPr>
        <w:t>(a) Adjusted to allow for the overstated stock of vacancies from 1996 Q2 onwards and the subsequent correction by the ONS.</w:t>
      </w:r>
    </w:p>
    <w:p>
      <w:pPr>
        <w:pStyle w:val="Heading4"/>
        <w:spacing w:before="2"/>
        <w:ind w:left="195"/>
      </w:pPr>
      <w:r>
        <w:rPr/>
        <w:br w:type="column"/>
      </w:r>
      <w:r>
        <w:rPr/>
        <w:t>employment, and a contraction in service sector</w:t>
      </w:r>
    </w:p>
    <w:p>
      <w:pPr>
        <w:spacing w:after="0"/>
        <w:sectPr>
          <w:type w:val="continuous"/>
          <w:pgSz w:w="11900" w:h="16840"/>
          <w:pgMar w:top="1220" w:bottom="280" w:left="640" w:right="600"/>
          <w:cols w:num="2" w:equalWidth="0">
            <w:col w:w="3819" w:space="993"/>
            <w:col w:w="5848"/>
          </w:cols>
        </w:sectPr>
      </w:pPr>
    </w:p>
    <w:p>
      <w:pPr>
        <w:pStyle w:val="BodyText"/>
        <w:rPr>
          <w:sz w:val="20"/>
        </w:rPr>
      </w:pPr>
    </w:p>
    <w:p>
      <w:pPr>
        <w:spacing w:after="0"/>
        <w:rPr>
          <w:sz w:val="20"/>
        </w:rPr>
        <w:sectPr>
          <w:pgSz w:w="11900" w:h="16840"/>
          <w:pgMar w:header="586" w:footer="597" w:top="780" w:bottom="780" w:left="640" w:right="600"/>
        </w:sectPr>
      </w:pPr>
    </w:p>
    <w:p>
      <w:pPr>
        <w:pStyle w:val="BodyText"/>
        <w:spacing w:before="4"/>
        <w:rPr>
          <w:sz w:val="21"/>
        </w:rPr>
      </w:pPr>
    </w:p>
    <w:p>
      <w:pPr>
        <w:spacing w:line="249" w:lineRule="auto" w:before="0"/>
        <w:ind w:left="165" w:right="30" w:firstLine="0"/>
        <w:jc w:val="left"/>
        <w:rPr>
          <w:sz w:val="12"/>
        </w:rPr>
      </w:pPr>
      <w:bookmarkStart w:name="Reforms affecting the labour market" w:id="52"/>
      <w:bookmarkEnd w:id="52"/>
      <w:r>
        <w:rPr/>
      </w:r>
      <w:bookmarkStart w:name="_bookmark19" w:id="53"/>
      <w:bookmarkEnd w:id="53"/>
      <w:r>
        <w:rPr/>
      </w:r>
      <w:r>
        <w:rPr>
          <w:b/>
          <w:color w:val="0093C1"/>
          <w:sz w:val="20"/>
        </w:rPr>
        <w:t>Chart 3.11 C</w:t>
      </w:r>
      <w:r>
        <w:rPr>
          <w:b/>
          <w:color w:val="0093C1"/>
          <w:sz w:val="16"/>
        </w:rPr>
        <w:t>IPS </w:t>
      </w:r>
      <w:r>
        <w:rPr>
          <w:b/>
          <w:color w:val="0093C1"/>
          <w:sz w:val="20"/>
        </w:rPr>
        <w:t>surveys</w:t>
      </w:r>
      <w:r>
        <w:rPr>
          <w:position w:val="4"/>
          <w:sz w:val="12"/>
        </w:rPr>
        <w:t>(a)</w:t>
      </w:r>
    </w:p>
    <w:p>
      <w:pPr>
        <w:pStyle w:val="BodyText"/>
        <w:spacing w:before="6" w:after="40"/>
        <w:rPr>
          <w:sz w:val="16"/>
        </w:rPr>
      </w:pPr>
    </w:p>
    <w:p>
      <w:pPr>
        <w:pStyle w:val="BodyText"/>
        <w:spacing w:line="20" w:lineRule="exact"/>
        <w:ind w:left="150"/>
        <w:rPr>
          <w:sz w:val="2"/>
        </w:rPr>
      </w:pPr>
      <w:r>
        <w:rPr>
          <w:sz w:val="2"/>
        </w:rPr>
        <w:pict>
          <v:group style="width:5pt;height:.5pt;mso-position-horizontal-relative:char;mso-position-vertical-relative:line" coordorigin="0,0" coordsize="100,10">
            <v:line style="position:absolute" from="100,5" to="0,5" stroked="true" strokeweight=".5pt" strokecolor="#000000">
              <v:stroke dashstyle="solid"/>
            </v:line>
          </v:group>
        </w:pict>
      </w:r>
      <w:r>
        <w:rPr>
          <w:sz w:val="2"/>
        </w:rPr>
      </w:r>
    </w:p>
    <w:p>
      <w:pPr>
        <w:pStyle w:val="BodyText"/>
        <w:rPr>
          <w:sz w:val="20"/>
        </w:rPr>
      </w:pPr>
      <w:r>
        <w:rPr/>
        <w:br w:type="column"/>
      </w:r>
      <w:r>
        <w:rPr>
          <w:sz w:val="20"/>
        </w:rPr>
      </w:r>
    </w:p>
    <w:p>
      <w:pPr>
        <w:pStyle w:val="BodyText"/>
        <w:rPr>
          <w:sz w:val="20"/>
        </w:rPr>
      </w:pPr>
    </w:p>
    <w:p>
      <w:pPr>
        <w:pStyle w:val="BodyText"/>
        <w:spacing w:before="3"/>
        <w:rPr>
          <w:sz w:val="29"/>
        </w:rPr>
      </w:pPr>
    </w:p>
    <w:p>
      <w:pPr>
        <w:spacing w:before="0"/>
        <w:ind w:left="165" w:right="0" w:firstLine="0"/>
        <w:jc w:val="left"/>
        <w:rPr>
          <w:sz w:val="12"/>
        </w:rPr>
      </w:pPr>
      <w:r>
        <w:rPr>
          <w:sz w:val="12"/>
        </w:rPr>
        <w:t>Index </w:t>
      </w:r>
      <w:r>
        <w:rPr>
          <w:position w:val="-7"/>
          <w:sz w:val="12"/>
        </w:rPr>
        <w:t>65.0</w:t>
      </w:r>
    </w:p>
    <w:p>
      <w:pPr>
        <w:pStyle w:val="Heading4"/>
        <w:spacing w:line="242" w:lineRule="auto" w:before="207"/>
        <w:ind w:left="165" w:right="292"/>
        <w:jc w:val="both"/>
      </w:pPr>
      <w:r>
        <w:rPr/>
        <w:br w:type="column"/>
      </w:r>
      <w:r>
        <w:rPr/>
        <w:t>employment (see Chart 3.11). And as </w:t>
      </w:r>
      <w:r>
        <w:rPr>
          <w:spacing w:val="-4"/>
        </w:rPr>
        <w:t>Table </w:t>
      </w:r>
      <w:r>
        <w:rPr/>
        <w:t>3.B shows, there has been a deterioration in recruitment intentions. The Manpower survey in December indicated the </w:t>
      </w:r>
      <w:r>
        <w:rPr>
          <w:spacing w:val="-4"/>
        </w:rPr>
        <w:t>lowest</w:t>
      </w:r>
    </w:p>
    <w:p>
      <w:pPr>
        <w:spacing w:after="0" w:line="242" w:lineRule="auto"/>
        <w:jc w:val="both"/>
        <w:sectPr>
          <w:type w:val="continuous"/>
          <w:pgSz w:w="11900" w:h="16840"/>
          <w:pgMar w:top="1220" w:bottom="280" w:left="640" w:right="600"/>
          <w:cols w:num="3" w:equalWidth="0">
            <w:col w:w="1427" w:space="1675"/>
            <w:col w:w="734" w:space="938"/>
            <w:col w:w="5886"/>
          </w:cols>
        </w:sectPr>
      </w:pPr>
    </w:p>
    <w:p>
      <w:pPr>
        <w:spacing w:before="7"/>
        <w:ind w:left="0" w:right="0" w:firstLine="0"/>
        <w:jc w:val="right"/>
        <w:rPr>
          <w:sz w:val="12"/>
        </w:rPr>
      </w:pPr>
      <w:r>
        <w:rPr/>
        <w:pict>
          <v:group style="position:absolute;margin-left:49.279999pt;margin-top:7.285171pt;width:160.5pt;height:126pt;mso-position-horizontal-relative:page;mso-position-vertical-relative:paragraph;z-index:15993344" coordorigin="986,146" coordsize="3210,2520">
            <v:shape style="position:absolute;left:3255;top:155;width:760;height:2100" coordorigin="3256,156" coordsize="760,2100" path="m3256,156l3296,336,3336,616,3376,796,3396,736,3436,736,3476,796,3576,996,3616,736,3656,616,3696,656,3716,816,3756,1016,3796,1316,3836,1596,3876,1696,3896,1796,3936,2116,3976,2256,4016,2196e" filled="false" stroked="true" strokeweight="1pt" strokecolor="#75442b">
              <v:path arrowok="t"/>
              <v:stroke dashstyle="solid"/>
            </v:shape>
            <v:shape style="position:absolute;left:2935;top:795;width:1080;height:1080" coordorigin="2936,796" coordsize="1080,1080" path="m2936,1196l2976,896,3016,796,3036,1056,3076,1216,3116,1076,3156,1116,3216,816,3256,1076,3296,936,3336,1096,3376,1056,3396,896,3436,1216,3476,1216,3516,1096,3556,1116,3576,1056,3616,1096,3656,976,3696,1136,3736,1056,3756,1036,3796,1136,3876,1456,3896,1576,3936,1636,4016,1876e" filled="false" stroked="true" strokeweight="1pt" strokecolor="#faab54">
              <v:path arrowok="t"/>
              <v:stroke dashstyle="solid"/>
            </v:shape>
            <v:shape style="position:absolute;left:995;top:1075;width:3020;height:1580" coordorigin="996,1076" coordsize="3020,1580" path="m996,2336l1036,2596,1076,2216,1116,2116,1136,2196,1176,2216,1256,2536,1296,2656,1316,2496,1356,2556,1396,2636,1436,2296,1476,2176,1496,2156,1536,2036,1576,1956,1616,2056,1656,1856,1676,1416,1716,1736,1756,1756,1796,1556,1836,1656,1856,1896,1896,1756,1936,1636,1976,1536,1996,1316,2036,1076,2076,1256,2116,1456,2156,1196,2176,1236,2216,1396,2256,1616,2296,1076,2336,1176,2356,1296,2396,1516,2436,1696,2476,1596,2516,1636,2536,1436,2576,1596,2616,1876,2656,1796,2696,1696,2716,2096,2756,1996,2796,1796,2836,1556,2856,2196,2896,1776,2936,1716,2976,1676,3016,1676,3036,1436,3076,1556,3116,1556,3156,1376,3196,1556,3216,1736,3256,1556,3296,1356,3336,1456,3376,1716,3396,1976,3436,1596,3476,1556,3516,1636,3556,1616,3576,1736,3616,1676,3656,1916,3696,1916,3736,1956,3756,2256,3796,2496,3836,2336,3876,2436,3896,2596,3936,2596,3976,2496,4016,2616e" filled="false" stroked="true" strokeweight="1pt" strokecolor="#0066a5">
              <v:path arrowok="t"/>
              <v:stroke dashstyle="solid"/>
            </v:shape>
            <v:shape style="position:absolute;left:4075;top:215;width:100;height:2420" coordorigin="4076,216" coordsize="100,2420" path="m4176,2636l4076,2636m4176,2336l4076,2336m4176,2036l4076,2036m4176,1736l4076,1736m4176,1436l4076,1436m4176,816l4076,816m4176,536l4076,536m4176,216l4076,216e" filled="false" stroked="true" strokeweight=".5pt" strokecolor="#000000">
              <v:path arrowok="t"/>
              <v:stroke dashstyle="solid"/>
            </v:shape>
            <v:line style="position:absolute" from="2099,1893" to="2026,2286" stroked="true" strokeweight=".5pt" strokecolor="#231f20">
              <v:stroke dashstyle="solid"/>
            </v:line>
            <v:shape style="position:absolute;left:2071;top:1826;width:50;height:88" coordorigin="2071,1826" coordsize="50,88" path="m2111,1826l2071,1905,2121,1914,2111,1846,2111,1835,2111,1826xe" filled="true" fillcolor="#231f20" stroked="false">
              <v:path arrowok="t"/>
              <v:fill type="solid"/>
            </v:shape>
            <v:line style="position:absolute" from="3215,1077" to="2922,450" stroked="true" strokeweight=".5pt" strokecolor="#000000">
              <v:stroke dashstyle="solid"/>
            </v:line>
            <v:shape style="position:absolute;left:3185;top:1050;width:59;height:88" coordorigin="3185,1051" coordsize="59,88" path="m3231,1051l3185,1072,3198,1084,3207,1093,3244,1138,3242,1130,3239,1119,3237,1107,3235,1094,3233,1082,3231,1051xe" filled="true" fillcolor="#000000" stroked="false">
              <v:path arrowok="t"/>
              <v:fill type="solid"/>
            </v:shape>
            <v:line style="position:absolute" from="992,1796" to="4012,1796" stroked="true" strokeweight=".5pt" strokecolor="#000000">
              <v:stroke dashstyle="dash"/>
            </v:line>
            <v:shape style="position:absolute;left:2158;top:312;width:2037;height:860" type="#_x0000_t202" filled="false" stroked="false">
              <v:textbox inset="0,0,0,0">
                <w:txbxContent>
                  <w:p>
                    <w:pPr>
                      <w:spacing w:line="208" w:lineRule="auto" w:before="9"/>
                      <w:ind w:left="60" w:right="1114" w:hanging="60"/>
                      <w:jc w:val="left"/>
                      <w:rPr>
                        <w:sz w:val="12"/>
                      </w:rPr>
                    </w:pPr>
                    <w:r>
                      <w:rPr>
                        <w:sz w:val="12"/>
                      </w:rPr>
                      <w:t>Average (services) since 1996</w:t>
                    </w:r>
                  </w:p>
                  <w:p>
                    <w:pPr>
                      <w:spacing w:line="240" w:lineRule="auto" w:before="0"/>
                      <w:rPr>
                        <w:sz w:val="12"/>
                      </w:rPr>
                    </w:pPr>
                  </w:p>
                  <w:p>
                    <w:pPr>
                      <w:spacing w:line="240" w:lineRule="auto" w:before="6"/>
                      <w:rPr>
                        <w:sz w:val="10"/>
                      </w:rPr>
                    </w:pPr>
                  </w:p>
                  <w:p>
                    <w:pPr>
                      <w:spacing w:before="0"/>
                      <w:ind w:left="226" w:right="0" w:firstLine="0"/>
                      <w:jc w:val="left"/>
                      <w:rPr>
                        <w:sz w:val="12"/>
                      </w:rPr>
                    </w:pPr>
                    <w:r>
                      <w:rPr>
                        <w:sz w:val="12"/>
                      </w:rPr>
                      <w:t>Services (c)</w:t>
                    </w:r>
                  </w:p>
                  <w:p>
                    <w:pPr>
                      <w:tabs>
                        <w:tab w:pos="1853" w:val="left" w:leader="none"/>
                      </w:tabs>
                      <w:spacing w:before="75"/>
                      <w:ind w:left="773" w:right="0" w:firstLine="0"/>
                      <w:jc w:val="left"/>
                      <w:rPr>
                        <w:sz w:val="12"/>
                      </w:rPr>
                    </w:pPr>
                    <w:r>
                      <w:rPr>
                        <w:sz w:val="12"/>
                        <w:u w:val="dotted"/>
                      </w:rPr>
                      <w:t> </w:t>
                      <w:tab/>
                    </w:r>
                    <w:r>
                      <w:rPr>
                        <w:sz w:val="12"/>
                      </w:rPr>
                      <w:t> </w:t>
                    </w:r>
                    <w:r>
                      <w:rPr>
                        <w:spacing w:val="3"/>
                        <w:sz w:val="12"/>
                      </w:rPr>
                      <w:t> </w:t>
                    </w:r>
                    <w:r>
                      <w:rPr>
                        <w:sz w:val="12"/>
                        <w:u w:val="dotted"/>
                      </w:rPr>
                      <w:t> </w:t>
                    </w:r>
                    <w:r>
                      <w:rPr>
                        <w:spacing w:val="10"/>
                        <w:sz w:val="12"/>
                        <w:u w:val="dotted"/>
                      </w:rPr>
                      <w:t> </w:t>
                    </w:r>
                  </w:p>
                </w:txbxContent>
              </v:textbox>
              <w10:wrap type="none"/>
            </v:shape>
            <v:shape style="position:absolute;left:1632;top:2278;width:1237;height:253" type="#_x0000_t202" filled="false" stroked="false">
              <v:textbox inset="0,0,0,0">
                <w:txbxContent>
                  <w:p>
                    <w:pPr>
                      <w:spacing w:line="208" w:lineRule="auto" w:before="9"/>
                      <w:ind w:left="60" w:right="0" w:hanging="60"/>
                      <w:jc w:val="left"/>
                      <w:rPr>
                        <w:sz w:val="12"/>
                      </w:rPr>
                    </w:pPr>
                    <w:r>
                      <w:rPr>
                        <w:sz w:val="12"/>
                      </w:rPr>
                      <w:t>Average (manufacturing) since 1992</w:t>
                    </w:r>
                  </w:p>
                </w:txbxContent>
              </v:textbox>
              <w10:wrap type="none"/>
            </v:shape>
            <v:shape style="position:absolute;left:3032;top:2358;width:734;height:133" type="#_x0000_t202" filled="false" stroked="false">
              <v:textbox inset="0,0,0,0">
                <w:txbxContent>
                  <w:p>
                    <w:pPr>
                      <w:spacing w:line="133" w:lineRule="exact" w:before="0"/>
                      <w:ind w:left="0" w:right="0" w:firstLine="0"/>
                      <w:jc w:val="left"/>
                      <w:rPr>
                        <w:sz w:val="12"/>
                      </w:rPr>
                    </w:pPr>
                    <w:r>
                      <w:rPr>
                        <w:sz w:val="12"/>
                      </w:rPr>
                      <w:t>Manufacturing</w:t>
                    </w:r>
                  </w:p>
                </w:txbxContent>
              </v:textbox>
              <w10:wrap type="none"/>
            </v:shape>
            <w10:wrap type="none"/>
          </v:group>
        </w:pict>
      </w:r>
      <w:r>
        <w:rPr/>
        <w:pict>
          <v:shape style="position:absolute;margin-left:49.779999pt;margin-top:141.785172pt;width:159pt;height:5pt;mso-position-horizontal-relative:page;mso-position-vertical-relative:paragraph;z-index:15993856" coordorigin="996,2836" coordsize="3180,100" path="m4176,2936l4076,2936m996,2936l4016,2936m996,2936l996,2896m1116,2936l1116,2896m1216,2936l1216,2896m1316,2936l1316,2896m1436,2936l1436,2896m1536,2936l1536,2896m1656,2936l1656,2896m1756,2936l1756,2896m1856,2936l1856,2896m1976,2936l1976,2896m2076,2936l2076,2896m2176,2936l2176,2896m2296,2936l2296,2896m2396,2936l2396,2896m2516,2936l2516,2896m2616,2936l2616,2896m2716,2936l2716,2896m2836,2936l2836,2896m2936,2936l2936,2896m3036,2936l3036,2896m3156,2936l3156,2896m3256,2936l3256,2896m3356,2936l3356,2896m3476,2936l3476,2896m3576,2936l3576,2896m3696,2936l3696,2896m3796,2936l3796,2896m3896,2936l3896,2896m4016,2936l4016,2896m996,2936l996,2836m1436,2936l1436,2836m1856,2936l1856,2836m2296,2936l2296,2836m2716,2936l2716,2836m3156,2936l3156,2836m3576,2936l3576,2836m4016,2936l4016,2836e" filled="false" stroked="true" strokeweight=".5pt" strokecolor="#000000">
            <v:path arrowok="t"/>
            <v:stroke dashstyle="solid"/>
            <w10:wrap type="none"/>
          </v:shape>
        </w:pict>
      </w:r>
      <w:r>
        <w:rPr/>
        <w:pict>
          <v:line style="position:absolute;mso-position-horizontal-relative:page;mso-position-vertical-relative:paragraph;z-index:-21023744" from="208.779999pt,-4.214829pt" to="203.779999pt,-4.214829pt" stroked="true" strokeweight=".5pt" strokecolor="#000000">
            <v:stroke dashstyle="solid"/>
            <w10:wrap type="none"/>
          </v:line>
        </w:pict>
      </w:r>
      <w:r>
        <w:rPr>
          <w:sz w:val="12"/>
        </w:rPr>
        <w:t>Construction (b)</w:t>
      </w:r>
    </w:p>
    <w:p>
      <w:pPr>
        <w:pStyle w:val="BodyText"/>
        <w:spacing w:before="8"/>
        <w:rPr>
          <w:sz w:val="5"/>
        </w:rPr>
      </w:pPr>
    </w:p>
    <w:p>
      <w:pPr>
        <w:pStyle w:val="BodyText"/>
        <w:spacing w:line="20" w:lineRule="exact"/>
        <w:ind w:left="150"/>
        <w:rPr>
          <w:sz w:val="2"/>
        </w:rPr>
      </w:pPr>
      <w:r>
        <w:rPr>
          <w:sz w:val="2"/>
        </w:rPr>
        <w:pict>
          <v:group style="width:5pt;height:.5pt;mso-position-horizontal-relative:char;mso-position-vertical-relative:line" coordorigin="0,0" coordsize="100,10">
            <v:line style="position:absolute" from="100,5" to="0,5" stroked="true" strokeweight=".5pt" strokecolor="#000000">
              <v:stroke dashstyle="solid"/>
            </v:line>
          </v:group>
        </w:pict>
      </w:r>
      <w:r>
        <w:rPr>
          <w:sz w:val="2"/>
        </w:rPr>
      </w:r>
    </w:p>
    <w:p>
      <w:pPr>
        <w:pStyle w:val="BodyText"/>
        <w:spacing w:before="8"/>
        <w:rPr>
          <w:sz w:val="22"/>
        </w:rPr>
      </w:pPr>
      <w:r>
        <w:rPr/>
        <w:pict>
          <v:shape style="position:absolute;margin-left:39.779999pt;margin-top:15.255889pt;width:5pt;height:.1pt;mso-position-horizontal-relative:page;mso-position-vertical-relative:paragraph;z-index:-15471616;mso-wrap-distance-left:0;mso-wrap-distance-right:0" coordorigin="796,305" coordsize="100,0" path="m896,305l796,305e" filled="false" stroked="true" strokeweight=".5pt" strokecolor="#000000">
            <v:path arrowok="t"/>
            <v:stroke dashstyle="solid"/>
            <w10:wrap type="topAndBottom"/>
          </v:shape>
        </w:pict>
      </w:r>
      <w:r>
        <w:rPr/>
        <w:pict>
          <v:shape style="position:absolute;margin-left:39.779999pt;margin-top:29.255888pt;width:5pt;height:.1pt;mso-position-horizontal-relative:page;mso-position-vertical-relative:paragraph;z-index:-15471104;mso-wrap-distance-left:0;mso-wrap-distance-right:0" coordorigin="796,585" coordsize="100,0" path="m896,585l796,585e" filled="false" stroked="true" strokeweight=".5pt" strokecolor="#000000">
            <v:path arrowok="t"/>
            <v:stroke dashstyle="solid"/>
            <w10:wrap type="topAndBottom"/>
          </v:shape>
        </w:pict>
      </w:r>
      <w:r>
        <w:rPr/>
        <w:pict>
          <v:shape style="position:absolute;margin-left:39.779999pt;margin-top:45.25589pt;width:5pt;height:.1pt;mso-position-horizontal-relative:page;mso-position-vertical-relative:paragraph;z-index:-15470592;mso-wrap-distance-left:0;mso-wrap-distance-right:0" coordorigin="796,905" coordsize="100,0" path="m896,905l796,905e" filled="false" stroked="true" strokeweight=".5pt" strokecolor="#000000">
            <v:path arrowok="t"/>
            <v:stroke dashstyle="solid"/>
            <w10:wrap type="topAndBottom"/>
          </v:shape>
        </w:pict>
      </w:r>
      <w:r>
        <w:rPr/>
        <w:pict>
          <v:shape style="position:absolute;margin-left:39.779999pt;margin-top:60.25589pt;width:5pt;height:.1pt;mso-position-horizontal-relative:page;mso-position-vertical-relative:paragraph;z-index:-15470080;mso-wrap-distance-left:0;mso-wrap-distance-right:0" coordorigin="796,1205" coordsize="100,0" path="m896,1205l796,1205e" filled="false" stroked="true" strokeweight=".5pt" strokecolor="#000000">
            <v:path arrowok="t"/>
            <v:stroke dashstyle="solid"/>
            <w10:wrap type="topAndBottom"/>
          </v:shape>
        </w:pict>
      </w:r>
      <w:r>
        <w:rPr/>
        <w:pict>
          <v:shape style="position:absolute;margin-left:39.779999pt;margin-top:75.255890pt;width:5pt;height:.1pt;mso-position-horizontal-relative:page;mso-position-vertical-relative:paragraph;z-index:-15469568;mso-wrap-distance-left:0;mso-wrap-distance-right:0" coordorigin="796,1505" coordsize="100,0" path="m896,1505l796,1505e" filled="false" stroked="true" strokeweight=".5pt" strokecolor="#000000">
            <v:path arrowok="t"/>
            <v:stroke dashstyle="solid"/>
            <w10:wrap type="topAndBottom"/>
          </v:shape>
        </w:pict>
      </w:r>
      <w:r>
        <w:rPr/>
        <w:pict>
          <v:shape style="position:absolute;margin-left:39.779999pt;margin-top:90.25589pt;width:5pt;height:.1pt;mso-position-horizontal-relative:page;mso-position-vertical-relative:paragraph;z-index:-15469056;mso-wrap-distance-left:0;mso-wrap-distance-right:0" coordorigin="796,1805" coordsize="100,0" path="m896,1805l796,1805e" filled="false" stroked="true" strokeweight=".5pt" strokecolor="#000000">
            <v:path arrowok="t"/>
            <v:stroke dashstyle="solid"/>
            <w10:wrap type="topAndBottom"/>
          </v:shape>
        </w:pict>
      </w:r>
      <w:r>
        <w:rPr/>
        <w:pict>
          <v:shape style="position:absolute;margin-left:39.779999pt;margin-top:105.25589pt;width:5pt;height:.1pt;mso-position-horizontal-relative:page;mso-position-vertical-relative:paragraph;z-index:-15468544;mso-wrap-distance-left:0;mso-wrap-distance-right:0" coordorigin="796,2105" coordsize="100,0" path="m896,2105l796,2105e" filled="false" stroked="true" strokeweight=".5pt" strokecolor="#000000">
            <v:path arrowok="t"/>
            <v:stroke dashstyle="solid"/>
            <w10:wrap type="topAndBottom"/>
          </v:shape>
        </w:pict>
      </w:r>
      <w:r>
        <w:rPr/>
        <w:pict>
          <v:shape style="position:absolute;margin-left:39.779999pt;margin-top:120.25589pt;width:5pt;height:.1pt;mso-position-horizontal-relative:page;mso-position-vertical-relative:paragraph;z-index:-15468032;mso-wrap-distance-left:0;mso-wrap-distance-right:0" coordorigin="796,2405" coordsize="100,0" path="m896,2405l796,2405e" filled="false" stroked="true" strokeweight=".5pt" strokecolor="#000000">
            <v:path arrowok="t"/>
            <v:stroke dashstyle="solid"/>
            <w10:wrap type="topAndBottom"/>
          </v:shape>
        </w:pict>
      </w:r>
      <w:r>
        <w:rPr/>
        <w:pict>
          <v:shape style="position:absolute;margin-left:39.779999pt;margin-top:135.25589pt;width:5pt;height:.1pt;mso-position-horizontal-relative:page;mso-position-vertical-relative:paragraph;z-index:-15467520;mso-wrap-distance-left:0;mso-wrap-distance-right:0" coordorigin="796,2705" coordsize="100,0" path="m896,2705l796,2705e" filled="false" stroked="true" strokeweight=".5pt" strokecolor="#000000">
            <v:path arrowok="t"/>
            <v:stroke dashstyle="solid"/>
            <w10:wrap type="topAndBottom"/>
          </v:shape>
        </w:pict>
      </w:r>
    </w:p>
    <w:p>
      <w:pPr>
        <w:pStyle w:val="BodyText"/>
        <w:spacing w:before="6"/>
        <w:rPr>
          <w:sz w:val="17"/>
        </w:rPr>
      </w:pPr>
    </w:p>
    <w:p>
      <w:pPr>
        <w:pStyle w:val="BodyText"/>
        <w:rPr>
          <w:sz w:val="21"/>
        </w:rPr>
      </w:pPr>
    </w:p>
    <w:p>
      <w:pPr>
        <w:pStyle w:val="BodyText"/>
        <w:spacing w:before="3"/>
        <w:rPr>
          <w:sz w:val="19"/>
        </w:rPr>
      </w:pPr>
    </w:p>
    <w:p>
      <w:pPr>
        <w:pStyle w:val="BodyText"/>
        <w:spacing w:before="3"/>
        <w:rPr>
          <w:sz w:val="19"/>
        </w:rPr>
      </w:pPr>
    </w:p>
    <w:p>
      <w:pPr>
        <w:pStyle w:val="BodyText"/>
        <w:spacing w:before="3"/>
        <w:rPr>
          <w:sz w:val="19"/>
        </w:rPr>
      </w:pPr>
    </w:p>
    <w:p>
      <w:pPr>
        <w:pStyle w:val="BodyText"/>
        <w:spacing w:before="3"/>
        <w:rPr>
          <w:sz w:val="19"/>
        </w:rPr>
      </w:pPr>
    </w:p>
    <w:p>
      <w:pPr>
        <w:pStyle w:val="BodyText"/>
        <w:spacing w:before="3"/>
        <w:rPr>
          <w:sz w:val="19"/>
        </w:rPr>
      </w:pPr>
    </w:p>
    <w:p>
      <w:pPr>
        <w:pStyle w:val="BodyText"/>
        <w:spacing w:before="3"/>
        <w:rPr>
          <w:sz w:val="19"/>
        </w:rPr>
      </w:pPr>
    </w:p>
    <w:p>
      <w:pPr>
        <w:tabs>
          <w:tab w:pos="925" w:val="left" w:leader="none"/>
          <w:tab w:pos="1345" w:val="left" w:leader="none"/>
          <w:tab w:pos="1785" w:val="left" w:leader="none"/>
          <w:tab w:pos="2225" w:val="left" w:leader="none"/>
          <w:tab w:pos="2665" w:val="left" w:leader="none"/>
          <w:tab w:pos="3105" w:val="left" w:leader="none"/>
        </w:tabs>
        <w:spacing w:before="0"/>
        <w:ind w:left="445" w:right="0" w:firstLine="0"/>
        <w:jc w:val="left"/>
        <w:rPr>
          <w:sz w:val="12"/>
        </w:rPr>
      </w:pPr>
      <w:r>
        <w:rPr>
          <w:sz w:val="12"/>
        </w:rPr>
        <w:t>1992</w:t>
        <w:tab/>
        <w:t>93</w:t>
        <w:tab/>
        <w:t>94</w:t>
        <w:tab/>
        <w:t>95</w:t>
        <w:tab/>
        <w:t>96</w:t>
        <w:tab/>
        <w:t>97</w:t>
        <w:tab/>
        <w:t>98</w:t>
      </w:r>
    </w:p>
    <w:p>
      <w:pPr>
        <w:pStyle w:val="BodyText"/>
        <w:spacing w:before="7"/>
        <w:rPr>
          <w:sz w:val="11"/>
        </w:rPr>
      </w:pPr>
      <w:r>
        <w:rPr/>
        <w:br w:type="column"/>
      </w:r>
      <w:r>
        <w:rPr>
          <w:sz w:val="11"/>
        </w:rPr>
      </w:r>
    </w:p>
    <w:p>
      <w:pPr>
        <w:spacing w:before="0"/>
        <w:ind w:left="210" w:right="0" w:firstLine="0"/>
        <w:jc w:val="left"/>
        <w:rPr>
          <w:sz w:val="12"/>
        </w:rPr>
      </w:pPr>
      <w:r>
        <w:rPr>
          <w:sz w:val="12"/>
        </w:rPr>
        <w:t>62.5</w:t>
      </w:r>
    </w:p>
    <w:p>
      <w:pPr>
        <w:pStyle w:val="BodyText"/>
        <w:spacing w:before="1"/>
        <w:rPr>
          <w:sz w:val="14"/>
        </w:rPr>
      </w:pPr>
    </w:p>
    <w:p>
      <w:pPr>
        <w:spacing w:before="0"/>
        <w:ind w:left="210" w:right="0" w:firstLine="0"/>
        <w:jc w:val="left"/>
        <w:rPr>
          <w:sz w:val="12"/>
        </w:rPr>
      </w:pPr>
      <w:r>
        <w:rPr>
          <w:sz w:val="12"/>
        </w:rPr>
        <w:t>60.0</w:t>
      </w:r>
    </w:p>
    <w:p>
      <w:pPr>
        <w:pStyle w:val="BodyText"/>
        <w:spacing w:before="1"/>
        <w:rPr>
          <w:sz w:val="14"/>
        </w:rPr>
      </w:pPr>
    </w:p>
    <w:p>
      <w:pPr>
        <w:spacing w:before="0"/>
        <w:ind w:left="210" w:right="0" w:firstLine="0"/>
        <w:jc w:val="left"/>
        <w:rPr>
          <w:sz w:val="12"/>
        </w:rPr>
      </w:pPr>
      <w:r>
        <w:rPr>
          <w:sz w:val="12"/>
        </w:rPr>
        <w:t>57.5</w:t>
      </w:r>
    </w:p>
    <w:p>
      <w:pPr>
        <w:pStyle w:val="BodyText"/>
        <w:spacing w:before="1"/>
        <w:rPr>
          <w:sz w:val="14"/>
        </w:rPr>
      </w:pPr>
    </w:p>
    <w:p>
      <w:pPr>
        <w:spacing w:before="0"/>
        <w:ind w:left="210" w:right="0" w:firstLine="0"/>
        <w:jc w:val="left"/>
        <w:rPr>
          <w:sz w:val="12"/>
        </w:rPr>
      </w:pPr>
      <w:r>
        <w:rPr>
          <w:sz w:val="12"/>
        </w:rPr>
        <w:t>55.0</w:t>
      </w:r>
    </w:p>
    <w:p>
      <w:pPr>
        <w:pStyle w:val="BodyText"/>
        <w:spacing w:before="1"/>
        <w:rPr>
          <w:sz w:val="14"/>
        </w:rPr>
      </w:pPr>
    </w:p>
    <w:p>
      <w:pPr>
        <w:spacing w:before="0"/>
        <w:ind w:left="210" w:right="0" w:firstLine="0"/>
        <w:jc w:val="left"/>
        <w:rPr>
          <w:sz w:val="12"/>
        </w:rPr>
      </w:pPr>
      <w:r>
        <w:rPr>
          <w:sz w:val="12"/>
        </w:rPr>
        <w:t>52.5</w:t>
      </w:r>
    </w:p>
    <w:p>
      <w:pPr>
        <w:pStyle w:val="BodyText"/>
        <w:spacing w:before="1"/>
        <w:rPr>
          <w:sz w:val="14"/>
        </w:rPr>
      </w:pPr>
    </w:p>
    <w:p>
      <w:pPr>
        <w:spacing w:before="0"/>
        <w:ind w:left="210" w:right="0" w:firstLine="0"/>
        <w:jc w:val="left"/>
        <w:rPr>
          <w:sz w:val="12"/>
        </w:rPr>
      </w:pPr>
      <w:r>
        <w:rPr>
          <w:sz w:val="12"/>
        </w:rPr>
        <w:t>50.0</w:t>
      </w:r>
    </w:p>
    <w:p>
      <w:pPr>
        <w:pStyle w:val="BodyText"/>
        <w:spacing w:before="1"/>
        <w:rPr>
          <w:sz w:val="14"/>
        </w:rPr>
      </w:pPr>
    </w:p>
    <w:p>
      <w:pPr>
        <w:spacing w:before="0"/>
        <w:ind w:left="210" w:right="0" w:firstLine="0"/>
        <w:jc w:val="left"/>
        <w:rPr>
          <w:sz w:val="12"/>
        </w:rPr>
      </w:pPr>
      <w:r>
        <w:rPr>
          <w:sz w:val="12"/>
        </w:rPr>
        <w:t>47.5</w:t>
      </w:r>
    </w:p>
    <w:p>
      <w:pPr>
        <w:pStyle w:val="BodyText"/>
        <w:spacing w:before="1"/>
        <w:rPr>
          <w:sz w:val="14"/>
        </w:rPr>
      </w:pPr>
    </w:p>
    <w:p>
      <w:pPr>
        <w:spacing w:before="0"/>
        <w:ind w:left="210" w:right="0" w:firstLine="0"/>
        <w:jc w:val="left"/>
        <w:rPr>
          <w:sz w:val="12"/>
        </w:rPr>
      </w:pPr>
      <w:r>
        <w:rPr>
          <w:sz w:val="12"/>
        </w:rPr>
        <w:t>45.0</w:t>
      </w:r>
    </w:p>
    <w:p>
      <w:pPr>
        <w:pStyle w:val="BodyText"/>
        <w:spacing w:before="1"/>
        <w:rPr>
          <w:sz w:val="14"/>
        </w:rPr>
      </w:pPr>
    </w:p>
    <w:p>
      <w:pPr>
        <w:spacing w:before="0"/>
        <w:ind w:left="210" w:right="0" w:firstLine="0"/>
        <w:jc w:val="left"/>
        <w:rPr>
          <w:sz w:val="12"/>
        </w:rPr>
      </w:pPr>
      <w:r>
        <w:rPr>
          <w:sz w:val="12"/>
        </w:rPr>
        <w:t>42.5</w:t>
      </w:r>
    </w:p>
    <w:p>
      <w:pPr>
        <w:pStyle w:val="BodyText"/>
        <w:spacing w:before="4"/>
        <w:rPr>
          <w:sz w:val="16"/>
        </w:rPr>
      </w:pPr>
    </w:p>
    <w:p>
      <w:pPr>
        <w:spacing w:before="1"/>
        <w:ind w:left="210" w:right="0" w:firstLine="0"/>
        <w:jc w:val="left"/>
        <w:rPr>
          <w:sz w:val="12"/>
        </w:rPr>
      </w:pPr>
      <w:r>
        <w:rPr>
          <w:sz w:val="12"/>
        </w:rPr>
        <w:t>40.0</w:t>
      </w:r>
    </w:p>
    <w:p>
      <w:pPr>
        <w:pStyle w:val="Heading4"/>
        <w:spacing w:line="242" w:lineRule="auto" w:before="4"/>
        <w:ind w:left="445" w:right="121"/>
      </w:pPr>
      <w:r>
        <w:rPr/>
        <w:br w:type="column"/>
      </w:r>
      <w:r>
        <w:rPr/>
        <w:t>net balance for five years. But when seasonal adjustment is taken into account, the balance is much closer to its average level since 1988.</w:t>
      </w:r>
    </w:p>
    <w:p>
      <w:pPr>
        <w:pStyle w:val="BodyText"/>
        <w:spacing w:before="7"/>
        <w:rPr>
          <w:sz w:val="24"/>
        </w:rPr>
      </w:pPr>
    </w:p>
    <w:p>
      <w:pPr>
        <w:spacing w:line="242" w:lineRule="auto" w:before="1"/>
        <w:ind w:left="445" w:right="242" w:firstLine="0"/>
        <w:jc w:val="left"/>
        <w:rPr>
          <w:sz w:val="24"/>
        </w:rPr>
      </w:pPr>
      <w:r>
        <w:rPr>
          <w:sz w:val="24"/>
        </w:rPr>
        <w:t>Chart 3.12 shows evidence from the CBI suggesting that reported shortages of both skilled and unskilled labour have decreased in recent quarters, though these have risen slightly on the latest data. Shortages in the skilled and unskilled sectors of the labour market are often cited by employers as an important factor underpinning wage pressure. The reduction in the percentage balance of</w:t>
      </w:r>
    </w:p>
    <w:p>
      <w:pPr>
        <w:spacing w:after="0" w:line="242" w:lineRule="auto"/>
        <w:jc w:val="left"/>
        <w:rPr>
          <w:sz w:val="24"/>
        </w:rPr>
        <w:sectPr>
          <w:type w:val="continuous"/>
          <w:pgSz w:w="11900" w:h="16840"/>
          <w:pgMar w:top="1220" w:bottom="280" w:left="640" w:right="600"/>
          <w:cols w:num="3" w:equalWidth="0">
            <w:col w:w="3336" w:space="40"/>
            <w:col w:w="461" w:space="658"/>
            <w:col w:w="6165"/>
          </w:cols>
        </w:sectPr>
      </w:pPr>
    </w:p>
    <w:p>
      <w:pPr>
        <w:pStyle w:val="BodyText"/>
        <w:spacing w:before="1"/>
        <w:rPr>
          <w:sz w:val="16"/>
        </w:rPr>
      </w:pPr>
    </w:p>
    <w:p>
      <w:pPr>
        <w:pStyle w:val="ListParagraph"/>
        <w:numPr>
          <w:ilvl w:val="0"/>
          <w:numId w:val="20"/>
        </w:numPr>
        <w:tabs>
          <w:tab w:pos="404" w:val="left" w:leader="none"/>
        </w:tabs>
        <w:spacing w:line="208" w:lineRule="auto" w:before="0" w:after="0"/>
        <w:ind w:left="403" w:right="294" w:hanging="240"/>
        <w:jc w:val="left"/>
        <w:rPr>
          <w:sz w:val="12"/>
        </w:rPr>
      </w:pPr>
      <w:r>
        <w:rPr>
          <w:sz w:val="12"/>
        </w:rPr>
        <w:t>The Chartered Institute of Purchasing and Supply. Respondents were asked to compare the level of employment at their unit with the</w:t>
      </w:r>
      <w:r>
        <w:rPr>
          <w:spacing w:val="-17"/>
          <w:sz w:val="12"/>
        </w:rPr>
        <w:t> </w:t>
      </w:r>
      <w:r>
        <w:rPr>
          <w:sz w:val="12"/>
        </w:rPr>
        <w:t>situation</w:t>
      </w:r>
    </w:p>
    <w:p>
      <w:pPr>
        <w:spacing w:line="114" w:lineRule="exact" w:before="0"/>
        <w:ind w:left="403" w:right="0" w:firstLine="0"/>
        <w:jc w:val="left"/>
        <w:rPr>
          <w:sz w:val="12"/>
        </w:rPr>
      </w:pPr>
      <w:r>
        <w:rPr>
          <w:sz w:val="12"/>
        </w:rPr>
        <w:t>one month ago. A result greater than 50 indicates an increase in employment.</w:t>
      </w:r>
    </w:p>
    <w:p>
      <w:pPr>
        <w:pStyle w:val="ListParagraph"/>
        <w:numPr>
          <w:ilvl w:val="0"/>
          <w:numId w:val="20"/>
        </w:numPr>
        <w:tabs>
          <w:tab w:pos="404" w:val="left" w:leader="none"/>
        </w:tabs>
        <w:spacing w:line="120" w:lineRule="exact" w:before="0" w:after="0"/>
        <w:ind w:left="403" w:right="0" w:hanging="241"/>
        <w:jc w:val="left"/>
        <w:rPr>
          <w:sz w:val="12"/>
        </w:rPr>
      </w:pPr>
      <w:r>
        <w:rPr>
          <w:sz w:val="12"/>
        </w:rPr>
        <w:t>The construction series began in April 1997.</w:t>
      </w:r>
    </w:p>
    <w:p>
      <w:pPr>
        <w:pStyle w:val="ListParagraph"/>
        <w:numPr>
          <w:ilvl w:val="0"/>
          <w:numId w:val="20"/>
        </w:numPr>
        <w:tabs>
          <w:tab w:pos="404" w:val="left" w:leader="none"/>
        </w:tabs>
        <w:spacing w:line="129" w:lineRule="exact" w:before="0" w:after="0"/>
        <w:ind w:left="403" w:right="0" w:hanging="241"/>
        <w:jc w:val="left"/>
        <w:rPr>
          <w:sz w:val="12"/>
        </w:rPr>
      </w:pPr>
      <w:r>
        <w:rPr>
          <w:sz w:val="12"/>
        </w:rPr>
        <w:t>The services series began in July 1996.</w:t>
      </w:r>
    </w:p>
    <w:p>
      <w:pPr>
        <w:pStyle w:val="BodyText"/>
        <w:rPr>
          <w:sz w:val="12"/>
        </w:rPr>
      </w:pPr>
    </w:p>
    <w:p>
      <w:pPr>
        <w:pStyle w:val="BodyText"/>
        <w:rPr>
          <w:sz w:val="12"/>
        </w:rPr>
      </w:pPr>
    </w:p>
    <w:p>
      <w:pPr>
        <w:pStyle w:val="BodyText"/>
        <w:rPr>
          <w:sz w:val="12"/>
        </w:rPr>
      </w:pPr>
    </w:p>
    <w:p>
      <w:pPr>
        <w:pStyle w:val="BodyText"/>
        <w:spacing w:before="10"/>
        <w:rPr>
          <w:sz w:val="13"/>
        </w:rPr>
      </w:pPr>
    </w:p>
    <w:p>
      <w:pPr>
        <w:pStyle w:val="Heading7"/>
        <w:spacing w:before="0"/>
        <w:ind w:left="160"/>
      </w:pPr>
      <w:r>
        <w:rPr>
          <w:color w:val="0093C1"/>
        </w:rPr>
        <w:t>Table 3.B</w:t>
      </w:r>
    </w:p>
    <w:p>
      <w:pPr>
        <w:spacing w:before="10"/>
        <w:ind w:left="160" w:right="0" w:firstLine="0"/>
        <w:jc w:val="left"/>
        <w:rPr>
          <w:sz w:val="12"/>
        </w:rPr>
      </w:pPr>
      <w:r>
        <w:rPr>
          <w:b/>
          <w:color w:val="0093C1"/>
          <w:sz w:val="20"/>
        </w:rPr>
        <w:t>Surveys of employment intentions</w:t>
      </w:r>
      <w:r>
        <w:rPr>
          <w:position w:val="4"/>
          <w:sz w:val="12"/>
        </w:rPr>
        <w:t>(a)</w:t>
      </w:r>
    </w:p>
    <w:p>
      <w:pPr>
        <w:spacing w:before="106"/>
        <w:ind w:left="160" w:right="0" w:firstLine="0"/>
        <w:jc w:val="left"/>
        <w:rPr>
          <w:sz w:val="14"/>
        </w:rPr>
      </w:pPr>
      <w:r>
        <w:rPr>
          <w:sz w:val="14"/>
        </w:rPr>
        <w:t>Percentage balance of employers planning to recruit staff</w:t>
      </w:r>
    </w:p>
    <w:p>
      <w:pPr>
        <w:pStyle w:val="BodyText"/>
        <w:spacing w:before="10"/>
        <w:rPr>
          <w:sz w:val="10"/>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40"/>
        <w:gridCol w:w="800"/>
        <w:gridCol w:w="567"/>
        <w:gridCol w:w="590"/>
        <w:gridCol w:w="560"/>
        <w:gridCol w:w="473"/>
      </w:tblGrid>
      <w:tr>
        <w:trPr>
          <w:trHeight w:val="295" w:hRule="atLeast"/>
        </w:trPr>
        <w:tc>
          <w:tcPr>
            <w:tcW w:w="2140" w:type="dxa"/>
            <w:gridSpan w:val="2"/>
          </w:tcPr>
          <w:p>
            <w:pPr>
              <w:pStyle w:val="TableParagraph"/>
              <w:spacing w:line="140" w:lineRule="exact" w:before="12"/>
              <w:ind w:left="1390" w:right="119"/>
              <w:rPr>
                <w:sz w:val="12"/>
              </w:rPr>
            </w:pPr>
            <w:r>
              <w:rPr>
                <w:sz w:val="14"/>
              </w:rPr>
              <w:t>Series </w:t>
            </w:r>
            <w:r>
              <w:rPr>
                <w:sz w:val="14"/>
                <w:u w:val="single"/>
              </w:rPr>
              <w:t>average </w:t>
            </w:r>
            <w:r>
              <w:rPr>
                <w:sz w:val="12"/>
                <w:u w:val="single"/>
              </w:rPr>
              <w:t>(b</w:t>
            </w:r>
            <w:r>
              <w:rPr>
                <w:sz w:val="12"/>
              </w:rPr>
              <w:t>)</w:t>
            </w:r>
          </w:p>
        </w:tc>
        <w:tc>
          <w:tcPr>
            <w:tcW w:w="2190" w:type="dxa"/>
            <w:gridSpan w:val="4"/>
          </w:tcPr>
          <w:p>
            <w:pPr>
              <w:pStyle w:val="TableParagraph"/>
              <w:tabs>
                <w:tab w:pos="2139" w:val="left" w:leader="none"/>
              </w:tabs>
              <w:spacing w:line="145" w:lineRule="exact"/>
              <w:ind w:left="140"/>
              <w:rPr>
                <w:sz w:val="14"/>
              </w:rPr>
            </w:pPr>
            <w:r>
              <w:rPr>
                <w:sz w:val="14"/>
                <w:u w:val="single"/>
              </w:rPr>
              <w:t>1998</w:t>
              <w:tab/>
            </w:r>
          </w:p>
          <w:p>
            <w:pPr>
              <w:pStyle w:val="TableParagraph"/>
              <w:tabs>
                <w:tab w:pos="732" w:val="left" w:leader="none"/>
                <w:tab w:pos="1349" w:val="left" w:leader="none"/>
                <w:tab w:pos="1852" w:val="left" w:leader="none"/>
              </w:tabs>
              <w:spacing w:line="130" w:lineRule="exact"/>
              <w:ind w:left="140"/>
              <w:rPr>
                <w:sz w:val="14"/>
              </w:rPr>
            </w:pPr>
            <w:r>
              <w:rPr>
                <w:sz w:val="14"/>
                <w:u w:val="single"/>
              </w:rPr>
              <w:t>Q1</w:t>
            </w:r>
            <w:r>
              <w:rPr>
                <w:sz w:val="14"/>
              </w:rPr>
              <w:tab/>
            </w:r>
            <w:r>
              <w:rPr>
                <w:sz w:val="14"/>
                <w:u w:val="single"/>
              </w:rPr>
              <w:t> Q2</w:t>
            </w:r>
            <w:r>
              <w:rPr>
                <w:sz w:val="14"/>
              </w:rPr>
              <w:tab/>
            </w:r>
            <w:r>
              <w:rPr>
                <w:sz w:val="14"/>
                <w:u w:val="single"/>
              </w:rPr>
              <w:t> Q3</w:t>
            </w:r>
            <w:r>
              <w:rPr>
                <w:sz w:val="14"/>
              </w:rPr>
              <w:tab/>
            </w:r>
            <w:r>
              <w:rPr>
                <w:sz w:val="14"/>
                <w:u w:val="single"/>
              </w:rPr>
              <w:t> Q4</w:t>
            </w:r>
            <w:r>
              <w:rPr>
                <w:spacing w:val="-16"/>
                <w:sz w:val="14"/>
                <w:u w:val="single"/>
              </w:rPr>
              <w:t> </w:t>
            </w:r>
          </w:p>
        </w:tc>
      </w:tr>
      <w:tr>
        <w:trPr>
          <w:trHeight w:val="312" w:hRule="atLeast"/>
        </w:trPr>
        <w:tc>
          <w:tcPr>
            <w:tcW w:w="1340" w:type="dxa"/>
          </w:tcPr>
          <w:p>
            <w:pPr>
              <w:pStyle w:val="TableParagraph"/>
              <w:spacing w:line="150" w:lineRule="exact" w:before="19"/>
              <w:ind w:left="50"/>
              <w:rPr>
                <w:sz w:val="12"/>
              </w:rPr>
            </w:pPr>
            <w:r>
              <w:rPr>
                <w:b/>
                <w:sz w:val="14"/>
              </w:rPr>
              <w:t>BCC </w:t>
            </w:r>
            <w:r>
              <w:rPr>
                <w:sz w:val="12"/>
              </w:rPr>
              <w:t>(c)</w:t>
            </w:r>
          </w:p>
          <w:p>
            <w:pPr>
              <w:pStyle w:val="TableParagraph"/>
              <w:spacing w:line="123" w:lineRule="exact"/>
              <w:ind w:left="50"/>
              <w:rPr>
                <w:sz w:val="14"/>
              </w:rPr>
            </w:pPr>
            <w:r>
              <w:rPr>
                <w:sz w:val="14"/>
              </w:rPr>
              <w:t>Services</w:t>
            </w:r>
          </w:p>
        </w:tc>
        <w:tc>
          <w:tcPr>
            <w:tcW w:w="800" w:type="dxa"/>
          </w:tcPr>
          <w:p>
            <w:pPr>
              <w:pStyle w:val="TableParagraph"/>
              <w:spacing w:line="240" w:lineRule="auto" w:before="9"/>
              <w:rPr>
                <w:sz w:val="13"/>
              </w:rPr>
            </w:pPr>
          </w:p>
          <w:p>
            <w:pPr>
              <w:pStyle w:val="TableParagraph"/>
              <w:spacing w:line="133" w:lineRule="exact"/>
              <w:ind w:right="407"/>
              <w:jc w:val="right"/>
              <w:rPr>
                <w:sz w:val="14"/>
              </w:rPr>
            </w:pPr>
            <w:r>
              <w:rPr>
                <w:sz w:val="14"/>
              </w:rPr>
              <w:t>12</w:t>
            </w:r>
          </w:p>
        </w:tc>
        <w:tc>
          <w:tcPr>
            <w:tcW w:w="567" w:type="dxa"/>
          </w:tcPr>
          <w:p>
            <w:pPr>
              <w:pStyle w:val="TableParagraph"/>
              <w:spacing w:line="240" w:lineRule="auto" w:before="9"/>
              <w:rPr>
                <w:sz w:val="13"/>
              </w:rPr>
            </w:pPr>
          </w:p>
          <w:p>
            <w:pPr>
              <w:pStyle w:val="TableParagraph"/>
              <w:spacing w:line="133" w:lineRule="exact"/>
              <w:ind w:left="164" w:right="131"/>
              <w:jc w:val="center"/>
              <w:rPr>
                <w:sz w:val="14"/>
              </w:rPr>
            </w:pPr>
            <w:r>
              <w:rPr>
                <w:sz w:val="14"/>
              </w:rPr>
              <w:t>22</w:t>
            </w:r>
          </w:p>
        </w:tc>
        <w:tc>
          <w:tcPr>
            <w:tcW w:w="590" w:type="dxa"/>
          </w:tcPr>
          <w:p>
            <w:pPr>
              <w:pStyle w:val="TableParagraph"/>
              <w:spacing w:line="240" w:lineRule="auto" w:before="9"/>
              <w:rPr>
                <w:sz w:val="13"/>
              </w:rPr>
            </w:pPr>
          </w:p>
          <w:p>
            <w:pPr>
              <w:pStyle w:val="TableParagraph"/>
              <w:spacing w:line="133" w:lineRule="exact"/>
              <w:ind w:left="177" w:right="141"/>
              <w:jc w:val="center"/>
              <w:rPr>
                <w:sz w:val="14"/>
              </w:rPr>
            </w:pPr>
            <w:r>
              <w:rPr>
                <w:sz w:val="14"/>
              </w:rPr>
              <w:t>20</w:t>
            </w:r>
          </w:p>
        </w:tc>
        <w:tc>
          <w:tcPr>
            <w:tcW w:w="560" w:type="dxa"/>
          </w:tcPr>
          <w:p>
            <w:pPr>
              <w:pStyle w:val="TableParagraph"/>
              <w:spacing w:line="240" w:lineRule="auto" w:before="9"/>
              <w:rPr>
                <w:sz w:val="13"/>
              </w:rPr>
            </w:pPr>
          </w:p>
          <w:p>
            <w:pPr>
              <w:pStyle w:val="TableParagraph"/>
              <w:spacing w:line="133" w:lineRule="exact"/>
              <w:ind w:left="186" w:right="100"/>
              <w:jc w:val="center"/>
              <w:rPr>
                <w:sz w:val="14"/>
              </w:rPr>
            </w:pPr>
            <w:r>
              <w:rPr>
                <w:sz w:val="14"/>
              </w:rPr>
              <w:t>14</w:t>
            </w:r>
          </w:p>
        </w:tc>
        <w:tc>
          <w:tcPr>
            <w:tcW w:w="473" w:type="dxa"/>
          </w:tcPr>
          <w:p>
            <w:pPr>
              <w:pStyle w:val="TableParagraph"/>
              <w:spacing w:line="240" w:lineRule="auto" w:before="9"/>
              <w:rPr>
                <w:sz w:val="13"/>
              </w:rPr>
            </w:pPr>
          </w:p>
          <w:p>
            <w:pPr>
              <w:pStyle w:val="TableParagraph"/>
              <w:spacing w:line="133" w:lineRule="exact"/>
              <w:ind w:left="146" w:right="53"/>
              <w:jc w:val="center"/>
              <w:rPr>
                <w:sz w:val="14"/>
              </w:rPr>
            </w:pPr>
            <w:r>
              <w:rPr>
                <w:sz w:val="14"/>
              </w:rPr>
              <w:t>15</w:t>
            </w:r>
          </w:p>
        </w:tc>
      </w:tr>
      <w:tr>
        <w:trPr>
          <w:trHeight w:val="140" w:hRule="atLeast"/>
        </w:trPr>
        <w:tc>
          <w:tcPr>
            <w:tcW w:w="1340" w:type="dxa"/>
          </w:tcPr>
          <w:p>
            <w:pPr>
              <w:pStyle w:val="TableParagraph"/>
              <w:ind w:left="50"/>
              <w:rPr>
                <w:sz w:val="14"/>
              </w:rPr>
            </w:pPr>
            <w:r>
              <w:rPr>
                <w:sz w:val="14"/>
              </w:rPr>
              <w:t>Manufacturing</w:t>
            </w:r>
          </w:p>
        </w:tc>
        <w:tc>
          <w:tcPr>
            <w:tcW w:w="800" w:type="dxa"/>
          </w:tcPr>
          <w:p>
            <w:pPr>
              <w:pStyle w:val="TableParagraph"/>
              <w:ind w:right="407"/>
              <w:jc w:val="right"/>
              <w:rPr>
                <w:sz w:val="14"/>
              </w:rPr>
            </w:pPr>
            <w:r>
              <w:rPr>
                <w:sz w:val="14"/>
              </w:rPr>
              <w:t>3</w:t>
            </w:r>
          </w:p>
        </w:tc>
        <w:tc>
          <w:tcPr>
            <w:tcW w:w="567" w:type="dxa"/>
          </w:tcPr>
          <w:p>
            <w:pPr>
              <w:pStyle w:val="TableParagraph"/>
              <w:ind w:left="103"/>
              <w:jc w:val="center"/>
              <w:rPr>
                <w:sz w:val="14"/>
              </w:rPr>
            </w:pPr>
            <w:r>
              <w:rPr>
                <w:sz w:val="14"/>
              </w:rPr>
              <w:t>7</w:t>
            </w:r>
          </w:p>
        </w:tc>
        <w:tc>
          <w:tcPr>
            <w:tcW w:w="590" w:type="dxa"/>
          </w:tcPr>
          <w:p>
            <w:pPr>
              <w:pStyle w:val="TableParagraph"/>
              <w:ind w:left="106"/>
              <w:jc w:val="center"/>
              <w:rPr>
                <w:sz w:val="14"/>
              </w:rPr>
            </w:pPr>
            <w:r>
              <w:rPr>
                <w:sz w:val="14"/>
              </w:rPr>
              <w:t>9</w:t>
            </w:r>
          </w:p>
        </w:tc>
        <w:tc>
          <w:tcPr>
            <w:tcW w:w="560" w:type="dxa"/>
          </w:tcPr>
          <w:p>
            <w:pPr>
              <w:pStyle w:val="TableParagraph"/>
              <w:ind w:left="186" w:right="77"/>
              <w:jc w:val="center"/>
              <w:rPr>
                <w:sz w:val="14"/>
              </w:rPr>
            </w:pPr>
            <w:r>
              <w:rPr>
                <w:sz w:val="14"/>
              </w:rPr>
              <w:t>-1</w:t>
            </w:r>
          </w:p>
        </w:tc>
        <w:tc>
          <w:tcPr>
            <w:tcW w:w="473" w:type="dxa"/>
          </w:tcPr>
          <w:p>
            <w:pPr>
              <w:pStyle w:val="TableParagraph"/>
              <w:ind w:left="146" w:right="30"/>
              <w:jc w:val="center"/>
              <w:rPr>
                <w:sz w:val="14"/>
              </w:rPr>
            </w:pPr>
            <w:r>
              <w:rPr>
                <w:sz w:val="14"/>
              </w:rPr>
              <w:t>-6</w:t>
            </w:r>
          </w:p>
        </w:tc>
      </w:tr>
      <w:tr>
        <w:trPr>
          <w:trHeight w:val="280" w:hRule="atLeast"/>
        </w:trPr>
        <w:tc>
          <w:tcPr>
            <w:tcW w:w="1340" w:type="dxa"/>
          </w:tcPr>
          <w:p>
            <w:pPr>
              <w:pStyle w:val="TableParagraph"/>
              <w:spacing w:line="137" w:lineRule="exact"/>
              <w:ind w:left="50"/>
              <w:rPr>
                <w:sz w:val="12"/>
              </w:rPr>
            </w:pPr>
            <w:r>
              <w:rPr>
                <w:b/>
                <w:sz w:val="14"/>
              </w:rPr>
              <w:t>CBI </w:t>
            </w:r>
            <w:r>
              <w:rPr>
                <w:sz w:val="12"/>
              </w:rPr>
              <w:t>(d)</w:t>
            </w:r>
          </w:p>
          <w:p>
            <w:pPr>
              <w:pStyle w:val="TableParagraph"/>
              <w:spacing w:line="123" w:lineRule="exact"/>
              <w:ind w:left="50"/>
              <w:rPr>
                <w:sz w:val="14"/>
              </w:rPr>
            </w:pPr>
            <w:r>
              <w:rPr>
                <w:sz w:val="14"/>
              </w:rPr>
              <w:t>Manufacturing</w:t>
            </w:r>
          </w:p>
        </w:tc>
        <w:tc>
          <w:tcPr>
            <w:tcW w:w="800" w:type="dxa"/>
          </w:tcPr>
          <w:p>
            <w:pPr>
              <w:pStyle w:val="TableParagraph"/>
              <w:spacing w:line="133" w:lineRule="exact" w:before="126"/>
              <w:ind w:right="407"/>
              <w:jc w:val="right"/>
              <w:rPr>
                <w:sz w:val="14"/>
              </w:rPr>
            </w:pPr>
            <w:r>
              <w:rPr>
                <w:sz w:val="14"/>
              </w:rPr>
              <w:t>-21</w:t>
            </w:r>
          </w:p>
        </w:tc>
        <w:tc>
          <w:tcPr>
            <w:tcW w:w="567" w:type="dxa"/>
          </w:tcPr>
          <w:p>
            <w:pPr>
              <w:pStyle w:val="TableParagraph"/>
              <w:spacing w:line="133" w:lineRule="exact" w:before="126"/>
              <w:ind w:left="164" w:right="175"/>
              <w:jc w:val="center"/>
              <w:rPr>
                <w:sz w:val="14"/>
              </w:rPr>
            </w:pPr>
            <w:r>
              <w:rPr>
                <w:sz w:val="14"/>
              </w:rPr>
              <w:t>-19</w:t>
            </w:r>
          </w:p>
        </w:tc>
        <w:tc>
          <w:tcPr>
            <w:tcW w:w="590" w:type="dxa"/>
          </w:tcPr>
          <w:p>
            <w:pPr>
              <w:pStyle w:val="TableParagraph"/>
              <w:spacing w:line="133" w:lineRule="exact" w:before="126"/>
              <w:ind w:left="177" w:right="185"/>
              <w:jc w:val="center"/>
              <w:rPr>
                <w:sz w:val="14"/>
              </w:rPr>
            </w:pPr>
            <w:r>
              <w:rPr>
                <w:sz w:val="14"/>
              </w:rPr>
              <w:t>-18</w:t>
            </w:r>
          </w:p>
        </w:tc>
        <w:tc>
          <w:tcPr>
            <w:tcW w:w="560" w:type="dxa"/>
          </w:tcPr>
          <w:p>
            <w:pPr>
              <w:pStyle w:val="TableParagraph"/>
              <w:spacing w:line="133" w:lineRule="exact" w:before="126"/>
              <w:ind w:left="186" w:right="146"/>
              <w:jc w:val="center"/>
              <w:rPr>
                <w:sz w:val="14"/>
              </w:rPr>
            </w:pPr>
            <w:r>
              <w:rPr>
                <w:sz w:val="14"/>
              </w:rPr>
              <w:t>-26</w:t>
            </w:r>
          </w:p>
        </w:tc>
        <w:tc>
          <w:tcPr>
            <w:tcW w:w="473" w:type="dxa"/>
          </w:tcPr>
          <w:p>
            <w:pPr>
              <w:pStyle w:val="TableParagraph"/>
              <w:spacing w:line="133" w:lineRule="exact" w:before="126"/>
              <w:ind w:left="146" w:right="100"/>
              <w:jc w:val="center"/>
              <w:rPr>
                <w:sz w:val="14"/>
              </w:rPr>
            </w:pPr>
            <w:r>
              <w:rPr>
                <w:sz w:val="14"/>
              </w:rPr>
              <w:t>-34</w:t>
            </w:r>
          </w:p>
        </w:tc>
      </w:tr>
      <w:tr>
        <w:trPr>
          <w:trHeight w:val="280" w:hRule="atLeast"/>
        </w:trPr>
        <w:tc>
          <w:tcPr>
            <w:tcW w:w="1340" w:type="dxa"/>
          </w:tcPr>
          <w:p>
            <w:pPr>
              <w:pStyle w:val="TableParagraph"/>
              <w:spacing w:line="137" w:lineRule="exact"/>
              <w:ind w:left="50"/>
              <w:rPr>
                <w:b/>
                <w:sz w:val="14"/>
              </w:rPr>
            </w:pPr>
            <w:r>
              <w:rPr>
                <w:b/>
                <w:sz w:val="14"/>
              </w:rPr>
              <w:t>Manpower</w:t>
            </w:r>
          </w:p>
          <w:p>
            <w:pPr>
              <w:pStyle w:val="TableParagraph"/>
              <w:spacing w:line="123" w:lineRule="exact"/>
              <w:ind w:left="50"/>
              <w:rPr>
                <w:sz w:val="14"/>
              </w:rPr>
            </w:pPr>
            <w:r>
              <w:rPr>
                <w:sz w:val="14"/>
              </w:rPr>
              <w:t>Services</w:t>
            </w:r>
          </w:p>
        </w:tc>
        <w:tc>
          <w:tcPr>
            <w:tcW w:w="800" w:type="dxa"/>
          </w:tcPr>
          <w:p>
            <w:pPr>
              <w:pStyle w:val="TableParagraph"/>
              <w:spacing w:line="133" w:lineRule="exact" w:before="126"/>
              <w:ind w:right="407"/>
              <w:jc w:val="right"/>
              <w:rPr>
                <w:sz w:val="14"/>
              </w:rPr>
            </w:pPr>
            <w:r>
              <w:rPr>
                <w:sz w:val="14"/>
              </w:rPr>
              <w:t>11</w:t>
            </w:r>
          </w:p>
        </w:tc>
        <w:tc>
          <w:tcPr>
            <w:tcW w:w="567" w:type="dxa"/>
          </w:tcPr>
          <w:p>
            <w:pPr>
              <w:pStyle w:val="TableParagraph"/>
              <w:spacing w:line="133" w:lineRule="exact" w:before="126"/>
              <w:ind w:left="164" w:right="131"/>
              <w:jc w:val="center"/>
              <w:rPr>
                <w:sz w:val="14"/>
              </w:rPr>
            </w:pPr>
            <w:r>
              <w:rPr>
                <w:sz w:val="14"/>
              </w:rPr>
              <w:t>18</w:t>
            </w:r>
          </w:p>
        </w:tc>
        <w:tc>
          <w:tcPr>
            <w:tcW w:w="590" w:type="dxa"/>
          </w:tcPr>
          <w:p>
            <w:pPr>
              <w:pStyle w:val="TableParagraph"/>
              <w:spacing w:line="133" w:lineRule="exact" w:before="126"/>
              <w:ind w:left="177" w:right="141"/>
              <w:jc w:val="center"/>
              <w:rPr>
                <w:sz w:val="14"/>
              </w:rPr>
            </w:pPr>
            <w:r>
              <w:rPr>
                <w:sz w:val="14"/>
              </w:rPr>
              <w:t>17</w:t>
            </w:r>
          </w:p>
        </w:tc>
        <w:tc>
          <w:tcPr>
            <w:tcW w:w="560" w:type="dxa"/>
          </w:tcPr>
          <w:p>
            <w:pPr>
              <w:pStyle w:val="TableParagraph"/>
              <w:spacing w:line="133" w:lineRule="exact" w:before="126"/>
              <w:ind w:left="186" w:right="100"/>
              <w:jc w:val="center"/>
              <w:rPr>
                <w:sz w:val="14"/>
              </w:rPr>
            </w:pPr>
            <w:r>
              <w:rPr>
                <w:sz w:val="14"/>
              </w:rPr>
              <w:t>17</w:t>
            </w:r>
          </w:p>
        </w:tc>
        <w:tc>
          <w:tcPr>
            <w:tcW w:w="473" w:type="dxa"/>
          </w:tcPr>
          <w:p>
            <w:pPr>
              <w:pStyle w:val="TableParagraph"/>
              <w:spacing w:line="133" w:lineRule="exact" w:before="126"/>
              <w:ind w:left="146" w:right="53"/>
              <w:jc w:val="center"/>
              <w:rPr>
                <w:sz w:val="14"/>
              </w:rPr>
            </w:pPr>
            <w:r>
              <w:rPr>
                <w:sz w:val="14"/>
              </w:rPr>
              <w:t>12</w:t>
            </w:r>
          </w:p>
        </w:tc>
      </w:tr>
      <w:tr>
        <w:trPr>
          <w:trHeight w:val="147" w:hRule="atLeast"/>
        </w:trPr>
        <w:tc>
          <w:tcPr>
            <w:tcW w:w="1340" w:type="dxa"/>
          </w:tcPr>
          <w:p>
            <w:pPr>
              <w:pStyle w:val="TableParagraph"/>
              <w:spacing w:line="128" w:lineRule="exact"/>
              <w:ind w:left="50"/>
              <w:rPr>
                <w:sz w:val="14"/>
              </w:rPr>
            </w:pPr>
            <w:r>
              <w:rPr>
                <w:sz w:val="14"/>
              </w:rPr>
              <w:t>Manufacturing</w:t>
            </w:r>
          </w:p>
        </w:tc>
        <w:tc>
          <w:tcPr>
            <w:tcW w:w="800" w:type="dxa"/>
          </w:tcPr>
          <w:p>
            <w:pPr>
              <w:pStyle w:val="TableParagraph"/>
              <w:spacing w:line="128" w:lineRule="exact"/>
              <w:ind w:right="407"/>
              <w:jc w:val="right"/>
              <w:rPr>
                <w:sz w:val="14"/>
              </w:rPr>
            </w:pPr>
            <w:r>
              <w:rPr>
                <w:sz w:val="14"/>
              </w:rPr>
              <w:t>14</w:t>
            </w:r>
          </w:p>
        </w:tc>
        <w:tc>
          <w:tcPr>
            <w:tcW w:w="567" w:type="dxa"/>
          </w:tcPr>
          <w:p>
            <w:pPr>
              <w:pStyle w:val="TableParagraph"/>
              <w:spacing w:line="128" w:lineRule="exact"/>
              <w:ind w:left="164" w:right="131"/>
              <w:jc w:val="center"/>
              <w:rPr>
                <w:sz w:val="14"/>
              </w:rPr>
            </w:pPr>
            <w:r>
              <w:rPr>
                <w:sz w:val="14"/>
              </w:rPr>
              <w:t>20</w:t>
            </w:r>
          </w:p>
        </w:tc>
        <w:tc>
          <w:tcPr>
            <w:tcW w:w="590" w:type="dxa"/>
          </w:tcPr>
          <w:p>
            <w:pPr>
              <w:pStyle w:val="TableParagraph"/>
              <w:spacing w:line="128" w:lineRule="exact"/>
              <w:ind w:left="177" w:right="141"/>
              <w:jc w:val="center"/>
              <w:rPr>
                <w:sz w:val="14"/>
              </w:rPr>
            </w:pPr>
            <w:r>
              <w:rPr>
                <w:sz w:val="14"/>
              </w:rPr>
              <w:t>17</w:t>
            </w:r>
          </w:p>
        </w:tc>
        <w:tc>
          <w:tcPr>
            <w:tcW w:w="560" w:type="dxa"/>
          </w:tcPr>
          <w:p>
            <w:pPr>
              <w:pStyle w:val="TableParagraph"/>
              <w:spacing w:line="128" w:lineRule="exact"/>
              <w:ind w:left="186" w:right="100"/>
              <w:jc w:val="center"/>
              <w:rPr>
                <w:sz w:val="14"/>
              </w:rPr>
            </w:pPr>
            <w:r>
              <w:rPr>
                <w:sz w:val="14"/>
              </w:rPr>
              <w:t>13</w:t>
            </w:r>
          </w:p>
        </w:tc>
        <w:tc>
          <w:tcPr>
            <w:tcW w:w="473" w:type="dxa"/>
          </w:tcPr>
          <w:p>
            <w:pPr>
              <w:pStyle w:val="TableParagraph"/>
              <w:spacing w:line="128" w:lineRule="exact"/>
              <w:ind w:left="163"/>
              <w:jc w:val="center"/>
              <w:rPr>
                <w:sz w:val="14"/>
              </w:rPr>
            </w:pPr>
            <w:r>
              <w:rPr>
                <w:sz w:val="14"/>
              </w:rPr>
              <w:t>9</w:t>
            </w:r>
          </w:p>
        </w:tc>
      </w:tr>
    </w:tbl>
    <w:p>
      <w:pPr>
        <w:spacing w:before="117"/>
        <w:ind w:left="160" w:right="0" w:firstLine="0"/>
        <w:jc w:val="left"/>
        <w:rPr>
          <w:sz w:val="12"/>
        </w:rPr>
      </w:pPr>
      <w:r>
        <w:rPr>
          <w:sz w:val="12"/>
        </w:rPr>
        <w:t>Sources: British Chambers of Commerce, CBI and Manpower.</w:t>
      </w:r>
    </w:p>
    <w:p>
      <w:pPr>
        <w:pStyle w:val="ListParagraph"/>
        <w:numPr>
          <w:ilvl w:val="0"/>
          <w:numId w:val="21"/>
        </w:numPr>
        <w:tabs>
          <w:tab w:pos="400" w:val="left" w:leader="none"/>
        </w:tabs>
        <w:spacing w:line="129" w:lineRule="exact" w:before="102" w:after="0"/>
        <w:ind w:left="399" w:right="0" w:hanging="240"/>
        <w:jc w:val="left"/>
        <w:rPr>
          <w:sz w:val="12"/>
        </w:rPr>
      </w:pPr>
      <w:r>
        <w:rPr>
          <w:sz w:val="12"/>
        </w:rPr>
        <w:t>Seasonally adjusted by the Bank.</w:t>
      </w:r>
    </w:p>
    <w:p>
      <w:pPr>
        <w:pStyle w:val="ListParagraph"/>
        <w:numPr>
          <w:ilvl w:val="0"/>
          <w:numId w:val="21"/>
        </w:numPr>
        <w:tabs>
          <w:tab w:pos="401" w:val="left" w:leader="none"/>
        </w:tabs>
        <w:spacing w:line="120" w:lineRule="exact" w:before="0" w:after="0"/>
        <w:ind w:left="400" w:right="0" w:hanging="241"/>
        <w:jc w:val="left"/>
        <w:rPr>
          <w:sz w:val="12"/>
        </w:rPr>
      </w:pPr>
      <w:r>
        <w:rPr>
          <w:sz w:val="12"/>
        </w:rPr>
        <w:t>CBI averages from 1979; BCC from 1989; Manpower from 1988.</w:t>
      </w:r>
    </w:p>
    <w:p>
      <w:pPr>
        <w:pStyle w:val="ListParagraph"/>
        <w:numPr>
          <w:ilvl w:val="0"/>
          <w:numId w:val="21"/>
        </w:numPr>
        <w:tabs>
          <w:tab w:pos="400" w:val="left" w:leader="none"/>
        </w:tabs>
        <w:spacing w:line="120" w:lineRule="exact" w:before="0" w:after="0"/>
        <w:ind w:left="399" w:right="0" w:hanging="240"/>
        <w:jc w:val="left"/>
        <w:rPr>
          <w:sz w:val="12"/>
        </w:rPr>
      </w:pPr>
      <w:r>
        <w:rPr>
          <w:sz w:val="12"/>
        </w:rPr>
        <w:t>Next three months.</w:t>
      </w:r>
    </w:p>
    <w:p>
      <w:pPr>
        <w:pStyle w:val="ListParagraph"/>
        <w:numPr>
          <w:ilvl w:val="0"/>
          <w:numId w:val="21"/>
        </w:numPr>
        <w:tabs>
          <w:tab w:pos="401" w:val="left" w:leader="none"/>
        </w:tabs>
        <w:spacing w:line="129" w:lineRule="exact" w:before="0" w:after="0"/>
        <w:ind w:left="400" w:right="0" w:hanging="241"/>
        <w:jc w:val="left"/>
        <w:rPr>
          <w:sz w:val="12"/>
        </w:rPr>
      </w:pPr>
      <w:r>
        <w:rPr>
          <w:sz w:val="12"/>
        </w:rPr>
        <w:t>Next four months.</w:t>
      </w:r>
    </w:p>
    <w:p>
      <w:pPr>
        <w:pStyle w:val="BodyText"/>
        <w:rPr>
          <w:sz w:val="12"/>
        </w:rPr>
      </w:pPr>
    </w:p>
    <w:p>
      <w:pPr>
        <w:pStyle w:val="BodyText"/>
        <w:rPr>
          <w:sz w:val="12"/>
        </w:rPr>
      </w:pPr>
    </w:p>
    <w:p>
      <w:pPr>
        <w:pStyle w:val="BodyText"/>
        <w:rPr>
          <w:sz w:val="12"/>
        </w:rPr>
      </w:pPr>
    </w:p>
    <w:p>
      <w:pPr>
        <w:pStyle w:val="BodyText"/>
        <w:spacing w:before="4"/>
        <w:rPr>
          <w:sz w:val="13"/>
        </w:rPr>
      </w:pPr>
    </w:p>
    <w:p>
      <w:pPr>
        <w:pStyle w:val="Heading7"/>
        <w:spacing w:before="0"/>
        <w:ind w:left="165"/>
      </w:pPr>
      <w:r>
        <w:rPr>
          <w:color w:val="0093C1"/>
        </w:rPr>
        <w:t>Chart 3.12</w:t>
      </w:r>
    </w:p>
    <w:p>
      <w:pPr>
        <w:spacing w:before="10"/>
        <w:ind w:left="165" w:right="0" w:firstLine="0"/>
        <w:jc w:val="left"/>
        <w:rPr>
          <w:b/>
          <w:sz w:val="20"/>
        </w:rPr>
      </w:pPr>
      <w:r>
        <w:rPr>
          <w:b/>
          <w:color w:val="0093C1"/>
          <w:sz w:val="20"/>
        </w:rPr>
        <w:t>CBI measures of labour shortages</w:t>
      </w:r>
    </w:p>
    <w:p>
      <w:pPr>
        <w:spacing w:line="116" w:lineRule="exact" w:before="145"/>
        <w:ind w:left="2425" w:right="0" w:firstLine="0"/>
        <w:jc w:val="left"/>
        <w:rPr>
          <w:sz w:val="12"/>
        </w:rPr>
      </w:pPr>
      <w:r>
        <w:rPr>
          <w:sz w:val="12"/>
        </w:rPr>
        <w:t>Percentage balance (a)</w:t>
      </w:r>
    </w:p>
    <w:p>
      <w:pPr>
        <w:spacing w:line="116" w:lineRule="exact" w:before="0"/>
        <w:ind w:left="3565" w:right="0" w:firstLine="0"/>
        <w:jc w:val="left"/>
        <w:rPr>
          <w:sz w:val="12"/>
        </w:rPr>
      </w:pPr>
      <w:r>
        <w:rPr/>
        <w:pict>
          <v:group style="position:absolute;margin-left:48.779999pt;margin-top:3.068253pt;width:159pt;height:132.75pt;mso-position-horizontal-relative:page;mso-position-vertical-relative:paragraph;z-index:15996416" coordorigin="976,61" coordsize="3180,2655">
            <v:line style="position:absolute" from="976,1106" to="3996,1106" stroked="true" strokeweight=".5pt" strokecolor="#000000">
              <v:stroke dashstyle="dash"/>
            </v:line>
            <v:shape style="position:absolute;left:995;top:146;width:3000;height:2100" coordorigin="996,146" coordsize="3000,2100" path="m996,746l1076,446,1156,1186,1236,1786,1336,1786,1416,1946,1496,1946,1596,2106,1676,1946,1756,2106,1836,2246,1936,2246,2016,1786,2096,1946,2196,1486,2276,1946,2356,1646,2456,1346,2536,1186,2616,1186,2696,1046,2796,1186,2876,1186,2956,1346,3056,1346,3136,1046,3216,1186,3316,1186,3396,1046,3476,746,3556,146,3656,586,3736,446,3816,886,3916,1486,3996,886e" filled="false" stroked="true" strokeweight="1pt" strokecolor="#a6af49">
              <v:path arrowok="t"/>
              <v:stroke dashstyle="solid"/>
            </v:shape>
            <v:line style="position:absolute" from="976,2426" to="3996,2426" stroked="true" strokeweight=".5pt" strokecolor="#000000">
              <v:stroke dashstyle="dash"/>
            </v:line>
            <v:shape style="position:absolute;left:995;top:1946;width:3000;height:760" coordorigin="996,1946" coordsize="3000,760" path="m996,2386l1076,2246,1156,2386,1236,2546,1496,2546,1596,2706,1676,2546,1756,2546,1836,2706,1936,2706,2016,2386,2096,2546,2356,2546,2456,2386,2696,2386,2796,2546,2876,2386,2956,2546,3056,2386,3396,2386,3476,2246,3556,1946,3656,1946,3736,2386,3816,2386,3916,2546,3996,2246e" filled="false" stroked="true" strokeweight="1pt" strokecolor="#009483">
              <v:path arrowok="t"/>
              <v:stroke dashstyle="solid"/>
            </v:shape>
            <v:shape style="position:absolute;left:4055;top:66;width:100;height:2640" coordorigin="4056,66" coordsize="100,2640" path="m4156,2706l4056,2706m4156,2326l4056,2326m4156,1946l4056,1946m4156,1566l4056,1566m4156,1186l4056,1186m4156,826l4056,826m4156,446l4056,446m4156,66l4056,66e" filled="false" stroked="true" strokeweight=".5pt" strokecolor="#000000">
              <v:path arrowok="t"/>
              <v:stroke dashstyle="solid"/>
            </v:shape>
            <v:line style="position:absolute" from="1754,750" to="1754,1023" stroked="true" strokeweight=".5pt" strokecolor="#000000">
              <v:stroke dashstyle="solid"/>
            </v:line>
            <v:shape style="position:absolute;left:1728;top:1006;width:51;height:85" coordorigin="1728,1007" coordsize="51,85" path="m1779,1007l1728,1007,1735,1022,1739,1034,1753,1091,1755,1082,1757,1072,1760,1060,1764,1047,1767,1036,1779,1007xe" filled="true" fillcolor="#000000" stroked="false">
              <v:path arrowok="t"/>
              <v:fill type="solid"/>
            </v:shape>
            <v:line style="position:absolute" from="982,2710" to="4008,2710" stroked="true" strokeweight=".5pt" strokecolor="#231f20">
              <v:stroke dashstyle="solid"/>
            </v:line>
            <v:line style="position:absolute" from="2219,2203" to="2219,2342" stroked="true" strokeweight=".5pt" strokecolor="#000000">
              <v:stroke dashstyle="solid"/>
            </v:line>
            <v:shape style="position:absolute;left:2194;top:2324;width:51;height:85" coordorigin="2194,2325" coordsize="51,85" path="m2245,2325l2194,2325,2201,2341,2205,2353,2219,2409,2221,2401,2223,2390,2226,2378,2230,2365,2233,2354,2245,2325xe" filled="true" fillcolor="#000000" stroked="false">
              <v:path arrowok="t"/>
              <v:fill type="solid"/>
            </v:shape>
            <v:shape style="position:absolute;left:3244;top:1763;width:285;height:158" type="#_x0000_t75" stroked="false">
              <v:imagedata r:id="rId84" o:title=""/>
            </v:shape>
            <v:shape style="position:absolute;left:2825;top:196;width:697;height:133" type="#_x0000_t202" filled="false" stroked="false">
              <v:textbox inset="0,0,0,0">
                <w:txbxContent>
                  <w:p>
                    <w:pPr>
                      <w:spacing w:line="133" w:lineRule="exact" w:before="0"/>
                      <w:ind w:left="0" w:right="0" w:firstLine="0"/>
                      <w:jc w:val="left"/>
                      <w:rPr>
                        <w:sz w:val="12"/>
                      </w:rPr>
                    </w:pPr>
                    <w:r>
                      <w:rPr>
                        <w:sz w:val="12"/>
                      </w:rPr>
                      <w:t>Skilled labour</w:t>
                    </w:r>
                  </w:p>
                </w:txbxContent>
              </v:textbox>
              <w10:wrap type="none"/>
            </v:shape>
            <v:shape style="position:absolute;left:1372;top:610;width:973;height:133" type="#_x0000_t202" filled="false" stroked="false">
              <v:textbox inset="0,0,0,0">
                <w:txbxContent>
                  <w:p>
                    <w:pPr>
                      <w:spacing w:line="133" w:lineRule="exact" w:before="0"/>
                      <w:ind w:left="0" w:right="0" w:firstLine="0"/>
                      <w:jc w:val="left"/>
                      <w:rPr>
                        <w:sz w:val="12"/>
                      </w:rPr>
                    </w:pPr>
                    <w:r>
                      <w:rPr>
                        <w:sz w:val="12"/>
                      </w:rPr>
                      <w:t>Average since 1979</w:t>
                    </w:r>
                  </w:p>
                </w:txbxContent>
              </v:textbox>
              <w10:wrap type="none"/>
            </v:shape>
            <v:shape style="position:absolute;left:2032;top:1622;width:1470;height:573" type="#_x0000_t202" filled="false" stroked="false">
              <v:textbox inset="0,0,0,0">
                <w:txbxContent>
                  <w:p>
                    <w:pPr>
                      <w:spacing w:line="133" w:lineRule="exact" w:before="0"/>
                      <w:ind w:left="646" w:right="0" w:firstLine="0"/>
                      <w:jc w:val="left"/>
                      <w:rPr>
                        <w:sz w:val="12"/>
                      </w:rPr>
                    </w:pPr>
                    <w:r>
                      <w:rPr>
                        <w:sz w:val="12"/>
                      </w:rPr>
                      <w:t>Unskilled labour</w:t>
                    </w:r>
                  </w:p>
                  <w:p>
                    <w:pPr>
                      <w:spacing w:line="240" w:lineRule="auto" w:before="0"/>
                      <w:rPr>
                        <w:sz w:val="12"/>
                      </w:rPr>
                    </w:pPr>
                  </w:p>
                  <w:p>
                    <w:pPr>
                      <w:spacing w:line="240" w:lineRule="auto" w:before="3"/>
                      <w:rPr>
                        <w:sz w:val="14"/>
                      </w:rPr>
                    </w:pPr>
                  </w:p>
                  <w:p>
                    <w:pPr>
                      <w:spacing w:before="0"/>
                      <w:ind w:left="0" w:right="0" w:firstLine="0"/>
                      <w:jc w:val="left"/>
                      <w:rPr>
                        <w:sz w:val="12"/>
                      </w:rPr>
                    </w:pPr>
                    <w:r>
                      <w:rPr>
                        <w:sz w:val="12"/>
                      </w:rPr>
                      <w:t>Average since 1979</w:t>
                    </w:r>
                  </w:p>
                </w:txbxContent>
              </v:textbox>
              <w10:wrap type="none"/>
            </v:shape>
            <w10:wrap type="none"/>
          </v:group>
        </w:pict>
      </w:r>
      <w:r>
        <w:rPr/>
        <w:pict>
          <v:line style="position:absolute;mso-position-horizontal-relative:page;mso-position-vertical-relative:paragraph;z-index:16000512" from="44.779999pt,3.318253pt" to="39.779999pt,3.318253pt" stroked="true" strokeweight=".5pt" strokecolor="#000000">
            <v:stroke dashstyle="solid"/>
            <w10:wrap type="none"/>
          </v:line>
        </w:pict>
      </w:r>
      <w:r>
        <w:rPr>
          <w:sz w:val="12"/>
        </w:rPr>
        <w:t>17.5</w:t>
      </w:r>
    </w:p>
    <w:p>
      <w:pPr>
        <w:pStyle w:val="BodyText"/>
        <w:rPr>
          <w:sz w:val="12"/>
        </w:rPr>
      </w:pPr>
    </w:p>
    <w:p>
      <w:pPr>
        <w:spacing w:before="100"/>
        <w:ind w:left="0" w:right="408" w:firstLine="0"/>
        <w:jc w:val="right"/>
        <w:rPr>
          <w:sz w:val="12"/>
        </w:rPr>
      </w:pPr>
      <w:r>
        <w:rPr/>
        <w:pict>
          <v:line style="position:absolute;mso-position-horizontal-relative:page;mso-position-vertical-relative:paragraph;z-index:16000000" from="44.779999pt,9.643555pt" to="39.779999pt,9.643555pt" stroked="true" strokeweight=".5pt" strokecolor="#000000">
            <v:stroke dashstyle="solid"/>
            <w10:wrap type="none"/>
          </v:line>
        </w:pict>
      </w:r>
      <w:r>
        <w:rPr>
          <w:sz w:val="12"/>
        </w:rPr>
        <w:t>15.0</w:t>
      </w:r>
    </w:p>
    <w:p>
      <w:pPr>
        <w:pStyle w:val="BodyText"/>
        <w:rPr>
          <w:sz w:val="12"/>
        </w:rPr>
      </w:pPr>
    </w:p>
    <w:p>
      <w:pPr>
        <w:spacing w:before="100"/>
        <w:ind w:left="0" w:right="408" w:firstLine="0"/>
        <w:jc w:val="right"/>
        <w:rPr>
          <w:sz w:val="12"/>
        </w:rPr>
      </w:pPr>
      <w:r>
        <w:rPr/>
        <w:pict>
          <v:line style="position:absolute;mso-position-horizontal-relative:page;mso-position-vertical-relative:paragraph;z-index:15999488" from="44.779999pt,9.851563pt" to="39.779999pt,9.851563pt" stroked="true" strokeweight=".5pt" strokecolor="#000000">
            <v:stroke dashstyle="solid"/>
            <w10:wrap type="none"/>
          </v:line>
        </w:pict>
      </w:r>
      <w:r>
        <w:rPr>
          <w:sz w:val="12"/>
        </w:rPr>
        <w:t>12.5</w:t>
      </w:r>
    </w:p>
    <w:p>
      <w:pPr>
        <w:pStyle w:val="BodyText"/>
        <w:rPr>
          <w:sz w:val="12"/>
        </w:rPr>
      </w:pPr>
    </w:p>
    <w:p>
      <w:pPr>
        <w:spacing w:before="100"/>
        <w:ind w:left="0" w:right="408" w:firstLine="0"/>
        <w:jc w:val="right"/>
        <w:rPr>
          <w:sz w:val="12"/>
        </w:rPr>
      </w:pPr>
      <w:r>
        <w:rPr/>
        <w:pict>
          <v:line style="position:absolute;mso-position-horizontal-relative:page;mso-position-vertical-relative:paragraph;z-index:15998976" from="44.779999pt,9.059555pt" to="39.779999pt,9.059555pt" stroked="true" strokeweight=".5pt" strokecolor="#000000">
            <v:stroke dashstyle="solid"/>
            <w10:wrap type="none"/>
          </v:line>
        </w:pict>
      </w:r>
      <w:r>
        <w:rPr>
          <w:sz w:val="12"/>
        </w:rPr>
        <w:t>10.0</w:t>
      </w:r>
    </w:p>
    <w:p>
      <w:pPr>
        <w:pStyle w:val="BodyText"/>
        <w:rPr>
          <w:sz w:val="12"/>
        </w:rPr>
      </w:pPr>
    </w:p>
    <w:p>
      <w:pPr>
        <w:spacing w:before="100"/>
        <w:ind w:left="0" w:right="408" w:firstLine="0"/>
        <w:jc w:val="right"/>
        <w:rPr>
          <w:sz w:val="12"/>
        </w:rPr>
      </w:pPr>
      <w:r>
        <w:rPr/>
        <w:pict>
          <v:line style="position:absolute;mso-position-horizontal-relative:page;mso-position-vertical-relative:paragraph;z-index:15998464" from="44.779999pt,9.26857pt" to="39.779999pt,9.26857pt" stroked="true" strokeweight=".5pt" strokecolor="#000000">
            <v:stroke dashstyle="solid"/>
            <w10:wrap type="none"/>
          </v:line>
        </w:pict>
      </w:r>
      <w:r>
        <w:rPr>
          <w:sz w:val="12"/>
        </w:rPr>
        <w:t>7.5</w:t>
      </w:r>
    </w:p>
    <w:p>
      <w:pPr>
        <w:pStyle w:val="BodyText"/>
        <w:rPr>
          <w:sz w:val="12"/>
        </w:rPr>
      </w:pPr>
    </w:p>
    <w:p>
      <w:pPr>
        <w:spacing w:before="99"/>
        <w:ind w:left="0" w:right="408" w:firstLine="0"/>
        <w:jc w:val="right"/>
        <w:rPr>
          <w:sz w:val="12"/>
        </w:rPr>
      </w:pPr>
      <w:r>
        <w:rPr/>
        <w:pict>
          <v:line style="position:absolute;mso-position-horizontal-relative:page;mso-position-vertical-relative:paragraph;z-index:15997952" from="44.779999pt,9.426562pt" to="39.779999pt,9.426562pt" stroked="true" strokeweight=".5pt" strokecolor="#000000">
            <v:stroke dashstyle="solid"/>
            <w10:wrap type="none"/>
          </v:line>
        </w:pict>
      </w:r>
      <w:r>
        <w:rPr>
          <w:sz w:val="12"/>
        </w:rPr>
        <w:t>5.0</w:t>
      </w:r>
    </w:p>
    <w:p>
      <w:pPr>
        <w:pStyle w:val="BodyText"/>
        <w:rPr>
          <w:sz w:val="12"/>
        </w:rPr>
      </w:pPr>
    </w:p>
    <w:p>
      <w:pPr>
        <w:spacing w:before="100"/>
        <w:ind w:left="0" w:right="408" w:firstLine="0"/>
        <w:jc w:val="right"/>
        <w:rPr>
          <w:sz w:val="12"/>
        </w:rPr>
      </w:pPr>
      <w:r>
        <w:rPr/>
        <w:pict>
          <v:line style="position:absolute;mso-position-horizontal-relative:page;mso-position-vertical-relative:paragraph;z-index:15997440" from="44.779999pt,9.684555pt" to="39.779999pt,9.684555pt" stroked="true" strokeweight=".5pt" strokecolor="#000000">
            <v:stroke dashstyle="solid"/>
            <w10:wrap type="none"/>
          </v:line>
        </w:pict>
      </w:r>
      <w:r>
        <w:rPr>
          <w:sz w:val="12"/>
        </w:rPr>
        <w:t>2.5</w:t>
      </w:r>
    </w:p>
    <w:p>
      <w:pPr>
        <w:spacing w:before="30"/>
        <w:ind w:left="3538" w:right="0" w:firstLine="0"/>
        <w:jc w:val="left"/>
        <w:rPr>
          <w:sz w:val="16"/>
        </w:rPr>
      </w:pPr>
      <w:r>
        <w:rPr>
          <w:sz w:val="16"/>
        </w:rPr>
        <w:t>+</w:t>
      </w:r>
    </w:p>
    <w:p>
      <w:pPr>
        <w:spacing w:before="24"/>
        <w:ind w:left="0" w:right="408" w:firstLine="0"/>
        <w:jc w:val="right"/>
        <w:rPr>
          <w:sz w:val="12"/>
        </w:rPr>
      </w:pPr>
      <w:r>
        <w:rPr/>
        <w:pict>
          <v:line style="position:absolute;mso-position-horizontal-relative:page;mso-position-vertical-relative:paragraph;z-index:15996928" from="44.779999pt,6.09357pt" to="39.779999pt,6.09357pt" stroked="true" strokeweight=".5pt" strokecolor="#000000">
            <v:stroke dashstyle="solid"/>
            <w10:wrap type="none"/>
          </v:line>
        </w:pict>
      </w:r>
      <w:r>
        <w:rPr>
          <w:sz w:val="12"/>
        </w:rPr>
        <w:t>0.0</w:t>
      </w:r>
    </w:p>
    <w:p>
      <w:pPr>
        <w:pStyle w:val="Heading4"/>
        <w:spacing w:line="242" w:lineRule="auto"/>
        <w:ind w:left="160" w:right="674"/>
      </w:pPr>
      <w:r>
        <w:rPr/>
        <w:br w:type="column"/>
      </w:r>
      <w:r>
        <w:rPr/>
        <w:t>employers reporting labour shortages, from levels reported in mid 1997, is consistent with an easing of upward pressure on pay growth.</w:t>
      </w:r>
    </w:p>
    <w:p>
      <w:pPr>
        <w:pStyle w:val="BodyText"/>
        <w:rPr>
          <w:sz w:val="26"/>
        </w:rPr>
      </w:pPr>
    </w:p>
    <w:p>
      <w:pPr>
        <w:pStyle w:val="ListParagraph"/>
        <w:numPr>
          <w:ilvl w:val="1"/>
          <w:numId w:val="18"/>
        </w:numPr>
        <w:tabs>
          <w:tab w:pos="1065" w:val="left" w:leader="none"/>
          <w:tab w:pos="1066" w:val="left" w:leader="none"/>
          <w:tab w:pos="5679" w:val="left" w:leader="none"/>
        </w:tabs>
        <w:spacing w:line="240" w:lineRule="auto" w:before="0" w:after="0"/>
        <w:ind w:left="1065" w:right="0" w:hanging="906"/>
        <w:jc w:val="left"/>
        <w:rPr>
          <w:b/>
          <w:sz w:val="28"/>
        </w:rPr>
      </w:pPr>
      <w:r>
        <w:rPr>
          <w:b/>
          <w:color w:val="009483"/>
          <w:sz w:val="28"/>
          <w:u w:val="thick" w:color="0093C1"/>
        </w:rPr>
        <w:t>Reforms affecting the labour</w:t>
      </w:r>
      <w:r>
        <w:rPr>
          <w:b/>
          <w:color w:val="009483"/>
          <w:spacing w:val="-10"/>
          <w:sz w:val="28"/>
          <w:u w:val="thick" w:color="0093C1"/>
        </w:rPr>
        <w:t> </w:t>
      </w:r>
      <w:r>
        <w:rPr>
          <w:b/>
          <w:color w:val="009483"/>
          <w:sz w:val="28"/>
          <w:u w:val="thick" w:color="0093C1"/>
        </w:rPr>
        <w:t>market</w:t>
        <w:tab/>
      </w:r>
    </w:p>
    <w:p>
      <w:pPr>
        <w:pStyle w:val="BodyText"/>
        <w:spacing w:before="10"/>
        <w:rPr>
          <w:b/>
          <w:sz w:val="23"/>
        </w:rPr>
      </w:pPr>
    </w:p>
    <w:p>
      <w:pPr>
        <w:spacing w:line="242" w:lineRule="auto" w:before="1"/>
        <w:ind w:left="160" w:right="206" w:firstLine="0"/>
        <w:jc w:val="left"/>
        <w:rPr>
          <w:sz w:val="24"/>
        </w:rPr>
      </w:pPr>
      <w:r>
        <w:rPr>
          <w:sz w:val="24"/>
        </w:rPr>
        <w:t>Prospects for the labour market are affected by microeconomic policies that aim to influence the </w:t>
      </w:r>
      <w:r>
        <w:rPr>
          <w:spacing w:val="-3"/>
          <w:sz w:val="24"/>
        </w:rPr>
        <w:t>demand </w:t>
      </w:r>
      <w:r>
        <w:rPr>
          <w:sz w:val="24"/>
        </w:rPr>
        <w:t>for and supply of labour.  Measures such as the New Deal and the </w:t>
      </w:r>
      <w:r>
        <w:rPr>
          <w:spacing w:val="-3"/>
          <w:sz w:val="24"/>
        </w:rPr>
        <w:t>Working </w:t>
      </w:r>
      <w:r>
        <w:rPr>
          <w:sz w:val="24"/>
        </w:rPr>
        <w:t>Families </w:t>
      </w:r>
      <w:r>
        <w:rPr>
          <w:spacing w:val="-7"/>
          <w:sz w:val="24"/>
        </w:rPr>
        <w:t>Tax </w:t>
      </w:r>
      <w:r>
        <w:rPr>
          <w:sz w:val="24"/>
        </w:rPr>
        <w:t>Credit (W</w:t>
      </w:r>
      <w:r>
        <w:rPr>
          <w:sz w:val="20"/>
        </w:rPr>
        <w:t>FTC</w:t>
      </w:r>
      <w:r>
        <w:rPr>
          <w:sz w:val="24"/>
        </w:rPr>
        <w:t>) are designed to increase labour mark</w:t>
      </w:r>
      <w:hyperlink w:history="true" w:anchor="_bookmark20">
        <w:r>
          <w:rPr>
            <w:sz w:val="24"/>
          </w:rPr>
          <w:t>et participation. A box</w:t>
        </w:r>
      </w:hyperlink>
      <w:r>
        <w:rPr>
          <w:sz w:val="24"/>
        </w:rPr>
        <w:t> on page 31 considers the impact of the W</w:t>
      </w:r>
      <w:r>
        <w:rPr>
          <w:sz w:val="20"/>
        </w:rPr>
        <w:t>FTC </w:t>
      </w:r>
      <w:r>
        <w:rPr>
          <w:sz w:val="24"/>
        </w:rPr>
        <w:t>on labour market </w:t>
      </w:r>
      <w:r>
        <w:rPr>
          <w:spacing w:val="-3"/>
          <w:sz w:val="24"/>
        </w:rPr>
        <w:t>supply, </w:t>
      </w:r>
      <w:r>
        <w:rPr>
          <w:sz w:val="24"/>
        </w:rPr>
        <w:t>and concludes that implementation of the reform is likely to result in a moderate increase in labour market participation. The MPC judges that it is unlikely that the W</w:t>
      </w:r>
      <w:r>
        <w:rPr>
          <w:sz w:val="20"/>
        </w:rPr>
        <w:t>FTC </w:t>
      </w:r>
      <w:r>
        <w:rPr>
          <w:sz w:val="24"/>
        </w:rPr>
        <w:t>will significantly influence the profile of inflation over the forecast</w:t>
      </w:r>
      <w:r>
        <w:rPr>
          <w:spacing w:val="-1"/>
          <w:sz w:val="24"/>
        </w:rPr>
        <w:t> </w:t>
      </w:r>
      <w:r>
        <w:rPr>
          <w:sz w:val="24"/>
        </w:rPr>
        <w:t>period.</w:t>
      </w:r>
    </w:p>
    <w:p>
      <w:pPr>
        <w:pStyle w:val="BodyText"/>
        <w:spacing w:before="6"/>
        <w:rPr>
          <w:sz w:val="25"/>
        </w:rPr>
      </w:pPr>
    </w:p>
    <w:p>
      <w:pPr>
        <w:spacing w:line="242" w:lineRule="auto" w:before="0"/>
        <w:ind w:left="160" w:right="221" w:firstLine="0"/>
        <w:jc w:val="left"/>
        <w:rPr>
          <w:sz w:val="24"/>
        </w:rPr>
      </w:pPr>
      <w:r>
        <w:rPr>
          <w:spacing w:val="-4"/>
          <w:sz w:val="24"/>
        </w:rPr>
        <w:t>However, </w:t>
      </w:r>
      <w:r>
        <w:rPr>
          <w:sz w:val="24"/>
        </w:rPr>
        <w:t>the </w:t>
      </w:r>
      <w:r>
        <w:rPr>
          <w:spacing w:val="-3"/>
          <w:sz w:val="24"/>
        </w:rPr>
        <w:t>Working Time </w:t>
      </w:r>
      <w:r>
        <w:rPr>
          <w:sz w:val="24"/>
        </w:rPr>
        <w:t>Directive (WTD) may </w:t>
      </w:r>
      <w:r>
        <w:rPr>
          <w:spacing w:val="-3"/>
          <w:sz w:val="24"/>
        </w:rPr>
        <w:t>result </w:t>
      </w:r>
      <w:r>
        <w:rPr>
          <w:sz w:val="24"/>
        </w:rPr>
        <w:t>in increased effective hourly wage costs for employers, a reduction in total hours worked and lower potential output. The cost effects of the WTD, which came into effect on 1 October 1998, chiefly consist of restrictions on hours worked, direct costs from paid holiday entitlements, fixed costs of health assessments for</w:t>
      </w:r>
    </w:p>
    <w:p>
      <w:pPr>
        <w:spacing w:line="280" w:lineRule="atLeast" w:before="5"/>
        <w:ind w:left="160" w:right="353" w:firstLine="0"/>
        <w:jc w:val="left"/>
        <w:rPr>
          <w:sz w:val="24"/>
        </w:rPr>
      </w:pPr>
      <w:r>
        <w:rPr>
          <w:sz w:val="24"/>
        </w:rPr>
        <w:t>night-workers, and costs of administration.</w:t>
      </w:r>
      <w:r>
        <w:rPr>
          <w:position w:val="5"/>
          <w:sz w:val="16"/>
        </w:rPr>
        <w:t>(1) </w:t>
      </w:r>
      <w:r>
        <w:rPr>
          <w:sz w:val="24"/>
        </w:rPr>
        <w:t>The Bank’s regional Agents have reported that a number of contacts expect increased wage bills, due to more generous holiday entitlements. But how far the WTD decreases employment in equilibrium will depend on how flexibly firms are able to adjust hours worked and</w:t>
      </w:r>
    </w:p>
    <w:p>
      <w:pPr>
        <w:spacing w:after="0" w:line="280" w:lineRule="atLeast"/>
        <w:jc w:val="left"/>
        <w:rPr>
          <w:sz w:val="24"/>
        </w:rPr>
        <w:sectPr>
          <w:type w:val="continuous"/>
          <w:pgSz w:w="11900" w:h="16840"/>
          <w:pgMar w:top="1220" w:bottom="280" w:left="640" w:right="600"/>
          <w:cols w:num="2" w:equalWidth="0">
            <w:col w:w="4186" w:space="594"/>
            <w:col w:w="5880"/>
          </w:cols>
        </w:sectPr>
      </w:pPr>
    </w:p>
    <w:p>
      <w:pPr>
        <w:pStyle w:val="BodyText"/>
        <w:spacing w:before="4"/>
        <w:rPr>
          <w:sz w:val="7"/>
        </w:rPr>
      </w:pPr>
    </w:p>
    <w:p>
      <w:pPr>
        <w:spacing w:line="90" w:lineRule="exact"/>
        <w:ind w:left="150" w:right="-72" w:firstLine="0"/>
        <w:rPr>
          <w:sz w:val="9"/>
        </w:rPr>
      </w:pPr>
      <w:r>
        <w:rPr>
          <w:position w:val="-1"/>
          <w:sz w:val="2"/>
        </w:rPr>
        <w:pict>
          <v:group style="width:5pt;height:.5pt;mso-position-horizontal-relative:char;mso-position-vertical-relative:line" coordorigin="0,0" coordsize="100,10">
            <v:line style="position:absolute" from="100,5" to="0,5" stroked="true" strokeweight=".5pt" strokecolor="#000000">
              <v:stroke dashstyle="solid"/>
            </v:line>
          </v:group>
        </w:pict>
      </w:r>
      <w:r>
        <w:rPr>
          <w:position w:val="-1"/>
          <w:sz w:val="2"/>
        </w:rPr>
      </w:r>
      <w:r>
        <w:rPr>
          <w:spacing w:val="27"/>
          <w:position w:val="-1"/>
          <w:sz w:val="9"/>
        </w:rPr>
        <w:t> </w:t>
      </w:r>
      <w:r>
        <w:rPr>
          <w:spacing w:val="27"/>
          <w:position w:val="-1"/>
          <w:sz w:val="9"/>
        </w:rPr>
        <w:pict>
          <v:group style="width:159.25pt;height:4.25pt;mso-position-horizontal-relative:char;mso-position-vertical-relative:line" coordorigin="0,0" coordsize="3185,85">
            <v:shape style="position:absolute;left:5;top:0;width:3180;height:80" coordorigin="5,0" coordsize="3180,80" path="m5,80l3025,80m5,80l5,40m105,80l105,40m185,80l185,40m265,80l265,40m365,80l365,40m445,80l445,40m525,80l525,40m605,80l605,40m705,80l705,40m785,80l785,40m865,80l865,40m965,80l965,40m1045,80l1045,40m1125,80l1125,40m1225,80l1225,40m1305,80l1305,40m1385,80l1385,40m1465,80l1465,40m1565,80l1565,40m1645,80l1645,40m1725,80l1725,40m1825,80l1825,40m1905,80l1905,40m1985,80l1985,40m2085,80l2085,40m2165,80l2165,40m2245,80l2245,40m2325,80l2325,40m2425,80l2425,40m2505,80l2505,40m2585,80l2585,40m2685,80l2685,40m2765,80l2765,40m2845,80l2845,40m2945,80l2945,40m3025,80l3025,40m5,80l5,0m365,80l365,0m705,80l705,0m1045,80l1045,0m1385,80l1385,0m1725,80l1725,0m2085,80l2085,0m2425,80l2425,0m2765,80l2765,0m3185,80l3085,80e" filled="false" stroked="true" strokeweight=".5pt" strokecolor="#000000">
              <v:path arrowok="t"/>
              <v:stroke dashstyle="solid"/>
            </v:shape>
          </v:group>
        </w:pict>
      </w:r>
      <w:r>
        <w:rPr>
          <w:spacing w:val="27"/>
          <w:position w:val="-1"/>
          <w:sz w:val="9"/>
        </w:rPr>
      </w:r>
    </w:p>
    <w:p>
      <w:pPr>
        <w:tabs>
          <w:tab w:pos="1118" w:val="left" w:leader="none"/>
          <w:tab w:pos="1478" w:val="left" w:leader="none"/>
          <w:tab w:pos="1818" w:val="left" w:leader="none"/>
          <w:tab w:pos="2158" w:val="left" w:leader="none"/>
          <w:tab w:pos="2498" w:val="left" w:leader="none"/>
          <w:tab w:pos="2838" w:val="left" w:leader="none"/>
          <w:tab w:pos="3198" w:val="left" w:leader="none"/>
        </w:tabs>
        <w:spacing w:before="27"/>
        <w:ind w:left="378" w:right="0" w:firstLine="0"/>
        <w:jc w:val="left"/>
        <w:rPr>
          <w:sz w:val="12"/>
        </w:rPr>
      </w:pPr>
      <w:r>
        <w:rPr>
          <w:sz w:val="12"/>
        </w:rPr>
        <w:t>1990    </w:t>
      </w:r>
      <w:r>
        <w:rPr>
          <w:spacing w:val="10"/>
          <w:sz w:val="12"/>
        </w:rPr>
        <w:t> </w:t>
      </w:r>
      <w:r>
        <w:rPr>
          <w:sz w:val="12"/>
        </w:rPr>
        <w:t>91</w:t>
        <w:tab/>
        <w:t>92</w:t>
        <w:tab/>
        <w:t>93</w:t>
        <w:tab/>
        <w:t>94</w:t>
        <w:tab/>
        <w:t>95</w:t>
        <w:tab/>
        <w:t>96</w:t>
        <w:tab/>
        <w:t>97</w:t>
        <w:tab/>
        <w:t>98</w:t>
      </w:r>
    </w:p>
    <w:p>
      <w:pPr>
        <w:pStyle w:val="BodyText"/>
        <w:spacing w:before="3"/>
        <w:rPr>
          <w:sz w:val="13"/>
        </w:rPr>
      </w:pPr>
    </w:p>
    <w:p>
      <w:pPr>
        <w:spacing w:before="0"/>
        <w:ind w:left="163" w:right="0" w:firstLine="0"/>
        <w:jc w:val="left"/>
        <w:rPr>
          <w:sz w:val="12"/>
        </w:rPr>
      </w:pPr>
      <w:r>
        <w:rPr>
          <w:sz w:val="12"/>
        </w:rPr>
        <w:t>Source: Confederation of British Industry.</w:t>
      </w:r>
    </w:p>
    <w:p>
      <w:pPr>
        <w:pStyle w:val="BodyText"/>
        <w:spacing w:before="2"/>
        <w:rPr>
          <w:sz w:val="10"/>
        </w:rPr>
      </w:pPr>
    </w:p>
    <w:p>
      <w:pPr>
        <w:spacing w:line="208" w:lineRule="auto" w:before="0"/>
        <w:ind w:left="403" w:right="0" w:hanging="240"/>
        <w:jc w:val="both"/>
        <w:rPr>
          <w:sz w:val="12"/>
        </w:rPr>
      </w:pPr>
      <w:r>
        <w:rPr>
          <w:sz w:val="12"/>
        </w:rPr>
        <w:t>(a) Difference between those respondents answering ‘yes’ and those answering ‘no’ when questioned on factors likely to limit output during next four months.</w:t>
      </w:r>
    </w:p>
    <w:p>
      <w:pPr>
        <w:spacing w:line="48" w:lineRule="exact" w:before="0"/>
        <w:ind w:left="-14" w:right="0" w:firstLine="0"/>
        <w:jc w:val="left"/>
        <w:rPr>
          <w:sz w:val="16"/>
        </w:rPr>
      </w:pPr>
      <w:r>
        <w:rPr/>
        <w:br w:type="column"/>
      </w:r>
      <w:r>
        <w:rPr>
          <w:sz w:val="16"/>
        </w:rPr>
        <w:t>–</w:t>
      </w:r>
    </w:p>
    <w:p>
      <w:pPr>
        <w:spacing w:before="40"/>
        <w:ind w:left="73" w:right="0" w:firstLine="0"/>
        <w:jc w:val="left"/>
        <w:rPr>
          <w:sz w:val="12"/>
        </w:rPr>
      </w:pPr>
      <w:r>
        <w:rPr>
          <w:sz w:val="12"/>
        </w:rPr>
        <w:t>2.5</w:t>
      </w:r>
    </w:p>
    <w:p>
      <w:pPr>
        <w:pStyle w:val="Heading4"/>
        <w:spacing w:line="242" w:lineRule="auto" w:before="4"/>
        <w:ind w:left="163" w:right="142"/>
      </w:pPr>
      <w:r>
        <w:rPr/>
        <w:br w:type="column"/>
      </w:r>
      <w:r>
        <w:rPr/>
        <w:t>numbers of people employed. In the November </w:t>
      </w:r>
      <w:r>
        <w:rPr>
          <w:i/>
        </w:rPr>
        <w:t>Report</w:t>
      </w:r>
      <w:r>
        <w:rPr/>
        <w:t>, the MPC noted that risks to inflation from the WTD warranted a small positive skew in the first year of the inflation projection. Following further Bank work, the</w:t>
      </w:r>
    </w:p>
    <w:p>
      <w:pPr>
        <w:spacing w:after="0" w:line="242" w:lineRule="auto"/>
        <w:sectPr>
          <w:type w:val="continuous"/>
          <w:pgSz w:w="11900" w:h="16840"/>
          <w:pgMar w:top="1220" w:bottom="280" w:left="640" w:right="600"/>
          <w:cols w:num="3" w:equalWidth="0">
            <w:col w:w="3513" w:space="40"/>
            <w:col w:w="264" w:space="960"/>
            <w:col w:w="5883"/>
          </w:cols>
        </w:sectPr>
      </w:pPr>
    </w:p>
    <w:p>
      <w:pPr>
        <w:pStyle w:val="BodyText"/>
        <w:spacing w:before="4"/>
        <w:rPr>
          <w:sz w:val="27"/>
        </w:rPr>
      </w:pPr>
    </w:p>
    <w:p>
      <w:pPr>
        <w:pStyle w:val="BodyText"/>
        <w:spacing w:line="20" w:lineRule="exact"/>
        <w:ind w:left="4915"/>
        <w:rPr>
          <w:sz w:val="2"/>
        </w:rPr>
      </w:pPr>
      <w:r>
        <w:rPr>
          <w:sz w:val="2"/>
        </w:rPr>
        <w:pict>
          <v:group style="width:277.650pt;height:.15pt;mso-position-horizontal-relative:char;mso-position-vertical-relative:line" coordorigin="0,0" coordsize="5553,3">
            <v:line style="position:absolute" from="0,1" to="5553,1" stroked="true" strokeweight=".125pt" strokecolor="#000000">
              <v:stroke dashstyle="solid"/>
            </v:line>
          </v:group>
        </w:pict>
      </w:r>
      <w:r>
        <w:rPr>
          <w:sz w:val="2"/>
        </w:rPr>
      </w:r>
    </w:p>
    <w:p>
      <w:pPr>
        <w:pStyle w:val="ListParagraph"/>
        <w:numPr>
          <w:ilvl w:val="2"/>
          <w:numId w:val="18"/>
        </w:numPr>
        <w:tabs>
          <w:tab w:pos="5191" w:val="left" w:leader="none"/>
        </w:tabs>
        <w:spacing w:line="208" w:lineRule="auto" w:before="4" w:after="0"/>
        <w:ind w:left="5190" w:right="940" w:hanging="240"/>
        <w:jc w:val="left"/>
        <w:rPr>
          <w:sz w:val="16"/>
        </w:rPr>
      </w:pPr>
      <w:r>
        <w:rPr>
          <w:sz w:val="16"/>
        </w:rPr>
        <w:t>A box on page 30 in the November 1998 </w:t>
      </w:r>
      <w:r>
        <w:rPr>
          <w:i/>
          <w:sz w:val="16"/>
        </w:rPr>
        <w:t>Report </w:t>
      </w:r>
      <w:r>
        <w:rPr>
          <w:sz w:val="16"/>
        </w:rPr>
        <w:t>describes the WTD </w:t>
      </w:r>
      <w:r>
        <w:rPr>
          <w:spacing w:val="-9"/>
          <w:sz w:val="16"/>
        </w:rPr>
        <w:t>in </w:t>
      </w:r>
      <w:r>
        <w:rPr>
          <w:sz w:val="16"/>
        </w:rPr>
        <w:t>more detail.</w:t>
      </w:r>
    </w:p>
    <w:p>
      <w:pPr>
        <w:spacing w:after="0" w:line="208" w:lineRule="auto"/>
        <w:jc w:val="left"/>
        <w:rPr>
          <w:sz w:val="16"/>
        </w:rPr>
        <w:sectPr>
          <w:type w:val="continuous"/>
          <w:pgSz w:w="11900" w:h="16840"/>
          <w:pgMar w:top="1220" w:bottom="280" w:left="640" w:right="600"/>
        </w:sectPr>
      </w:pPr>
    </w:p>
    <w:p>
      <w:pPr>
        <w:pStyle w:val="BodyText"/>
        <w:rPr>
          <w:sz w:val="20"/>
        </w:rPr>
      </w:pPr>
    </w:p>
    <w:p>
      <w:pPr>
        <w:spacing w:before="232"/>
        <w:ind w:left="1870" w:right="1898" w:firstLine="0"/>
        <w:jc w:val="center"/>
        <w:rPr>
          <w:b/>
          <w:sz w:val="30"/>
        </w:rPr>
      </w:pPr>
      <w:bookmarkStart w:name="The Working Families Tax Credit" w:id="54"/>
      <w:bookmarkEnd w:id="54"/>
      <w:r>
        <w:rPr/>
      </w:r>
      <w:bookmarkStart w:name="_bookmark20" w:id="55"/>
      <w:bookmarkEnd w:id="55"/>
      <w:r>
        <w:rPr/>
      </w:r>
      <w:r>
        <w:rPr>
          <w:b/>
          <w:color w:val="009483"/>
          <w:sz w:val="30"/>
        </w:rPr>
        <w:t>The Working Families Tax Credit</w:t>
      </w:r>
    </w:p>
    <w:p>
      <w:pPr>
        <w:pStyle w:val="BodyText"/>
        <w:spacing w:before="3"/>
        <w:rPr>
          <w:b/>
          <w:sz w:val="24"/>
        </w:rPr>
      </w:pPr>
    </w:p>
    <w:p>
      <w:pPr>
        <w:spacing w:after="0"/>
        <w:rPr>
          <w:sz w:val="24"/>
        </w:rPr>
        <w:sectPr>
          <w:headerReference w:type="default" r:id="rId85"/>
          <w:headerReference w:type="even" r:id="rId86"/>
          <w:footerReference w:type="default" r:id="rId87"/>
          <w:footerReference w:type="even" r:id="rId88"/>
          <w:pgSz w:w="11900" w:h="16840"/>
          <w:pgMar w:header="586" w:footer="617" w:top="780" w:bottom="800" w:left="640" w:right="600"/>
          <w:pgNumType w:start="31"/>
        </w:sectPr>
      </w:pPr>
    </w:p>
    <w:p>
      <w:pPr>
        <w:pStyle w:val="Heading4"/>
        <w:spacing w:line="242" w:lineRule="auto" w:before="89"/>
        <w:ind w:left="519" w:right="21"/>
        <w:rPr>
          <w:sz w:val="14"/>
        </w:rPr>
      </w:pPr>
      <w:r>
        <w:rPr/>
        <w:t>The </w:t>
      </w:r>
      <w:r>
        <w:rPr>
          <w:spacing w:val="-3"/>
        </w:rPr>
        <w:t>Working </w:t>
      </w:r>
      <w:r>
        <w:rPr/>
        <w:t>Families </w:t>
      </w:r>
      <w:r>
        <w:rPr>
          <w:spacing w:val="-7"/>
        </w:rPr>
        <w:t>Tax </w:t>
      </w:r>
      <w:r>
        <w:rPr/>
        <w:t>Credit (W</w:t>
      </w:r>
      <w:r>
        <w:rPr>
          <w:sz w:val="20"/>
        </w:rPr>
        <w:t>FTC</w:t>
      </w:r>
      <w:r>
        <w:rPr/>
        <w:t>) is</w:t>
      </w:r>
      <w:r>
        <w:rPr>
          <w:spacing w:val="-34"/>
        </w:rPr>
        <w:t> </w:t>
      </w:r>
      <w:r>
        <w:rPr/>
        <w:t>an in-work benefit for low-income households with dependent children, and is intended to replace</w:t>
      </w:r>
      <w:r>
        <w:rPr>
          <w:spacing w:val="-8"/>
        </w:rPr>
        <w:t> </w:t>
      </w:r>
      <w:r>
        <w:rPr/>
        <w:t>the</w:t>
      </w:r>
      <w:r>
        <w:rPr>
          <w:spacing w:val="-8"/>
        </w:rPr>
        <w:t> </w:t>
      </w:r>
      <w:r>
        <w:rPr/>
        <w:t>existing</w:t>
      </w:r>
      <w:r>
        <w:rPr>
          <w:spacing w:val="-8"/>
        </w:rPr>
        <w:t> </w:t>
      </w:r>
      <w:r>
        <w:rPr/>
        <w:t>Family</w:t>
      </w:r>
      <w:r>
        <w:rPr>
          <w:spacing w:val="-8"/>
        </w:rPr>
        <w:t> </w:t>
      </w:r>
      <w:r>
        <w:rPr/>
        <w:t>Credit</w:t>
      </w:r>
      <w:r>
        <w:rPr>
          <w:spacing w:val="-7"/>
        </w:rPr>
        <w:t> </w:t>
      </w:r>
      <w:r>
        <w:rPr/>
        <w:t>scheme</w:t>
      </w:r>
      <w:r>
        <w:rPr>
          <w:spacing w:val="-8"/>
        </w:rPr>
        <w:t> </w:t>
      </w:r>
      <w:r>
        <w:rPr>
          <w:spacing w:val="-3"/>
        </w:rPr>
        <w:t>from </w:t>
      </w:r>
      <w:r>
        <w:rPr/>
        <w:t>October</w:t>
      </w:r>
      <w:r>
        <w:rPr>
          <w:spacing w:val="-2"/>
        </w:rPr>
        <w:t> </w:t>
      </w:r>
      <w:r>
        <w:rPr/>
        <w:t>1999.</w:t>
      </w:r>
      <w:r>
        <w:rPr>
          <w:position w:val="5"/>
          <w:sz w:val="14"/>
        </w:rPr>
        <w:t>(1)</w:t>
      </w:r>
    </w:p>
    <w:p>
      <w:pPr>
        <w:pStyle w:val="BodyText"/>
        <w:spacing w:before="9"/>
        <w:rPr>
          <w:sz w:val="23"/>
        </w:rPr>
      </w:pPr>
    </w:p>
    <w:p>
      <w:pPr>
        <w:spacing w:line="242" w:lineRule="auto" w:before="1"/>
        <w:ind w:left="519" w:right="376" w:firstLine="0"/>
        <w:jc w:val="left"/>
        <w:rPr>
          <w:sz w:val="24"/>
        </w:rPr>
      </w:pPr>
      <w:r>
        <w:rPr>
          <w:sz w:val="24"/>
        </w:rPr>
        <w:t>Like Family Credit, the W</w:t>
      </w:r>
      <w:r>
        <w:rPr>
          <w:sz w:val="20"/>
        </w:rPr>
        <w:t>FTC </w:t>
      </w:r>
      <w:r>
        <w:rPr>
          <w:sz w:val="24"/>
        </w:rPr>
        <w:t>will be paid to families where at least one adult works more than 16 hours per week. Under the</w:t>
      </w:r>
    </w:p>
    <w:p>
      <w:pPr>
        <w:spacing w:line="274" w:lineRule="exact" w:before="0"/>
        <w:ind w:left="519" w:right="0" w:firstLine="0"/>
        <w:jc w:val="left"/>
        <w:rPr>
          <w:sz w:val="24"/>
        </w:rPr>
      </w:pPr>
      <w:r>
        <w:rPr>
          <w:sz w:val="24"/>
        </w:rPr>
        <w:t>Family Credit scheme, families earning below</w:t>
      </w:r>
    </w:p>
    <w:p>
      <w:pPr>
        <w:spacing w:line="242" w:lineRule="auto" w:before="2"/>
        <w:ind w:left="519" w:right="21" w:firstLine="0"/>
        <w:jc w:val="left"/>
        <w:rPr>
          <w:sz w:val="24"/>
        </w:rPr>
      </w:pPr>
      <w:r>
        <w:rPr>
          <w:sz w:val="24"/>
        </w:rPr>
        <w:t>£79 per week received a flat-rate maximum payment. Above that level, benefits were withdrawn by 70 pence for every £1 of additional income. Under the W</w:t>
      </w:r>
      <w:r>
        <w:rPr>
          <w:sz w:val="20"/>
        </w:rPr>
        <w:t>FTC</w:t>
      </w:r>
      <w:r>
        <w:rPr>
          <w:sz w:val="24"/>
        </w:rPr>
        <w:t>, the earnings threshold has been raised to £90, and the withdrawal rate for households earning above this threshold has been reduced to</w:t>
      </w:r>
    </w:p>
    <w:p>
      <w:pPr>
        <w:spacing w:line="242" w:lineRule="auto" w:before="0"/>
        <w:ind w:left="520" w:right="99" w:firstLine="0"/>
        <w:jc w:val="left"/>
        <w:rPr>
          <w:sz w:val="24"/>
        </w:rPr>
      </w:pPr>
      <w:r>
        <w:rPr>
          <w:sz w:val="24"/>
        </w:rPr>
        <w:t>55 pence in the pound. Recipients of the W</w:t>
      </w:r>
      <w:r>
        <w:rPr>
          <w:sz w:val="20"/>
        </w:rPr>
        <w:t>FTC </w:t>
      </w:r>
      <w:r>
        <w:rPr>
          <w:sz w:val="24"/>
        </w:rPr>
        <w:t>are also entitled to help with 70% of childcare</w:t>
      </w:r>
      <w:r>
        <w:rPr>
          <w:spacing w:val="-9"/>
          <w:sz w:val="24"/>
        </w:rPr>
        <w:t> </w:t>
      </w:r>
      <w:r>
        <w:rPr>
          <w:sz w:val="24"/>
        </w:rPr>
        <w:t>costs,</w:t>
      </w:r>
      <w:r>
        <w:rPr>
          <w:spacing w:val="-9"/>
          <w:sz w:val="24"/>
        </w:rPr>
        <w:t> </w:t>
      </w:r>
      <w:r>
        <w:rPr>
          <w:sz w:val="24"/>
        </w:rPr>
        <w:t>subject</w:t>
      </w:r>
      <w:r>
        <w:rPr>
          <w:spacing w:val="-9"/>
          <w:sz w:val="24"/>
        </w:rPr>
        <w:t> </w:t>
      </w:r>
      <w:r>
        <w:rPr>
          <w:sz w:val="24"/>
        </w:rPr>
        <w:t>to</w:t>
      </w:r>
      <w:r>
        <w:rPr>
          <w:spacing w:val="-8"/>
          <w:sz w:val="24"/>
        </w:rPr>
        <w:t> </w:t>
      </w:r>
      <w:r>
        <w:rPr>
          <w:sz w:val="24"/>
        </w:rPr>
        <w:t>a</w:t>
      </w:r>
      <w:r>
        <w:rPr>
          <w:spacing w:val="-9"/>
          <w:sz w:val="24"/>
        </w:rPr>
        <w:t> </w:t>
      </w:r>
      <w:r>
        <w:rPr>
          <w:sz w:val="24"/>
        </w:rPr>
        <w:t>ceiling</w:t>
      </w:r>
      <w:r>
        <w:rPr>
          <w:spacing w:val="-9"/>
          <w:sz w:val="24"/>
        </w:rPr>
        <w:t> </w:t>
      </w:r>
      <w:r>
        <w:rPr>
          <w:sz w:val="24"/>
        </w:rPr>
        <w:t>determined by the number of children in the</w:t>
      </w:r>
      <w:r>
        <w:rPr>
          <w:spacing w:val="-26"/>
          <w:sz w:val="24"/>
        </w:rPr>
        <w:t> </w:t>
      </w:r>
      <w:r>
        <w:rPr>
          <w:sz w:val="24"/>
        </w:rPr>
        <w:t>household.</w:t>
      </w:r>
    </w:p>
    <w:p>
      <w:pPr>
        <w:spacing w:line="242" w:lineRule="auto" w:before="0"/>
        <w:ind w:left="519" w:right="-2" w:firstLine="0"/>
        <w:jc w:val="left"/>
        <w:rPr>
          <w:sz w:val="24"/>
        </w:rPr>
      </w:pPr>
      <w:r>
        <w:rPr>
          <w:sz w:val="24"/>
        </w:rPr>
        <w:t>The W</w:t>
      </w:r>
      <w:r>
        <w:rPr>
          <w:sz w:val="20"/>
        </w:rPr>
        <w:t>FTC </w:t>
      </w:r>
      <w:r>
        <w:rPr>
          <w:sz w:val="24"/>
        </w:rPr>
        <w:t>has the potential to increase participation in the labour market and hence</w:t>
      </w:r>
      <w:r>
        <w:rPr>
          <w:spacing w:val="-43"/>
          <w:sz w:val="24"/>
        </w:rPr>
        <w:t> </w:t>
      </w:r>
      <w:r>
        <w:rPr>
          <w:spacing w:val="-5"/>
          <w:sz w:val="24"/>
        </w:rPr>
        <w:t>the </w:t>
      </w:r>
      <w:r>
        <w:rPr>
          <w:sz w:val="24"/>
        </w:rPr>
        <w:t>supply of labour available to meet labour demand.</w:t>
      </w:r>
    </w:p>
    <w:p>
      <w:pPr>
        <w:pStyle w:val="BodyText"/>
        <w:spacing w:before="2"/>
        <w:rPr>
          <w:sz w:val="23"/>
        </w:rPr>
      </w:pPr>
    </w:p>
    <w:p>
      <w:pPr>
        <w:spacing w:line="242" w:lineRule="auto" w:before="0"/>
        <w:ind w:left="519" w:right="144" w:firstLine="0"/>
        <w:jc w:val="left"/>
        <w:rPr>
          <w:sz w:val="24"/>
        </w:rPr>
      </w:pPr>
      <w:r>
        <w:rPr>
          <w:sz w:val="24"/>
        </w:rPr>
        <w:t>The W</w:t>
      </w:r>
      <w:r>
        <w:rPr>
          <w:sz w:val="20"/>
        </w:rPr>
        <w:t>FTC </w:t>
      </w:r>
      <w:r>
        <w:rPr>
          <w:sz w:val="24"/>
        </w:rPr>
        <w:t>is likely to </w:t>
      </w:r>
      <w:r>
        <w:rPr>
          <w:spacing w:val="-3"/>
          <w:sz w:val="24"/>
        </w:rPr>
        <w:t>have </w:t>
      </w:r>
      <w:r>
        <w:rPr>
          <w:sz w:val="24"/>
        </w:rPr>
        <w:t>different effects on the labour supplied by different groups of people. For some individuals, such as lone parents, the W</w:t>
      </w:r>
      <w:r>
        <w:rPr>
          <w:sz w:val="20"/>
        </w:rPr>
        <w:t>FTC </w:t>
      </w:r>
      <w:r>
        <w:rPr>
          <w:sz w:val="24"/>
        </w:rPr>
        <w:t>should raise the incentives to work, because of the increase in the threshold, the reduction of the withdrawal</w:t>
      </w:r>
      <w:r>
        <w:rPr>
          <w:spacing w:val="-42"/>
          <w:sz w:val="24"/>
        </w:rPr>
        <w:t> </w:t>
      </w:r>
      <w:r>
        <w:rPr>
          <w:spacing w:val="-4"/>
          <w:sz w:val="24"/>
        </w:rPr>
        <w:t>rate </w:t>
      </w:r>
      <w:r>
        <w:rPr>
          <w:sz w:val="24"/>
        </w:rPr>
        <w:t>and the fall in childcare costs. For other people, such as partners of W</w:t>
      </w:r>
      <w:r>
        <w:rPr>
          <w:sz w:val="20"/>
        </w:rPr>
        <w:t>FTC </w:t>
      </w:r>
      <w:r>
        <w:rPr>
          <w:sz w:val="24"/>
        </w:rPr>
        <w:t>recipients, the incentive to work may be reduced.</w:t>
      </w:r>
      <w:r>
        <w:rPr>
          <w:spacing w:val="23"/>
          <w:sz w:val="24"/>
        </w:rPr>
        <w:t> </w:t>
      </w:r>
      <w:r>
        <w:rPr>
          <w:sz w:val="24"/>
        </w:rPr>
        <w:t>This</w:t>
      </w:r>
    </w:p>
    <w:p>
      <w:pPr>
        <w:spacing w:line="242" w:lineRule="auto" w:before="0"/>
        <w:ind w:left="519" w:right="376" w:firstLine="0"/>
        <w:jc w:val="left"/>
        <w:rPr>
          <w:sz w:val="24"/>
        </w:rPr>
      </w:pPr>
      <w:r>
        <w:rPr>
          <w:sz w:val="24"/>
        </w:rPr>
        <w:t>is because the W</w:t>
      </w:r>
      <w:r>
        <w:rPr>
          <w:sz w:val="20"/>
        </w:rPr>
        <w:t>FTC </w:t>
      </w:r>
      <w:r>
        <w:rPr>
          <w:sz w:val="24"/>
        </w:rPr>
        <w:t>reforms could entail an increase in family income for a partner</w:t>
      </w:r>
    </w:p>
    <w:p>
      <w:pPr>
        <w:spacing w:line="242" w:lineRule="auto" w:before="0"/>
        <w:ind w:left="519" w:right="73" w:firstLine="0"/>
        <w:jc w:val="left"/>
        <w:rPr>
          <w:sz w:val="24"/>
        </w:rPr>
      </w:pPr>
      <w:r>
        <w:rPr>
          <w:sz w:val="24"/>
        </w:rPr>
        <w:t>when they do not work, increasing their desire to move out of work. This effect may be counteracted by the childcare credit, as both partners in a couple must be working to receive help with childcare costs. But since</w:t>
      </w:r>
    </w:p>
    <w:p>
      <w:pPr>
        <w:spacing w:line="242" w:lineRule="auto" w:before="0"/>
        <w:ind w:left="519" w:right="21" w:firstLine="0"/>
        <w:jc w:val="left"/>
        <w:rPr>
          <w:sz w:val="24"/>
        </w:rPr>
      </w:pPr>
      <w:r>
        <w:rPr>
          <w:sz w:val="24"/>
        </w:rPr>
        <w:t>a significant amount of childcare is informal, introduction of the W</w:t>
      </w:r>
      <w:r>
        <w:rPr>
          <w:sz w:val="20"/>
        </w:rPr>
        <w:t>FTC </w:t>
      </w:r>
      <w:r>
        <w:rPr>
          <w:sz w:val="24"/>
        </w:rPr>
        <w:t>may lead to</w:t>
      </w:r>
    </w:p>
    <w:p>
      <w:pPr>
        <w:spacing w:line="242" w:lineRule="auto" w:before="0"/>
        <w:ind w:left="519" w:right="21" w:firstLine="0"/>
        <w:jc w:val="left"/>
        <w:rPr>
          <w:sz w:val="24"/>
        </w:rPr>
      </w:pPr>
      <w:r>
        <w:rPr>
          <w:sz w:val="24"/>
        </w:rPr>
        <w:t>some substitution from informal to formal childcare.</w:t>
      </w:r>
    </w:p>
    <w:p>
      <w:pPr>
        <w:spacing w:line="242" w:lineRule="auto" w:before="89"/>
        <w:ind w:left="459" w:right="529" w:firstLine="0"/>
        <w:jc w:val="left"/>
        <w:rPr>
          <w:sz w:val="24"/>
        </w:rPr>
      </w:pPr>
      <w:r>
        <w:rPr/>
        <w:br w:type="column"/>
      </w:r>
      <w:r>
        <w:rPr>
          <w:sz w:val="24"/>
        </w:rPr>
        <w:t>The impact of the W</w:t>
      </w:r>
      <w:r>
        <w:rPr>
          <w:sz w:val="20"/>
        </w:rPr>
        <w:t>FTC </w:t>
      </w:r>
      <w:r>
        <w:rPr>
          <w:sz w:val="24"/>
        </w:rPr>
        <w:t>on the number of hours worked is also likely to vary between groups. When in-work benefits are withdrawn as earnings rise, the incentive to work an extra hour is reduced. For some households, this disincentive</w:t>
      </w:r>
      <w:r>
        <w:rPr>
          <w:spacing w:val="-11"/>
          <w:sz w:val="24"/>
        </w:rPr>
        <w:t> </w:t>
      </w:r>
      <w:r>
        <w:rPr>
          <w:sz w:val="24"/>
        </w:rPr>
        <w:t>will</w:t>
      </w:r>
      <w:r>
        <w:rPr>
          <w:spacing w:val="-10"/>
          <w:sz w:val="24"/>
        </w:rPr>
        <w:t> </w:t>
      </w:r>
      <w:r>
        <w:rPr>
          <w:sz w:val="24"/>
        </w:rPr>
        <w:t>lessen</w:t>
      </w:r>
      <w:r>
        <w:rPr>
          <w:spacing w:val="-10"/>
          <w:sz w:val="24"/>
        </w:rPr>
        <w:t> </w:t>
      </w:r>
      <w:r>
        <w:rPr>
          <w:sz w:val="24"/>
        </w:rPr>
        <w:t>with</w:t>
      </w:r>
      <w:r>
        <w:rPr>
          <w:spacing w:val="-10"/>
          <w:sz w:val="24"/>
        </w:rPr>
        <w:t> </w:t>
      </w:r>
      <w:r>
        <w:rPr>
          <w:sz w:val="24"/>
        </w:rPr>
        <w:t>the</w:t>
      </w:r>
      <w:r>
        <w:rPr>
          <w:spacing w:val="-10"/>
          <w:sz w:val="24"/>
        </w:rPr>
        <w:t> </w:t>
      </w:r>
      <w:r>
        <w:rPr>
          <w:sz w:val="24"/>
        </w:rPr>
        <w:t>W</w:t>
      </w:r>
      <w:r>
        <w:rPr>
          <w:sz w:val="20"/>
        </w:rPr>
        <w:t>FTC,</w:t>
      </w:r>
      <w:r>
        <w:rPr>
          <w:spacing w:val="-1"/>
          <w:sz w:val="20"/>
        </w:rPr>
        <w:t> </w:t>
      </w:r>
      <w:r>
        <w:rPr>
          <w:sz w:val="24"/>
        </w:rPr>
        <w:t>because of the raising of the earnings level at which withdrawal starts, and the lowering of the withdrawal rate. But there will be some people who will be better off overall by receiving W</w:t>
      </w:r>
      <w:r>
        <w:rPr>
          <w:sz w:val="20"/>
        </w:rPr>
        <w:t>FTC,</w:t>
      </w:r>
      <w:r>
        <w:rPr>
          <w:spacing w:val="1"/>
          <w:sz w:val="20"/>
        </w:rPr>
        <w:t> </w:t>
      </w:r>
      <w:r>
        <w:rPr>
          <w:sz w:val="24"/>
        </w:rPr>
        <w:t>but</w:t>
      </w:r>
      <w:r>
        <w:rPr>
          <w:spacing w:val="-8"/>
          <w:sz w:val="24"/>
        </w:rPr>
        <w:t> </w:t>
      </w:r>
      <w:r>
        <w:rPr>
          <w:sz w:val="24"/>
        </w:rPr>
        <w:t>who</w:t>
      </w:r>
      <w:r>
        <w:rPr>
          <w:spacing w:val="-8"/>
          <w:sz w:val="24"/>
        </w:rPr>
        <w:t> </w:t>
      </w:r>
      <w:r>
        <w:rPr>
          <w:sz w:val="24"/>
        </w:rPr>
        <w:t>do</w:t>
      </w:r>
      <w:r>
        <w:rPr>
          <w:spacing w:val="-8"/>
          <w:sz w:val="24"/>
        </w:rPr>
        <w:t> </w:t>
      </w:r>
      <w:r>
        <w:rPr>
          <w:sz w:val="24"/>
        </w:rPr>
        <w:t>not</w:t>
      </w:r>
      <w:r>
        <w:rPr>
          <w:spacing w:val="-8"/>
          <w:sz w:val="24"/>
        </w:rPr>
        <w:t> </w:t>
      </w:r>
      <w:r>
        <w:rPr>
          <w:sz w:val="24"/>
        </w:rPr>
        <w:t>currently</w:t>
      </w:r>
      <w:r>
        <w:rPr>
          <w:spacing w:val="-8"/>
          <w:sz w:val="24"/>
        </w:rPr>
        <w:t> </w:t>
      </w:r>
      <w:r>
        <w:rPr>
          <w:sz w:val="24"/>
        </w:rPr>
        <w:t>receive</w:t>
      </w:r>
      <w:r>
        <w:rPr>
          <w:spacing w:val="-8"/>
          <w:sz w:val="24"/>
        </w:rPr>
        <w:t> </w:t>
      </w:r>
      <w:r>
        <w:rPr>
          <w:sz w:val="24"/>
        </w:rPr>
        <w:t>Family Credit. This group will face the additional 55% withdrawal rate of W</w:t>
      </w:r>
      <w:r>
        <w:rPr>
          <w:sz w:val="20"/>
        </w:rPr>
        <w:t>FTC </w:t>
      </w:r>
      <w:r>
        <w:rPr>
          <w:sz w:val="24"/>
        </w:rPr>
        <w:t>on top of the</w:t>
      </w:r>
      <w:r>
        <w:rPr>
          <w:spacing w:val="-32"/>
          <w:sz w:val="24"/>
        </w:rPr>
        <w:t> </w:t>
      </w:r>
      <w:r>
        <w:rPr>
          <w:spacing w:val="-3"/>
          <w:sz w:val="24"/>
        </w:rPr>
        <w:t>marginal </w:t>
      </w:r>
      <w:r>
        <w:rPr>
          <w:sz w:val="24"/>
        </w:rPr>
        <w:t>withdrawal rate, produced by income tax and National Insurance, that they already</w:t>
      </w:r>
      <w:r>
        <w:rPr>
          <w:spacing w:val="-22"/>
          <w:sz w:val="24"/>
        </w:rPr>
        <w:t> </w:t>
      </w:r>
      <w:r>
        <w:rPr>
          <w:sz w:val="24"/>
        </w:rPr>
        <w:t>faced.</w:t>
      </w:r>
    </w:p>
    <w:p>
      <w:pPr>
        <w:spacing w:line="265" w:lineRule="exact" w:before="0"/>
        <w:ind w:left="459" w:right="0" w:firstLine="0"/>
        <w:jc w:val="left"/>
        <w:rPr>
          <w:sz w:val="24"/>
        </w:rPr>
      </w:pPr>
      <w:r>
        <w:rPr>
          <w:sz w:val="24"/>
        </w:rPr>
        <w:t>This may cause them to reduce labour supply.</w:t>
      </w:r>
    </w:p>
    <w:p>
      <w:pPr>
        <w:pStyle w:val="BodyText"/>
        <w:spacing w:before="4"/>
        <w:rPr>
          <w:sz w:val="24"/>
        </w:rPr>
      </w:pPr>
    </w:p>
    <w:p>
      <w:pPr>
        <w:spacing w:line="242" w:lineRule="auto" w:before="0"/>
        <w:ind w:left="459" w:right="531" w:firstLine="0"/>
        <w:jc w:val="left"/>
        <w:rPr>
          <w:sz w:val="24"/>
        </w:rPr>
      </w:pPr>
      <w:r>
        <w:rPr>
          <w:sz w:val="24"/>
        </w:rPr>
        <w:t>For the population as a whole, a reliable guide to the impact of the W</w:t>
      </w:r>
      <w:r>
        <w:rPr>
          <w:sz w:val="20"/>
        </w:rPr>
        <w:t>FTC </w:t>
      </w:r>
      <w:r>
        <w:rPr>
          <w:sz w:val="24"/>
        </w:rPr>
        <w:t>can only be</w:t>
      </w:r>
      <w:r>
        <w:rPr>
          <w:spacing w:val="-25"/>
          <w:sz w:val="24"/>
        </w:rPr>
        <w:t> </w:t>
      </w:r>
      <w:r>
        <w:rPr>
          <w:spacing w:val="-3"/>
          <w:sz w:val="24"/>
        </w:rPr>
        <w:t>provided </w:t>
      </w:r>
      <w:r>
        <w:rPr>
          <w:sz w:val="24"/>
        </w:rPr>
        <w:t>by a simulation based on a representative sample of households. Independent research</w:t>
      </w:r>
      <w:r>
        <w:rPr>
          <w:position w:val="5"/>
          <w:sz w:val="14"/>
        </w:rPr>
        <w:t>(2) </w:t>
      </w:r>
      <w:r>
        <w:rPr>
          <w:sz w:val="24"/>
        </w:rPr>
        <w:t>by the Institute of Fiscal Studies has attempted to quantify the labour market impact of the W</w:t>
      </w:r>
      <w:r>
        <w:rPr>
          <w:sz w:val="20"/>
        </w:rPr>
        <w:t>FTC, </w:t>
      </w:r>
      <w:r>
        <w:rPr>
          <w:sz w:val="24"/>
        </w:rPr>
        <w:t>using its tax and benefit simulation model (T</w:t>
      </w:r>
      <w:r>
        <w:rPr>
          <w:sz w:val="20"/>
        </w:rPr>
        <w:t>AXBEN</w:t>
      </w:r>
      <w:r>
        <w:rPr>
          <w:sz w:val="24"/>
        </w:rPr>
        <w:t>) and data from the Family Resources </w:t>
      </w:r>
      <w:r>
        <w:rPr>
          <w:spacing w:val="-4"/>
          <w:sz w:val="24"/>
        </w:rPr>
        <w:t>Survey. </w:t>
      </w:r>
      <w:r>
        <w:rPr>
          <w:sz w:val="24"/>
        </w:rPr>
        <w:t>They divide recipients into two groups—lone parents, and couples with children. Their analysis indicates that the W</w:t>
      </w:r>
      <w:r>
        <w:rPr>
          <w:sz w:val="20"/>
        </w:rPr>
        <w:t>FTC </w:t>
      </w:r>
      <w:r>
        <w:rPr>
          <w:sz w:val="24"/>
        </w:rPr>
        <w:t>is likely to increase the participation of lone parents in the labour market. Among couples, the effects on male participation are estimated to be small, while there is a</w:t>
      </w:r>
      <w:r>
        <w:rPr>
          <w:spacing w:val="-40"/>
          <w:sz w:val="24"/>
        </w:rPr>
        <w:t> </w:t>
      </w:r>
      <w:r>
        <w:rPr>
          <w:sz w:val="24"/>
        </w:rPr>
        <w:t>moderate decrease in labour supplied by women as a result of the incentives to move out of work highlighted above. Their provisional findings suggest that the increase in total</w:t>
      </w:r>
      <w:r>
        <w:rPr>
          <w:spacing w:val="-38"/>
          <w:sz w:val="24"/>
        </w:rPr>
        <w:t> </w:t>
      </w:r>
      <w:r>
        <w:rPr>
          <w:sz w:val="24"/>
        </w:rPr>
        <w:t>economy-wide participation, which depends on how far the childcare subsidy is taken up, would lie between 10,000 and 45,000 workers, with a point</w:t>
      </w:r>
      <w:r>
        <w:rPr>
          <w:spacing w:val="-6"/>
          <w:sz w:val="24"/>
        </w:rPr>
        <w:t> </w:t>
      </w:r>
      <w:r>
        <w:rPr>
          <w:sz w:val="24"/>
        </w:rPr>
        <w:t>estimate</w:t>
      </w:r>
      <w:r>
        <w:rPr>
          <w:spacing w:val="-5"/>
          <w:sz w:val="24"/>
        </w:rPr>
        <w:t> </w:t>
      </w:r>
      <w:r>
        <w:rPr>
          <w:sz w:val="24"/>
        </w:rPr>
        <w:t>of</w:t>
      </w:r>
      <w:r>
        <w:rPr>
          <w:spacing w:val="-6"/>
          <w:sz w:val="24"/>
        </w:rPr>
        <w:t> </w:t>
      </w:r>
      <w:r>
        <w:rPr>
          <w:sz w:val="24"/>
        </w:rPr>
        <w:t>30,000</w:t>
      </w:r>
      <w:r>
        <w:rPr>
          <w:spacing w:val="-5"/>
          <w:sz w:val="24"/>
        </w:rPr>
        <w:t> </w:t>
      </w:r>
      <w:r>
        <w:rPr>
          <w:sz w:val="24"/>
        </w:rPr>
        <w:t>in</w:t>
      </w:r>
      <w:r>
        <w:rPr>
          <w:spacing w:val="-5"/>
          <w:sz w:val="24"/>
        </w:rPr>
        <w:t> </w:t>
      </w:r>
      <w:r>
        <w:rPr>
          <w:sz w:val="24"/>
        </w:rPr>
        <w:t>the</w:t>
      </w:r>
      <w:r>
        <w:rPr>
          <w:spacing w:val="-6"/>
          <w:sz w:val="24"/>
        </w:rPr>
        <w:t> </w:t>
      </w:r>
      <w:r>
        <w:rPr>
          <w:sz w:val="24"/>
        </w:rPr>
        <w:t>event</w:t>
      </w:r>
      <w:r>
        <w:rPr>
          <w:spacing w:val="-5"/>
          <w:sz w:val="24"/>
        </w:rPr>
        <w:t> </w:t>
      </w:r>
      <w:r>
        <w:rPr>
          <w:sz w:val="24"/>
        </w:rPr>
        <w:t>of</w:t>
      </w:r>
      <w:r>
        <w:rPr>
          <w:spacing w:val="-6"/>
          <w:sz w:val="24"/>
        </w:rPr>
        <w:t> </w:t>
      </w:r>
      <w:r>
        <w:rPr>
          <w:sz w:val="24"/>
        </w:rPr>
        <w:t>a</w:t>
      </w:r>
      <w:r>
        <w:rPr>
          <w:spacing w:val="-5"/>
          <w:sz w:val="24"/>
        </w:rPr>
        <w:t> </w:t>
      </w:r>
      <w:r>
        <w:rPr>
          <w:sz w:val="24"/>
        </w:rPr>
        <w:t>100% take-up of childcare subsidy. In the </w:t>
      </w:r>
      <w:r>
        <w:rPr>
          <w:spacing w:val="-3"/>
          <w:sz w:val="24"/>
        </w:rPr>
        <w:t>MPC’s </w:t>
      </w:r>
      <w:r>
        <w:rPr>
          <w:sz w:val="24"/>
        </w:rPr>
        <w:t>judgment, numbers of this magnitude are unlikely materially to affect whole-economy labour </w:t>
      </w:r>
      <w:r>
        <w:rPr>
          <w:spacing w:val="-3"/>
          <w:sz w:val="24"/>
        </w:rPr>
        <w:t>supply. </w:t>
      </w:r>
      <w:r>
        <w:rPr>
          <w:sz w:val="24"/>
        </w:rPr>
        <w:t>So it is unlikely that the W</w:t>
      </w:r>
      <w:r>
        <w:rPr>
          <w:sz w:val="20"/>
        </w:rPr>
        <w:t>FTC </w:t>
      </w:r>
      <w:r>
        <w:rPr>
          <w:sz w:val="24"/>
        </w:rPr>
        <w:t>will significantly influence the profile of inflation over the forecast</w:t>
      </w:r>
      <w:r>
        <w:rPr>
          <w:spacing w:val="-9"/>
          <w:sz w:val="24"/>
        </w:rPr>
        <w:t> </w:t>
      </w:r>
      <w:r>
        <w:rPr>
          <w:sz w:val="24"/>
        </w:rPr>
        <w:t>period.</w:t>
      </w:r>
    </w:p>
    <w:p>
      <w:pPr>
        <w:spacing w:after="0" w:line="242" w:lineRule="auto"/>
        <w:jc w:val="left"/>
        <w:rPr>
          <w:sz w:val="24"/>
        </w:rPr>
        <w:sectPr>
          <w:type w:val="continuous"/>
          <w:pgSz w:w="11900" w:h="16840"/>
          <w:pgMar w:top="1220" w:bottom="280" w:left="640" w:right="600"/>
          <w:cols w:num="2" w:equalWidth="0">
            <w:col w:w="5071" w:space="40"/>
            <w:col w:w="5549"/>
          </w:cols>
        </w:sectPr>
      </w:pPr>
    </w:p>
    <w:p>
      <w:pPr>
        <w:pStyle w:val="BodyText"/>
        <w:rPr>
          <w:sz w:val="15"/>
        </w:rPr>
      </w:pPr>
      <w:r>
        <w:rPr/>
        <w:pict>
          <v:group style="position:absolute;margin-left:39.650002pt;margin-top:42.189999pt;width:516.7pt;height:738.65pt;mso-position-horizontal-relative:page;mso-position-vertical-relative:page;z-index:-21017088" coordorigin="793,844" coordsize="10334,14773">
            <v:shape style="position:absolute;left:812;top:863;width:10295;height:14733" coordorigin="813,864" coordsize="10295,14733" path="m11107,864l5974,864,5946,864,813,864,813,8202,813,8259,813,15596,5946,15596,5974,15596,11107,15596,11107,864xe" filled="true" fillcolor="#c3e0dc" stroked="false">
              <v:path arrowok="t"/>
              <v:fill type="solid"/>
            </v:shape>
            <v:shape style="position:absolute;left:892;top:985;width:10135;height:14489" coordorigin="892,986" coordsize="10135,14489" path="m5960,986l892,8230,5960,15474,11027,8230,5960,986xe" filled="true" fillcolor="#c4e1dd" stroked="false">
              <v:path arrowok="t"/>
              <v:fill type="solid"/>
            </v:shape>
            <v:shape style="position:absolute;left:991;top:1128;width:9937;height:14205" coordorigin="992,1128" coordsize="9937,14205" path="m5960,1128l992,8230,5960,15332,10928,8230,5960,1128xe" filled="true" fillcolor="#c5e1dd" stroked="false">
              <v:path arrowok="t"/>
              <v:fill type="solid"/>
            </v:shape>
            <v:shape style="position:absolute;left:1091;top:1270;width:9738;height:13920" coordorigin="1091,1270" coordsize="9738,13920" path="m5960,1270l1091,8230,5960,15190,10829,8230,5960,1270xe" filled="true" fillcolor="#c6e2de" stroked="false">
              <v:path arrowok="t"/>
              <v:fill type="solid"/>
            </v:shape>
            <v:shape style="position:absolute;left:1190;top:1412;width:9539;height:13636" coordorigin="1191,1412" coordsize="9539,13636" path="m5960,1412l1191,8230,5960,15048,10729,8230,5960,1412xe" filled="true" fillcolor="#c7e2df" stroked="false">
              <v:path arrowok="t"/>
              <v:fill type="solid"/>
            </v:shape>
            <v:shape style="position:absolute;left:1289;top:1554;width:9341;height:13352" coordorigin="1290,1554" coordsize="9341,13352" path="m5960,1554l1290,8230,5960,14906,10630,8230,5960,1554xe" filled="true" fillcolor="#c8e3df" stroked="false">
              <v:path arrowok="t"/>
              <v:fill type="solid"/>
            </v:shape>
            <v:shape style="position:absolute;left:1389;top:1696;width:9142;height:13068" coordorigin="1389,1696" coordsize="9142,13068" path="m5960,1696l1389,8230,5960,14764,10531,8230,5960,1696xe" filled="true" fillcolor="#c9e3e0" stroked="false">
              <v:path arrowok="t"/>
              <v:fill type="solid"/>
            </v:shape>
            <v:shape style="position:absolute;left:1488;top:1838;width:8943;height:12784" coordorigin="1489,1838" coordsize="8943,12784" path="m5960,1838l1489,8230,5960,14622,10431,8230,5960,1838xe" filled="true" fillcolor="#cae4e0" stroked="false">
              <v:path arrowok="t"/>
              <v:fill type="solid"/>
            </v:shape>
            <v:shape style="position:absolute;left:1587;top:1980;width:8744;height:12500" coordorigin="1588,1980" coordsize="8744,12500" path="m5960,1980l1588,8230,5960,14480,10332,8230,5960,1980xe" filled="true" fillcolor="#cbe4e1" stroked="false">
              <v:path arrowok="t"/>
              <v:fill type="solid"/>
            </v:shape>
            <v:shape style="position:absolute;left:1687;top:2122;width:8546;height:12216" coordorigin="1687,2122" coordsize="8546,12216" path="m5960,2122l1687,8230,5960,14338,10233,8230,5960,2122xe" filled="true" fillcolor="#cce5e1" stroked="false">
              <v:path arrowok="t"/>
              <v:fill type="solid"/>
            </v:shape>
            <v:shape style="position:absolute;left:1786;top:2264;width:8347;height:11932" coordorigin="1787,2264" coordsize="8347,11932" path="m5960,2264l1787,8230,5960,14196,10133,8230,5960,2264xe" filled="true" fillcolor="#cde5e2" stroked="false">
              <v:path arrowok="t"/>
              <v:fill type="solid"/>
            </v:shape>
            <v:shape style="position:absolute;left:1886;top:2406;width:8148;height:11648" coordorigin="1886,2406" coordsize="8148,11648" path="m5960,2406l1886,8230,5960,14054,10034,8230,5960,2406xe" filled="true" fillcolor="#cee6e3" stroked="false">
              <v:path arrowok="t"/>
              <v:fill type="solid"/>
            </v:shape>
            <v:shape style="position:absolute;left:1985;top:2548;width:7949;height:11364" coordorigin="1985,2548" coordsize="7949,11364" path="m5960,2548l1985,8230,5960,13912,9934,8230,5960,2548xe" filled="true" fillcolor="#cfe6e3" stroked="false">
              <v:path arrowok="t"/>
              <v:fill type="solid"/>
            </v:shape>
            <v:shape style="position:absolute;left:2084;top:2690;width:7751;height:11080" coordorigin="2085,2690" coordsize="7751,11080" path="m5960,2690l2085,8230,5960,13770,9835,8230,5960,2690xe" filled="true" fillcolor="#d0e7e4" stroked="false">
              <v:path arrowok="t"/>
              <v:fill type="solid"/>
            </v:shape>
            <v:shape style="position:absolute;left:2184;top:2832;width:7552;height:10796" coordorigin="2184,2833" coordsize="7552,10796" path="m5960,2833l2184,8230,5960,13628,9736,8230,5960,2833xe" filled="true" fillcolor="#d1e7e4" stroked="false">
              <v:path arrowok="t"/>
              <v:fill type="solid"/>
            </v:shape>
            <v:shape style="position:absolute;left:2283;top:2974;width:7353;height:10511" coordorigin="2284,2975" coordsize="7353,10511" path="m5960,2975l2284,8230,5960,13486,9636,8230,5960,2975xe" filled="true" fillcolor="#d3e8e5" stroked="false">
              <v:path arrowok="t"/>
              <v:fill type="solid"/>
            </v:shape>
            <v:shape style="position:absolute;left:2382;top:3116;width:7155;height:10227" coordorigin="2383,3117" coordsize="7155,10227" path="m5960,3117l2383,8230,5960,13344,9537,8230,5960,3117xe" filled="true" fillcolor="#d4e8e5" stroked="false">
              <v:path arrowok="t"/>
              <v:fill type="solid"/>
            </v:shape>
            <v:shape style="position:absolute;left:2482;top:3258;width:6956;height:9943" coordorigin="2482,3259" coordsize="6956,9943" path="m5960,3259l2482,8230,5960,13201,9438,8230,5960,3259xe" filled="true" fillcolor="#d5e9e6" stroked="false">
              <v:path arrowok="t"/>
              <v:fill type="solid"/>
            </v:shape>
            <v:shape style="position:absolute;left:2581;top:3400;width:6757;height:9659" coordorigin="2582,3401" coordsize="6757,9659" path="m5960,3401l2582,8230,5960,13059,9338,8230,5960,3401xe" filled="true" fillcolor="#d6eae7" stroked="false">
              <v:path arrowok="t"/>
              <v:fill type="solid"/>
            </v:shape>
            <v:shape style="position:absolute;left:2680;top:3542;width:6558;height:9375" coordorigin="2681,3543" coordsize="6558,9375" path="m5960,3543l2681,8230,5960,12917,9239,8230,5960,3543xe" filled="true" fillcolor="#d7eae7" stroked="false">
              <v:path arrowok="t"/>
              <v:fill type="solid"/>
            </v:shape>
            <v:shape style="position:absolute;left:2780;top:3684;width:6360;height:9091" coordorigin="2780,3685" coordsize="6360,9091" path="m5960,3685l2780,8230,5960,12775,9140,8230,5960,3685xe" filled="true" fillcolor="#d8ebe8" stroked="false">
              <v:path arrowok="t"/>
              <v:fill type="solid"/>
            </v:shape>
            <v:shape style="position:absolute;left:2879;top:3826;width:6161;height:8807" coordorigin="2880,3827" coordsize="6161,8807" path="m5960,3827l2880,8230,5960,12633,9040,8230,5960,3827xe" filled="true" fillcolor="#d9ebe8" stroked="false">
              <v:path arrowok="t"/>
              <v:fill type="solid"/>
            </v:shape>
            <v:shape style="position:absolute;left:2979;top:3968;width:5962;height:8523" coordorigin="2979,3969" coordsize="5962,8523" path="m5960,3969l2979,8230,5960,12491,8941,8230,5960,3969xe" filled="true" fillcolor="#daece9" stroked="false">
              <v:path arrowok="t"/>
              <v:fill type="solid"/>
            </v:shape>
            <v:shape style="position:absolute;left:3078;top:4110;width:5764;height:8239" coordorigin="3078,4111" coordsize="5764,8239" path="m5960,4111l3078,8230,5960,12349,8841,8230,5960,4111xe" filled="true" fillcolor="#dbece9" stroked="false">
              <v:path arrowok="t"/>
              <v:fill type="solid"/>
            </v:shape>
            <v:shape style="position:absolute;left:3177;top:4252;width:5565;height:7955" coordorigin="3178,4253" coordsize="5565,7955" path="m5960,4253l3178,8230,5960,12207,8742,8230,5960,4253xe" filled="true" fillcolor="#dcedea" stroked="false">
              <v:path arrowok="t"/>
              <v:fill type="solid"/>
            </v:shape>
            <v:shape style="position:absolute;left:3277;top:4394;width:5366;height:7671" coordorigin="3277,4395" coordsize="5366,7671" path="m5960,4395l3277,8230,5960,12065,8643,8230,5960,4395xe" filled="true" fillcolor="#ddedeb" stroked="false">
              <v:path arrowok="t"/>
              <v:fill type="solid"/>
            </v:shape>
            <v:shape style="position:absolute;left:3376;top:4537;width:5167;height:7387" coordorigin="3377,4537" coordsize="5167,7387" path="m5960,4537l3377,8230,5960,11923,8543,8230,5960,4537xe" filled="true" fillcolor="#deeeeb" stroked="false">
              <v:path arrowok="t"/>
              <v:fill type="solid"/>
            </v:shape>
            <v:shape style="position:absolute;left:3475;top:4679;width:4969;height:7103" coordorigin="3476,4679" coordsize="4969,7103" path="m5960,4679l3476,8230,5960,11781,8444,8230,5960,4679xe" filled="true" fillcolor="#e0efec" stroked="false">
              <v:path arrowok="t"/>
              <v:fill type="solid"/>
            </v:shape>
            <v:shape style="position:absolute;left:3575;top:4821;width:4770;height:6818" coordorigin="3575,4821" coordsize="4770,6818" path="m5960,4821l3575,8230,5960,11639,8345,8230,5960,4821xe" filled="true" fillcolor="#e1efec" stroked="false">
              <v:path arrowok="t"/>
              <v:fill type="solid"/>
            </v:shape>
            <v:shape style="position:absolute;left:3674;top:4963;width:4571;height:6534" coordorigin="3675,4963" coordsize="4571,6534" path="m5960,4963l3675,8230,5960,11497,8245,8230,5960,4963xe" filled="true" fillcolor="#e2f0ed" stroked="false">
              <v:path arrowok="t"/>
              <v:fill type="solid"/>
            </v:shape>
            <v:shape style="position:absolute;left:3773;top:5105;width:4372;height:6250" coordorigin="3774,5105" coordsize="4372,6250" path="m5960,5105l3774,8230,5960,11355,8146,8230,5960,5105xe" filled="true" fillcolor="#e3f0ee" stroked="false">
              <v:path arrowok="t"/>
              <v:fill type="solid"/>
            </v:shape>
            <v:shape style="position:absolute;left:3873;top:5247;width:4174;height:5966" coordorigin="3873,5247" coordsize="4174,5966" path="m5960,5247l3873,8230,5960,11213,8047,8230,5960,5247xe" filled="true" fillcolor="#e4f1ee" stroked="false">
              <v:path arrowok="t"/>
              <v:fill type="solid"/>
            </v:shape>
            <v:shape style="position:absolute;left:3972;top:5389;width:3975;height:5682" coordorigin="3973,5389" coordsize="3975,5682" path="m5960,5389l3973,8230,5960,11071,7947,8230,5960,5389xe" filled="true" fillcolor="#e5f1ef" stroked="false">
              <v:path arrowok="t"/>
              <v:fill type="solid"/>
            </v:shape>
            <v:shape style="position:absolute;left:4072;top:5531;width:3776;height:5398" coordorigin="4072,5531" coordsize="3776,5398" path="m5960,5531l4072,8230,5960,10929,7848,8230,5960,5531xe" filled="true" fillcolor="#e6f2ef" stroked="false">
              <v:path arrowok="t"/>
              <v:fill type="solid"/>
            </v:shape>
            <v:shape style="position:absolute;left:4171;top:5673;width:3578;height:5114" coordorigin="4171,5673" coordsize="3578,5114" path="m5960,5673l4171,8230,5960,10787,7748,8230,5960,5673xe" filled="true" fillcolor="#e7f3f0" stroked="false">
              <v:path arrowok="t"/>
              <v:fill type="solid"/>
            </v:shape>
            <v:shape style="position:absolute;left:4270;top:5815;width:3379;height:4830" coordorigin="4271,5815" coordsize="3379,4830" path="m5960,5815l4271,8230,5960,10645,7649,8230,5960,5815xe" filled="true" fillcolor="#e9f3f1" stroked="false">
              <v:path arrowok="t"/>
              <v:fill type="solid"/>
            </v:shape>
            <v:shape style="position:absolute;left:4370;top:5957;width:3180;height:4546" coordorigin="4370,5957" coordsize="3180,4546" path="m5960,5957l4370,8230,5960,10503,7550,8230,5960,5957xe" filled="true" fillcolor="#eaf4f2" stroked="false">
              <v:path arrowok="t"/>
              <v:fill type="solid"/>
            </v:shape>
            <v:shape style="position:absolute;left:4469;top:6099;width:2981;height:4262" coordorigin="4469,6099" coordsize="2981,4262" path="m5960,6099l4469,8230,5960,10361,7450,8230,5960,6099xe" filled="true" fillcolor="#ebf4f2" stroked="false">
              <v:path arrowok="t"/>
              <v:fill type="solid"/>
            </v:shape>
            <v:shape style="position:absolute;left:4568;top:6241;width:2783;height:3978" coordorigin="4569,6242" coordsize="2783,3978" path="m5960,6242l4569,8230,5960,10219,7351,8230,5960,6242xe" filled="true" fillcolor="#ecf5f3" stroked="false">
              <v:path arrowok="t"/>
              <v:fill type="solid"/>
            </v:shape>
            <v:shape style="position:absolute;left:4668;top:6383;width:2584;height:3694" coordorigin="4668,6384" coordsize="2584,3694" path="m5960,6384l4668,8230,5960,10077,7252,8230,5960,6384xe" filled="true" fillcolor="#edf6f4" stroked="false">
              <v:path arrowok="t"/>
              <v:fill type="solid"/>
            </v:shape>
            <v:shape style="position:absolute;left:4767;top:6525;width:2385;height:3409" coordorigin="4768,6526" coordsize="2385,3409" path="m5960,6526l4768,8230,5960,9935,7152,8230,5960,6526xe" filled="true" fillcolor="#eff7f5" stroked="false">
              <v:path arrowok="t"/>
              <v:fill type="solid"/>
            </v:shape>
            <v:shape style="position:absolute;left:4866;top:6667;width:2186;height:3125" coordorigin="4867,6668" coordsize="2186,3125" path="m5960,6668l4867,8230,5960,9793,7053,8230,5960,6668xe" filled="true" fillcolor="#f0f7f5" stroked="false">
              <v:path arrowok="t"/>
              <v:fill type="solid"/>
            </v:shape>
            <v:shape style="position:absolute;left:4966;top:6809;width:1988;height:2841" coordorigin="4966,6810" coordsize="1988,2841" path="m5960,6810l4966,8230,5960,9650,6954,8230,5960,6810xe" filled="true" fillcolor="#f1f8f6" stroked="false">
              <v:path arrowok="t"/>
              <v:fill type="solid"/>
            </v:shape>
            <v:shape style="position:absolute;left:5065;top:6951;width:1789;height:2557" coordorigin="5066,6952" coordsize="1789,2557" path="m5960,6952l5066,8230,5960,9508,6854,8230,5960,6952xe" filled="true" fillcolor="#f2f8f7" stroked="false">
              <v:path arrowok="t"/>
              <v:fill type="solid"/>
            </v:shape>
            <v:shape style="position:absolute;left:5165;top:7093;width:1590;height:2273" coordorigin="5165,7094" coordsize="1590,2273" path="m5960,7094l5165,8230,5960,9366,6755,8230,5960,7094xe" filled="true" fillcolor="#f3f9f8" stroked="false">
              <v:path arrowok="t"/>
              <v:fill type="solid"/>
            </v:shape>
            <v:shape style="position:absolute;left:5264;top:7235;width:1392;height:1989" coordorigin="5264,7236" coordsize="1392,1989" path="m5960,7236l5264,8230,5960,9224,6655,8230,5960,7236xe" filled="true" fillcolor="#f5f9f8" stroked="false">
              <v:path arrowok="t"/>
              <v:fill type="solid"/>
            </v:shape>
            <v:shape style="position:absolute;left:5363;top:7377;width:1193;height:1705" coordorigin="5364,7378" coordsize="1193,1705" path="m5960,7378l5364,8230,5960,9082,6556,8230,5960,7378xe" filled="true" fillcolor="#f6faf9" stroked="false">
              <v:path arrowok="t"/>
              <v:fill type="solid"/>
            </v:shape>
            <v:shape style="position:absolute;left:5463;top:7519;width:994;height:1421" coordorigin="5463,7520" coordsize="994,1421" path="m5960,7520l5463,8230,5960,8940,6457,8230,5960,7520xe" filled="true" fillcolor="#f8fbfa" stroked="false">
              <v:path arrowok="t"/>
              <v:fill type="solid"/>
            </v:shape>
            <v:shape style="position:absolute;left:5562;top:7661;width:795;height:1137" coordorigin="5562,7662" coordsize="795,1137" path="m5960,7662l5562,8230,5960,8798,6357,8230,5960,7662xe" filled="true" fillcolor="#f9fcfc" stroked="false">
              <v:path arrowok="t"/>
              <v:fill type="solid"/>
            </v:shape>
            <v:shape style="position:absolute;left:5661;top:7803;width:597;height:853" coordorigin="5662,7804" coordsize="597,853" path="m5960,7804l5662,8230,5960,8656,6258,8230,5960,7804xe" filled="true" fillcolor="#fbfdfd" stroked="false">
              <v:path arrowok="t"/>
              <v:fill type="solid"/>
            </v:shape>
            <v:shape style="position:absolute;left:5761;top:7945;width:398;height:569" coordorigin="5761,7946" coordsize="398,569" path="m5960,7946l5761,8230,5960,8514,6159,8230,5960,7946xe" filled="true" fillcolor="#fdfefe" stroked="false">
              <v:path arrowok="t"/>
              <v:fill type="solid"/>
            </v:shape>
            <v:shape style="position:absolute;left:5860;top:8088;width:199;height:285" coordorigin="5861,8088" coordsize="199,285" path="m5960,8088l5861,8230,5960,8372,6059,8230,5960,8088xe" filled="true" fillcolor="#ffffff" stroked="false">
              <v:path arrowok="t"/>
              <v:fill type="solid"/>
            </v:shape>
            <v:rect style="position:absolute;left:803;top:853;width:10314;height:14753" filled="false" stroked="true" strokeweight="1pt" strokecolor="#009483">
              <v:stroke dashstyle="solid"/>
            </v:rect>
            <v:line style="position:absolute" from="1122,14920" to="10800,14920" stroked="true" strokeweight=".125pt" strokecolor="#000000">
              <v:stroke dashstyle="solid"/>
            </v:line>
            <w10:wrap type="none"/>
          </v:group>
        </w:pict>
      </w:r>
    </w:p>
    <w:p>
      <w:pPr>
        <w:pStyle w:val="ListParagraph"/>
        <w:numPr>
          <w:ilvl w:val="0"/>
          <w:numId w:val="22"/>
        </w:numPr>
        <w:tabs>
          <w:tab w:pos="751" w:val="left" w:leader="none"/>
        </w:tabs>
        <w:spacing w:line="208" w:lineRule="auto" w:before="1" w:after="0"/>
        <w:ind w:left="750" w:right="3511" w:hanging="240"/>
        <w:jc w:val="left"/>
        <w:rPr>
          <w:sz w:val="14"/>
        </w:rPr>
      </w:pPr>
      <w:r>
        <w:rPr>
          <w:sz w:val="14"/>
        </w:rPr>
        <w:t>For a detailed discussion of the policy, see ‘The Modernisation of Britain’s Tax &amp; Benefits System—the </w:t>
      </w:r>
      <w:r>
        <w:rPr>
          <w:spacing w:val="-3"/>
          <w:sz w:val="14"/>
        </w:rPr>
        <w:t>Working </w:t>
      </w:r>
      <w:r>
        <w:rPr>
          <w:sz w:val="14"/>
        </w:rPr>
        <w:t>Families Tax Credit and Work Incentives’, </w:t>
      </w:r>
      <w:r>
        <w:rPr>
          <w:i/>
          <w:sz w:val="14"/>
        </w:rPr>
        <w:t>Treasury Budget Paper </w:t>
      </w:r>
      <w:r>
        <w:rPr>
          <w:sz w:val="14"/>
        </w:rPr>
        <w:t>No 3,</w:t>
      </w:r>
      <w:r>
        <w:rPr>
          <w:spacing w:val="-2"/>
          <w:sz w:val="14"/>
        </w:rPr>
        <w:t> </w:t>
      </w:r>
      <w:r>
        <w:rPr>
          <w:sz w:val="14"/>
        </w:rPr>
        <w:t>1998.</w:t>
      </w:r>
    </w:p>
    <w:p>
      <w:pPr>
        <w:pStyle w:val="ListParagraph"/>
        <w:numPr>
          <w:ilvl w:val="0"/>
          <w:numId w:val="22"/>
        </w:numPr>
        <w:tabs>
          <w:tab w:pos="751" w:val="left" w:leader="none"/>
        </w:tabs>
        <w:spacing w:line="144" w:lineRule="exact" w:before="0" w:after="0"/>
        <w:ind w:left="750" w:right="0" w:hanging="242"/>
        <w:jc w:val="left"/>
        <w:rPr>
          <w:sz w:val="14"/>
        </w:rPr>
      </w:pPr>
      <w:r>
        <w:rPr>
          <w:sz w:val="14"/>
        </w:rPr>
        <w:t>The Bank of England has contributed towards the cost of this study.</w:t>
      </w:r>
    </w:p>
    <w:p>
      <w:pPr>
        <w:spacing w:after="0" w:line="144" w:lineRule="exact"/>
        <w:jc w:val="left"/>
        <w:rPr>
          <w:sz w:val="14"/>
        </w:rPr>
        <w:sectPr>
          <w:type w:val="continuous"/>
          <w:pgSz w:w="11900" w:h="16840"/>
          <w:pgMar w:top="1220" w:bottom="280" w:left="640" w:right="600"/>
        </w:sectPr>
      </w:pPr>
    </w:p>
    <w:p>
      <w:pPr>
        <w:pStyle w:val="BodyText"/>
        <w:rPr>
          <w:sz w:val="20"/>
        </w:rPr>
      </w:pPr>
    </w:p>
    <w:p>
      <w:pPr>
        <w:pStyle w:val="Heading4"/>
        <w:spacing w:line="242" w:lineRule="auto" w:before="207"/>
        <w:ind w:left="4945" w:right="279"/>
        <w:jc w:val="both"/>
      </w:pPr>
      <w:bookmarkStart w:name="Summary" w:id="56"/>
      <w:bookmarkEnd w:id="56"/>
      <w:r>
        <w:rPr/>
      </w:r>
      <w:bookmarkStart w:name="_bookmark21" w:id="57"/>
      <w:bookmarkEnd w:id="57"/>
      <w:r>
        <w:rPr/>
      </w:r>
      <w:r>
        <w:rPr/>
        <w:t>MPC has now incorporated an effect from the WTD </w:t>
      </w:r>
      <w:r>
        <w:rPr>
          <w:spacing w:val="-5"/>
        </w:rPr>
        <w:t>into </w:t>
      </w:r>
      <w:r>
        <w:rPr/>
        <w:t>its central projection, rather than as a risk, but it remains small.</w:t>
      </w:r>
    </w:p>
    <w:p>
      <w:pPr>
        <w:pStyle w:val="BodyText"/>
        <w:rPr>
          <w:sz w:val="19"/>
        </w:rPr>
      </w:pPr>
    </w:p>
    <w:p>
      <w:pPr>
        <w:pStyle w:val="ListParagraph"/>
        <w:numPr>
          <w:ilvl w:val="1"/>
          <w:numId w:val="18"/>
        </w:numPr>
        <w:tabs>
          <w:tab w:pos="9043" w:val="left" w:leader="none"/>
          <w:tab w:pos="9044" w:val="left" w:leader="none"/>
          <w:tab w:pos="10444" w:val="left" w:leader="none"/>
        </w:tabs>
        <w:spacing w:line="240" w:lineRule="auto" w:before="88" w:after="0"/>
        <w:ind w:left="9043" w:right="0" w:hanging="4099"/>
        <w:jc w:val="left"/>
        <w:rPr>
          <w:b/>
          <w:sz w:val="28"/>
        </w:rPr>
      </w:pPr>
      <w:r>
        <w:rPr>
          <w:b/>
          <w:color w:val="009483"/>
          <w:sz w:val="28"/>
          <w:u w:val="thick" w:color="0093C1"/>
        </w:rPr>
        <w:t>Summary</w:t>
        <w:tab/>
      </w:r>
    </w:p>
    <w:p>
      <w:pPr>
        <w:pStyle w:val="BodyText"/>
        <w:spacing w:before="11"/>
        <w:rPr>
          <w:b/>
          <w:sz w:val="23"/>
        </w:rPr>
      </w:pPr>
    </w:p>
    <w:p>
      <w:pPr>
        <w:spacing w:line="242" w:lineRule="auto" w:before="0"/>
        <w:ind w:left="4945" w:right="0" w:firstLine="0"/>
        <w:jc w:val="left"/>
        <w:rPr>
          <w:sz w:val="24"/>
        </w:rPr>
      </w:pPr>
      <w:r>
        <w:rPr>
          <w:sz w:val="24"/>
        </w:rPr>
        <w:t>The labour market appears tight by recent historical standards. Employment growth continues to be strong, leading to falls in both unemployment and inactivity.</w:t>
      </w:r>
    </w:p>
    <w:p>
      <w:pPr>
        <w:spacing w:line="242" w:lineRule="auto" w:before="4"/>
        <w:ind w:left="4945" w:right="261" w:firstLine="0"/>
        <w:jc w:val="left"/>
        <w:rPr>
          <w:sz w:val="24"/>
        </w:rPr>
      </w:pPr>
      <w:r>
        <w:rPr>
          <w:sz w:val="24"/>
        </w:rPr>
        <w:t>The LFS unemployment rate stood at 6.2% in the three months to November, slightly lower than in the preceding three months. But recent survey evidence points to a moderation in recruitment intentions and some alleviation of skill shortages. So a turning-point in labour market conditions may have been reached.</w:t>
      </w:r>
    </w:p>
    <w:p>
      <w:pPr>
        <w:pStyle w:val="BodyText"/>
        <w:rPr>
          <w:sz w:val="25"/>
        </w:rPr>
      </w:pPr>
    </w:p>
    <w:p>
      <w:pPr>
        <w:spacing w:line="242" w:lineRule="auto" w:before="0"/>
        <w:ind w:left="4945" w:right="216" w:firstLine="0"/>
        <w:jc w:val="left"/>
        <w:rPr>
          <w:sz w:val="24"/>
        </w:rPr>
      </w:pPr>
      <w:r>
        <w:rPr>
          <w:sz w:val="24"/>
        </w:rPr>
        <w:t>The ONS has suspended publication of the Average Earnings Index, pending the outcome of an independent review commissioned by the Chancellor. Inflation expectations have fallen significantly further in recent months. This, together with the available evidence on nominal wage behaviour, notably from settlements and analysis of the components of wage drift, appears consistent with an easing of upward pressure on earnings growth over the forecast period.</w:t>
      </w:r>
    </w:p>
    <w:p>
      <w:pPr>
        <w:spacing w:after="0" w:line="242" w:lineRule="auto"/>
        <w:jc w:val="left"/>
        <w:rPr>
          <w:sz w:val="24"/>
        </w:rPr>
        <w:sectPr>
          <w:pgSz w:w="11900" w:h="16840"/>
          <w:pgMar w:header="586" w:footer="597" w:top="780" w:bottom="780" w:left="640" w:right="600"/>
        </w:sectPr>
      </w:pPr>
    </w:p>
    <w:p>
      <w:pPr>
        <w:pStyle w:val="BodyText"/>
        <w:spacing w:line="20" w:lineRule="exact"/>
        <w:ind w:left="138"/>
        <w:rPr>
          <w:sz w:val="2"/>
        </w:rPr>
      </w:pPr>
      <w:r>
        <w:rPr>
          <w:sz w:val="2"/>
        </w:rPr>
        <w:pict>
          <v:group style="width:517pt;height:.15pt;mso-position-horizontal-relative:char;mso-position-vertical-relative:line" coordorigin="0,0" coordsize="10340,3">
            <v:line style="position:absolute" from="0,1" to="10340,1" stroked="true" strokeweight=".125pt" strokecolor="#000000">
              <v:stroke dashstyle="solid"/>
            </v:line>
          </v:group>
        </w:pict>
      </w:r>
      <w:r>
        <w:rPr>
          <w:sz w:val="2"/>
        </w:rPr>
      </w:r>
    </w:p>
    <w:p>
      <w:pPr>
        <w:pStyle w:val="BodyText"/>
        <w:rPr>
          <w:sz w:val="20"/>
        </w:rPr>
      </w:pPr>
    </w:p>
    <w:p>
      <w:pPr>
        <w:pStyle w:val="BodyText"/>
        <w:spacing w:before="10"/>
        <w:rPr>
          <w:sz w:val="17"/>
        </w:rPr>
      </w:pPr>
      <w:r>
        <w:rPr/>
        <w:pict>
          <v:shape style="position:absolute;margin-left:40.090pt;margin-top:11.500977pt;width:516pt;height:48pt;mso-position-horizontal-relative:page;mso-position-vertical-relative:paragraph;z-index:-15455232;mso-wrap-distance-left:0;mso-wrap-distance-right:0" type="#_x0000_t202" filled="true" fillcolor="#b5dad6" stroked="false">
            <v:textbox inset="0,0,0,0">
              <w:txbxContent>
                <w:p>
                  <w:pPr>
                    <w:tabs>
                      <w:tab w:pos="10099" w:val="right" w:leader="none"/>
                    </w:tabs>
                    <w:spacing w:before="51"/>
                    <w:ind w:left="260" w:right="0" w:firstLine="0"/>
                    <w:jc w:val="left"/>
                    <w:rPr>
                      <w:b/>
                      <w:sz w:val="72"/>
                    </w:rPr>
                  </w:pPr>
                  <w:bookmarkStart w:name="Costs and prices" w:id="58"/>
                  <w:bookmarkEnd w:id="58"/>
                  <w:r>
                    <w:rPr/>
                  </w:r>
                  <w:bookmarkStart w:name="Raw materials and commodity prices" w:id="59"/>
                  <w:bookmarkEnd w:id="59"/>
                  <w:r>
                    <w:rPr/>
                  </w:r>
                  <w:bookmarkStart w:name="_bookmark22" w:id="60"/>
                  <w:bookmarkEnd w:id="60"/>
                  <w:r>
                    <w:rPr/>
                  </w:r>
                  <w:r>
                    <w:rPr>
                      <w:b/>
                      <w:color w:val="009483"/>
                      <w:sz w:val="48"/>
                    </w:rPr>
                    <w:t>Costs and prices</w:t>
                    <w:tab/>
                  </w:r>
                  <w:r>
                    <w:rPr>
                      <w:b/>
                      <w:color w:val="009483"/>
                      <w:sz w:val="72"/>
                    </w:rPr>
                    <w:t>4</w:t>
                  </w:r>
                </w:p>
              </w:txbxContent>
            </v:textbox>
            <v:fill type="solid"/>
            <w10:wrap type="topAndBottom"/>
          </v:shape>
        </w:pict>
      </w:r>
    </w:p>
    <w:p>
      <w:pPr>
        <w:pStyle w:val="BodyText"/>
        <w:rPr>
          <w:sz w:val="20"/>
        </w:rPr>
      </w:pPr>
    </w:p>
    <w:p>
      <w:pPr>
        <w:pStyle w:val="BodyText"/>
        <w:rPr>
          <w:sz w:val="20"/>
        </w:rPr>
      </w:pPr>
    </w:p>
    <w:p>
      <w:pPr>
        <w:spacing w:after="0"/>
        <w:rPr>
          <w:sz w:val="20"/>
        </w:rPr>
        <w:sectPr>
          <w:headerReference w:type="default" r:id="rId89"/>
          <w:footerReference w:type="default" r:id="rId90"/>
          <w:footerReference w:type="even" r:id="rId91"/>
          <w:pgSz w:w="11900" w:h="16840"/>
          <w:pgMar w:header="0" w:footer="617" w:top="780" w:bottom="800" w:left="640" w:right="600"/>
          <w:pgNumType w:start="33"/>
        </w:sectPr>
      </w:pPr>
    </w:p>
    <w:p>
      <w:pPr>
        <w:pStyle w:val="BodyText"/>
        <w:rPr>
          <w:sz w:val="22"/>
        </w:rPr>
      </w:pPr>
    </w:p>
    <w:p>
      <w:pPr>
        <w:pStyle w:val="BodyText"/>
        <w:rPr>
          <w:sz w:val="22"/>
        </w:rPr>
      </w:pPr>
    </w:p>
    <w:p>
      <w:pPr>
        <w:pStyle w:val="BodyText"/>
        <w:rPr>
          <w:sz w:val="22"/>
        </w:rPr>
      </w:pPr>
    </w:p>
    <w:p>
      <w:pPr>
        <w:pStyle w:val="Heading7"/>
        <w:spacing w:before="179"/>
        <w:ind w:left="160"/>
      </w:pPr>
      <w:r>
        <w:rPr>
          <w:color w:val="0093C1"/>
        </w:rPr>
        <w:t>Chart 4.1</w:t>
      </w:r>
    </w:p>
    <w:p>
      <w:pPr>
        <w:spacing w:before="10"/>
        <w:ind w:left="160" w:right="0" w:firstLine="0"/>
        <w:jc w:val="left"/>
        <w:rPr>
          <w:sz w:val="12"/>
        </w:rPr>
      </w:pPr>
      <w:r>
        <w:rPr>
          <w:b/>
          <w:color w:val="0093C1"/>
          <w:sz w:val="20"/>
        </w:rPr>
        <w:t>Bank’s commodity price index</w:t>
      </w:r>
      <w:r>
        <w:rPr>
          <w:position w:val="4"/>
          <w:sz w:val="12"/>
        </w:rPr>
        <w:t>(a)</w:t>
      </w:r>
    </w:p>
    <w:p>
      <w:pPr>
        <w:spacing w:before="85"/>
        <w:ind w:left="1725" w:right="0" w:firstLine="0"/>
        <w:jc w:val="left"/>
        <w:rPr>
          <w:sz w:val="12"/>
        </w:rPr>
      </w:pPr>
      <w:r>
        <w:rPr/>
        <w:pict>
          <v:group style="position:absolute;margin-left:39.521pt;margin-top:20.851563pt;width:166pt;height:142.75pt;mso-position-horizontal-relative:page;mso-position-vertical-relative:paragraph;z-index:-21014528" coordorigin="790,417" coordsize="3320,2855">
            <v:shape style="position:absolute;left:790;top:507;width:2760;height:2760" coordorigin="790,507" coordsize="2760,2760" path="m3550,3267l3550,3167m3130,3267l3130,3167m2690,3267l2690,3167m2250,3267l2250,3167m1810,3267l1810,3167m1370,3267l1370,3167m950,3267l950,3167m890,3267l790,3267m890,1767l790,1767m890,2007l790,2007m890,2267l790,2267m890,2507l790,2507m890,2767l790,2767m890,3007l790,3007m890,1507l790,1507m890,1267l790,1267m890,1007l790,1007m890,747l790,747m890,507l790,507e" filled="false" stroked="true" strokeweight=".5pt" strokecolor="#000000">
              <v:path arrowok="t"/>
              <v:stroke dashstyle="solid"/>
            </v:shape>
            <v:shape style="position:absolute;left:950;top:427;width:3000;height:2740" coordorigin="950,427" coordsize="3000,2740" path="m950,1647l990,1087,1010,1307,1050,1467,1090,1507,1130,1667,1170,1767,1210,1807,1230,1647,1270,1567,1310,1367,1350,1067,1390,1127,1410,867,1450,807,1490,1267,1530,1387,1570,1387,1590,1447,1630,1367,1670,1747,1750,2187,1790,2287,1810,2307,1850,2587,1890,2647,1930,2067,1970,1647,1990,1567,2030,1387,2070,1467,2110,1187,2150,1447,2190,927,2210,707,2250,547,2290,427,2330,487,2350,627,2390,927,2430,1287,2470,1547,2510,1267,2550,1127,2570,1107,2610,1247,2650,1027,2730,1467,2770,1167,2790,1207,2830,1407,2870,1227,2910,1027,2930,1167,2970,1067,3010,907,3050,1347,3090,1427,3130,1387,3150,1747,3190,1987,3230,2487,3270,2207,3310,2167,3330,2187,3370,2167,3410,2427,3450,2387,3490,2447,3530,2747,3550,3027,3590,2827,3630,3007,3670,2787,3710,2767,3770,2827,3810,3047,3850,3027,3890,3167,3910,2927,3950,2987e" filled="false" stroked="true" strokeweight="1pt" strokecolor="#a790c4">
              <v:path arrowok="t"/>
              <v:stroke dashstyle="solid"/>
            </v:shape>
            <v:shape style="position:absolute;left:950;top:587;width:3000;height:1960" coordorigin="950,587" coordsize="3000,1960" path="m950,1227l990,1207,1010,1307,1050,1387,1090,1447,1130,1767,1170,1527,1210,1487,1230,1447,1270,1467,1310,1467,1350,1447,1390,1447,1410,1387,1450,1307,1490,1587,1530,1627,1570,1487,1590,1567,1630,1627,1710,1827,1750,1867,1790,1827,1810,1987,1850,2047,1890,2067,1930,1707,1970,1387,1990,1387,2030,1447,2070,1327,2110,1067,2150,1167,2190,907,2210,847,2250,587,2330,627,2350,727,2390,907,2430,1147,2470,1147,2510,1027,2550,1027,2570,947,2610,1127,2650,1227,2690,1407,2730,1487,2770,1487,2790,1507,2830,1567,2870,1427,2910,1527,2930,1767,2970,1947,3010,2027,3050,2087,3130,2007,3150,2127,3190,2147,3230,2307,3270,2327,3310,2107,3330,2027,3450,2027,3490,2187,3530,2287,3550,2427,3590,2387,3630,2447,3670,2487,3710,2347,3730,2427,3770,2407,3810,2407,3850,2547,3890,2447,3910,2147,3950,2127e" filled="false" stroked="true" strokeweight="1pt" strokecolor="#522e91">
              <v:path arrowok="t"/>
              <v:stroke dashstyle="solid"/>
            </v:shape>
            <v:shape style="position:absolute;left:950;top:507;width:3160;height:2760" coordorigin="950,507" coordsize="3160,2760" path="m4110,1767l4010,1767m4110,2007l4010,2007m4110,2267l4010,2267m4110,2507l4010,2507m4110,2767l4010,2767m4110,3007l4010,3007m4110,3267l4010,3267m4110,1267l4010,1267m4110,1007l4010,1007m4110,747l4010,747m4110,507l4010,507m950,3267l3950,3267m1055,3267l1055,3227m1160,3267l1160,3227m1265,3267l1265,3227m1480,3267l1480,3227m1590,3267l1590,3227m1700,3267l1700,3227m1920,3267l1920,3227m2030,3267l2030,3227m2140,3267l2140,3227m2350,3267l2350,3227m2470,3267l2470,3227m2570,3267l2570,3227m2800,3267l2800,3227m2910,3267l2910,3227m3020,3267l3020,3227m3235,3267l3235,3227m3340,3267l3340,3227m3445,3267l3445,3227m3663,3267l3663,3227m3777,3267l3777,3227m3890,3267l3890,3227e" filled="false" stroked="true" strokeweight=".5pt" strokecolor="#000000">
              <v:path arrowok="t"/>
              <v:stroke dashstyle="solid"/>
            </v:shape>
            <w10:wrap type="none"/>
          </v:group>
        </w:pict>
      </w:r>
      <w:r>
        <w:rPr>
          <w:sz w:val="12"/>
        </w:rPr>
        <w:t>Percentage changes on a year earlier</w:t>
      </w:r>
    </w:p>
    <w:p>
      <w:pPr>
        <w:tabs>
          <w:tab w:pos="3365" w:val="left" w:leader="none"/>
        </w:tabs>
        <w:spacing w:line="20" w:lineRule="exact"/>
        <w:ind w:left="145" w:right="-72" w:firstLine="0"/>
        <w:rPr>
          <w:sz w:val="2"/>
        </w:rPr>
      </w:pPr>
      <w:r>
        <w:rPr>
          <w:sz w:val="2"/>
        </w:rPr>
        <w:pict>
          <v:group style="width:5pt;height:.5pt;mso-position-horizontal-relative:char;mso-position-vertical-relative:line" coordorigin="0,0" coordsize="100,10">
            <v:line style="position:absolute" from="100,5" to="0,5" stroked="true" strokeweight=".5pt" strokecolor="#000000">
              <v:stroke dashstyle="solid"/>
            </v:line>
          </v:group>
        </w:pict>
      </w:r>
      <w:r>
        <w:rPr>
          <w:sz w:val="2"/>
        </w:rPr>
      </w:r>
      <w:r>
        <w:rPr>
          <w:sz w:val="2"/>
        </w:rPr>
        <w:tab/>
      </w:r>
      <w:r>
        <w:rPr>
          <w:sz w:val="2"/>
        </w:rPr>
        <w:pict>
          <v:group style="width:5pt;height:.5pt;mso-position-horizontal-relative:char;mso-position-vertical-relative:line" coordorigin="0,0" coordsize="100,10">
            <v:line style="position:absolute" from="100,5" to="0,5" stroked="true" strokeweight=".5pt" strokecolor="#000000">
              <v:stroke dashstyle="solid"/>
            </v:line>
          </v:group>
        </w:pict>
      </w:r>
      <w:r>
        <w:rPr>
          <w:sz w:val="2"/>
        </w:rPr>
      </w:r>
    </w:p>
    <w:p>
      <w:pPr>
        <w:pStyle w:val="BodyText"/>
        <w:rPr>
          <w:sz w:val="12"/>
        </w:rPr>
      </w:pPr>
    </w:p>
    <w:p>
      <w:pPr>
        <w:pStyle w:val="BodyText"/>
        <w:rPr>
          <w:sz w:val="12"/>
        </w:rPr>
      </w:pPr>
    </w:p>
    <w:p>
      <w:pPr>
        <w:pStyle w:val="BodyText"/>
        <w:rPr>
          <w:sz w:val="12"/>
        </w:rPr>
      </w:pPr>
    </w:p>
    <w:p>
      <w:pPr>
        <w:spacing w:before="88"/>
        <w:ind w:left="2180" w:right="0" w:firstLine="0"/>
        <w:jc w:val="left"/>
        <w:rPr>
          <w:sz w:val="12"/>
        </w:rPr>
      </w:pPr>
      <w:r>
        <w:rPr>
          <w:sz w:val="12"/>
        </w:rPr>
        <w:t>Oil-inclusive</w:t>
      </w:r>
    </w:p>
    <w:p>
      <w:pPr>
        <w:pStyle w:val="BodyText"/>
        <w:rPr>
          <w:sz w:val="12"/>
        </w:rPr>
      </w:pPr>
      <w:r>
        <w:rPr/>
        <w:br w:type="column"/>
      </w:r>
      <w:r>
        <w:rPr>
          <w:sz w:val="12"/>
        </w:rPr>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spacing w:before="78"/>
        <w:ind w:left="1" w:right="0" w:firstLine="0"/>
        <w:jc w:val="left"/>
        <w:rPr>
          <w:sz w:val="12"/>
        </w:rPr>
      </w:pPr>
      <w:r>
        <w:rPr>
          <w:sz w:val="12"/>
        </w:rPr>
        <w:t>12.5</w:t>
      </w:r>
    </w:p>
    <w:p>
      <w:pPr>
        <w:pStyle w:val="BodyText"/>
        <w:spacing w:before="7"/>
        <w:rPr>
          <w:sz w:val="10"/>
        </w:rPr>
      </w:pPr>
    </w:p>
    <w:p>
      <w:pPr>
        <w:spacing w:before="0"/>
        <w:ind w:left="1" w:right="0" w:firstLine="0"/>
        <w:jc w:val="left"/>
        <w:rPr>
          <w:sz w:val="12"/>
        </w:rPr>
      </w:pPr>
      <w:r>
        <w:rPr>
          <w:sz w:val="12"/>
        </w:rPr>
        <w:t>10.0</w:t>
      </w:r>
    </w:p>
    <w:p>
      <w:pPr>
        <w:spacing w:before="102"/>
        <w:ind w:left="61" w:right="0" w:firstLine="0"/>
        <w:jc w:val="left"/>
        <w:rPr>
          <w:sz w:val="12"/>
        </w:rPr>
      </w:pPr>
      <w:r>
        <w:rPr>
          <w:sz w:val="12"/>
        </w:rPr>
        <w:t>7.5</w:t>
      </w:r>
    </w:p>
    <w:p>
      <w:pPr>
        <w:pStyle w:val="BodyText"/>
        <w:spacing w:before="7"/>
        <w:rPr>
          <w:sz w:val="10"/>
        </w:rPr>
      </w:pPr>
    </w:p>
    <w:p>
      <w:pPr>
        <w:spacing w:before="0"/>
        <w:ind w:left="61" w:right="0" w:firstLine="0"/>
        <w:jc w:val="left"/>
        <w:rPr>
          <w:sz w:val="12"/>
        </w:rPr>
      </w:pPr>
      <w:r>
        <w:rPr>
          <w:sz w:val="12"/>
        </w:rPr>
        <w:t>5.0</w:t>
      </w:r>
    </w:p>
    <w:p>
      <w:pPr>
        <w:spacing w:line="86" w:lineRule="exact" w:before="102"/>
        <w:ind w:left="61" w:right="0" w:firstLine="0"/>
        <w:jc w:val="left"/>
        <w:rPr>
          <w:sz w:val="12"/>
        </w:rPr>
      </w:pPr>
      <w:r>
        <w:rPr>
          <w:sz w:val="12"/>
        </w:rPr>
        <w:t>2.5</w:t>
      </w:r>
    </w:p>
    <w:p>
      <w:pPr>
        <w:pStyle w:val="Heading4"/>
        <w:spacing w:line="242" w:lineRule="auto" w:before="208"/>
        <w:ind w:left="160" w:right="195"/>
      </w:pPr>
      <w:r>
        <w:rPr/>
        <w:br w:type="column"/>
      </w:r>
      <w:r>
        <w:rPr/>
        <w:t>RPIX inflation was close to target throughout the second half of 1998. World prices of commodities, which have fallen further since the November </w:t>
      </w:r>
      <w:r>
        <w:rPr>
          <w:i/>
          <w:color w:val="231F20"/>
        </w:rPr>
        <w:t>Report</w:t>
      </w:r>
      <w:r>
        <w:rPr>
          <w:color w:val="231F20"/>
        </w:rPr>
        <w:t>, have resulted in falling producer prices in the major economies. UK import prices have continued to decline, and in December, manufacturing output prices were flat or lower than a year earlier. Output price inflation in the service sector has been higher than in manufacturing, but evidence from the C</w:t>
      </w:r>
      <w:r>
        <w:rPr>
          <w:color w:val="231F20"/>
          <w:sz w:val="20"/>
        </w:rPr>
        <w:t>IPS </w:t>
      </w:r>
      <w:r>
        <w:rPr>
          <w:color w:val="231F20"/>
        </w:rPr>
        <w:t>survey suggests that cost</w:t>
      </w:r>
    </w:p>
    <w:p>
      <w:pPr>
        <w:spacing w:after="0" w:line="242" w:lineRule="auto"/>
        <w:sectPr>
          <w:type w:val="continuous"/>
          <w:pgSz w:w="11900" w:h="16840"/>
          <w:pgMar w:top="1220" w:bottom="280" w:left="640" w:right="600"/>
          <w:cols w:num="3" w:equalWidth="0">
            <w:col w:w="3475" w:space="40"/>
            <w:col w:w="252" w:space="1033"/>
            <w:col w:w="5860"/>
          </w:cols>
        </w:sectPr>
      </w:pPr>
    </w:p>
    <w:p>
      <w:pPr>
        <w:tabs>
          <w:tab w:pos="3309" w:val="left" w:leader="none"/>
        </w:tabs>
        <w:spacing w:line="141" w:lineRule="exact" w:before="0"/>
        <w:ind w:left="310" w:right="0" w:firstLine="0"/>
        <w:jc w:val="left"/>
        <w:rPr>
          <w:sz w:val="16"/>
        </w:rPr>
      </w:pPr>
      <w:r>
        <w:rPr>
          <w:sz w:val="16"/>
          <w:u w:val="single"/>
        </w:rPr>
        <w:t> </w:t>
        <w:tab/>
      </w:r>
      <w:r>
        <w:rPr>
          <w:sz w:val="16"/>
        </w:rPr>
        <w:t> </w:t>
      </w:r>
      <w:r>
        <w:rPr>
          <w:spacing w:val="-20"/>
          <w:sz w:val="16"/>
        </w:rPr>
        <w:t> </w:t>
      </w:r>
      <w:r>
        <w:rPr>
          <w:sz w:val="16"/>
          <w:u w:val="single"/>
        </w:rPr>
        <w:t> </w:t>
      </w:r>
      <w:r>
        <w:rPr>
          <w:spacing w:val="20"/>
          <w:sz w:val="16"/>
          <w:u w:val="single"/>
        </w:rPr>
        <w:t> </w:t>
      </w:r>
      <w:r>
        <w:rPr>
          <w:sz w:val="16"/>
        </w:rPr>
        <w:t>+</w:t>
      </w:r>
    </w:p>
    <w:p>
      <w:pPr>
        <w:spacing w:line="105" w:lineRule="auto" w:before="37"/>
        <w:ind w:left="0" w:right="38" w:firstLine="0"/>
        <w:jc w:val="right"/>
        <w:rPr>
          <w:sz w:val="12"/>
        </w:rPr>
      </w:pPr>
      <w:r>
        <w:rPr>
          <w:position w:val="-7"/>
          <w:sz w:val="16"/>
        </w:rPr>
        <w:t>_ </w:t>
      </w:r>
      <w:r>
        <w:rPr>
          <w:sz w:val="12"/>
        </w:rPr>
        <w:t>0.0</w:t>
      </w:r>
    </w:p>
    <w:p>
      <w:pPr>
        <w:pStyle w:val="Heading4"/>
        <w:spacing w:before="12"/>
        <w:ind w:left="310"/>
      </w:pPr>
      <w:r>
        <w:rPr/>
        <w:br w:type="column"/>
      </w:r>
      <w:r>
        <w:rPr>
          <w:color w:val="231F20"/>
        </w:rPr>
        <w:t>pressures may be easing there. The limited information</w:t>
      </w:r>
    </w:p>
    <w:p>
      <w:pPr>
        <w:spacing w:after="0"/>
        <w:sectPr>
          <w:type w:val="continuous"/>
          <w:pgSz w:w="11900" w:h="16840"/>
          <w:pgMar w:top="1220" w:bottom="280" w:left="640" w:right="600"/>
          <w:cols w:num="2" w:equalWidth="0">
            <w:col w:w="3767" w:space="883"/>
            <w:col w:w="6010"/>
          </w:cols>
        </w:sectPr>
      </w:pPr>
    </w:p>
    <w:p>
      <w:pPr>
        <w:spacing w:before="74"/>
        <w:ind w:left="1880" w:right="0" w:firstLine="0"/>
        <w:jc w:val="left"/>
        <w:rPr>
          <w:sz w:val="12"/>
        </w:rPr>
      </w:pPr>
      <w:r>
        <w:rPr>
          <w:sz w:val="12"/>
        </w:rPr>
        <w:t>Non-oil</w:t>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tabs>
          <w:tab w:pos="873" w:val="left" w:leader="none"/>
          <w:tab w:pos="1326" w:val="left" w:leader="none"/>
          <w:tab w:pos="1753" w:val="left" w:leader="none"/>
          <w:tab w:pos="2193" w:val="left" w:leader="none"/>
          <w:tab w:pos="2633" w:val="left" w:leader="none"/>
          <w:tab w:pos="3046" w:val="left" w:leader="none"/>
        </w:tabs>
        <w:spacing w:before="82"/>
        <w:ind w:left="360" w:right="0" w:firstLine="0"/>
        <w:jc w:val="left"/>
        <w:rPr>
          <w:sz w:val="12"/>
        </w:rPr>
      </w:pPr>
      <w:r>
        <w:rPr>
          <w:sz w:val="12"/>
        </w:rPr>
        <w:t>1992</w:t>
        <w:tab/>
        <w:t>93</w:t>
        <w:tab/>
        <w:t>94</w:t>
        <w:tab/>
        <w:t>95</w:t>
        <w:tab/>
        <w:t>96</w:t>
        <w:tab/>
        <w:t>97</w:t>
        <w:tab/>
      </w:r>
      <w:r>
        <w:rPr>
          <w:spacing w:val="-10"/>
          <w:sz w:val="12"/>
        </w:rPr>
        <w:t>98</w:t>
      </w:r>
    </w:p>
    <w:p>
      <w:pPr>
        <w:spacing w:before="77"/>
        <w:ind w:left="369" w:right="0" w:firstLine="0"/>
        <w:jc w:val="left"/>
        <w:rPr>
          <w:sz w:val="12"/>
        </w:rPr>
      </w:pPr>
      <w:r>
        <w:rPr/>
        <w:br w:type="column"/>
      </w:r>
      <w:r>
        <w:rPr>
          <w:sz w:val="12"/>
        </w:rPr>
        <w:t>2.5</w:t>
      </w:r>
    </w:p>
    <w:p>
      <w:pPr>
        <w:pStyle w:val="BodyText"/>
        <w:spacing w:before="7"/>
        <w:rPr>
          <w:sz w:val="10"/>
        </w:rPr>
      </w:pPr>
    </w:p>
    <w:p>
      <w:pPr>
        <w:spacing w:before="0"/>
        <w:ind w:left="369" w:right="0" w:firstLine="0"/>
        <w:jc w:val="left"/>
        <w:rPr>
          <w:sz w:val="12"/>
        </w:rPr>
      </w:pPr>
      <w:r>
        <w:rPr>
          <w:sz w:val="12"/>
        </w:rPr>
        <w:t>5.0</w:t>
      </w:r>
    </w:p>
    <w:p>
      <w:pPr>
        <w:spacing w:before="102"/>
        <w:ind w:left="369" w:right="0" w:firstLine="0"/>
        <w:jc w:val="left"/>
        <w:rPr>
          <w:sz w:val="12"/>
        </w:rPr>
      </w:pPr>
      <w:r>
        <w:rPr>
          <w:sz w:val="12"/>
        </w:rPr>
        <w:t>7.5</w:t>
      </w:r>
    </w:p>
    <w:p>
      <w:pPr>
        <w:pStyle w:val="BodyText"/>
        <w:spacing w:before="7"/>
        <w:rPr>
          <w:sz w:val="10"/>
        </w:rPr>
      </w:pPr>
    </w:p>
    <w:p>
      <w:pPr>
        <w:spacing w:before="0"/>
        <w:ind w:left="309" w:right="0" w:firstLine="0"/>
        <w:jc w:val="left"/>
        <w:rPr>
          <w:sz w:val="12"/>
        </w:rPr>
      </w:pPr>
      <w:r>
        <w:rPr>
          <w:sz w:val="12"/>
        </w:rPr>
        <w:t>10.0</w:t>
      </w:r>
    </w:p>
    <w:p>
      <w:pPr>
        <w:spacing w:before="103"/>
        <w:ind w:left="309" w:right="0" w:firstLine="0"/>
        <w:jc w:val="left"/>
        <w:rPr>
          <w:sz w:val="12"/>
        </w:rPr>
      </w:pPr>
      <w:r>
        <w:rPr>
          <w:sz w:val="12"/>
        </w:rPr>
        <w:t>12.5</w:t>
      </w:r>
    </w:p>
    <w:p>
      <w:pPr>
        <w:pStyle w:val="BodyText"/>
        <w:spacing w:before="6"/>
        <w:rPr>
          <w:sz w:val="10"/>
        </w:rPr>
      </w:pPr>
    </w:p>
    <w:p>
      <w:pPr>
        <w:spacing w:before="1"/>
        <w:ind w:left="309" w:right="0" w:firstLine="0"/>
        <w:jc w:val="left"/>
        <w:rPr>
          <w:sz w:val="12"/>
        </w:rPr>
      </w:pPr>
      <w:r>
        <w:rPr>
          <w:sz w:val="12"/>
        </w:rPr>
        <w:t>15.0</w:t>
      </w:r>
    </w:p>
    <w:p>
      <w:pPr>
        <w:spacing w:before="102"/>
        <w:ind w:left="309" w:right="0" w:firstLine="0"/>
        <w:jc w:val="left"/>
        <w:rPr>
          <w:sz w:val="12"/>
        </w:rPr>
      </w:pPr>
      <w:r>
        <w:rPr>
          <w:sz w:val="12"/>
        </w:rPr>
        <w:t>17.5</w:t>
      </w:r>
    </w:p>
    <w:p>
      <w:pPr>
        <w:pStyle w:val="Heading4"/>
        <w:spacing w:line="242" w:lineRule="auto"/>
        <w:ind w:left="360" w:right="240"/>
      </w:pPr>
      <w:r>
        <w:rPr/>
        <w:br w:type="column"/>
      </w:r>
      <w:r>
        <w:rPr>
          <w:color w:val="231F20"/>
        </w:rPr>
        <w:t>available, from the National Accounts and surveys, points to a moderation in nominal unit labour cost growth since the middle of 1998.</w:t>
      </w:r>
    </w:p>
    <w:p>
      <w:pPr>
        <w:pStyle w:val="BodyText"/>
        <w:rPr>
          <w:sz w:val="24"/>
        </w:rPr>
      </w:pPr>
    </w:p>
    <w:p>
      <w:pPr>
        <w:pStyle w:val="ListParagraph"/>
        <w:numPr>
          <w:ilvl w:val="1"/>
          <w:numId w:val="23"/>
        </w:numPr>
        <w:tabs>
          <w:tab w:pos="1192" w:val="left" w:leader="none"/>
          <w:tab w:pos="1193" w:val="left" w:leader="none"/>
          <w:tab w:pos="5879" w:val="left" w:leader="none"/>
        </w:tabs>
        <w:spacing w:line="240" w:lineRule="auto" w:before="0" w:after="0"/>
        <w:ind w:left="1192" w:right="0" w:hanging="833"/>
        <w:jc w:val="left"/>
        <w:rPr>
          <w:b/>
          <w:sz w:val="28"/>
        </w:rPr>
      </w:pPr>
      <w:r>
        <w:rPr>
          <w:b/>
          <w:color w:val="009483"/>
          <w:sz w:val="28"/>
          <w:u w:val="thick" w:color="0093C1"/>
        </w:rPr>
        <w:t>Raw materials and commodity prices</w:t>
        <w:tab/>
      </w:r>
    </w:p>
    <w:p>
      <w:pPr>
        <w:spacing w:line="205" w:lineRule="exact" w:before="264"/>
        <w:ind w:left="360" w:right="0" w:firstLine="0"/>
        <w:jc w:val="left"/>
        <w:rPr>
          <w:sz w:val="24"/>
        </w:rPr>
      </w:pPr>
      <w:r>
        <w:rPr>
          <w:sz w:val="24"/>
        </w:rPr>
        <w:t>World prices of raw materials and commodities have</w:t>
      </w:r>
    </w:p>
    <w:p>
      <w:pPr>
        <w:spacing w:after="0" w:line="205" w:lineRule="exact"/>
        <w:jc w:val="left"/>
        <w:rPr>
          <w:sz w:val="24"/>
        </w:rPr>
        <w:sectPr>
          <w:type w:val="continuous"/>
          <w:pgSz w:w="11900" w:h="16840"/>
          <w:pgMar w:top="1220" w:bottom="280" w:left="640" w:right="600"/>
          <w:cols w:num="3" w:equalWidth="0">
            <w:col w:w="3167" w:space="40"/>
            <w:col w:w="560" w:space="833"/>
            <w:col w:w="6060"/>
          </w:cols>
        </w:sectPr>
      </w:pPr>
    </w:p>
    <w:p>
      <w:pPr>
        <w:spacing w:line="208" w:lineRule="auto" w:before="10"/>
        <w:ind w:left="390" w:right="0" w:hanging="240"/>
        <w:jc w:val="left"/>
        <w:rPr>
          <w:sz w:val="12"/>
        </w:rPr>
      </w:pPr>
      <w:r>
        <w:rPr>
          <w:sz w:val="12"/>
        </w:rPr>
        <w:t>(a) Monthly average of prices of primary commodities weighted by their importance in UK demand.</w:t>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9"/>
        <w:rPr>
          <w:sz w:val="13"/>
        </w:rPr>
      </w:pPr>
    </w:p>
    <w:p>
      <w:pPr>
        <w:pStyle w:val="Heading7"/>
        <w:spacing w:before="0"/>
        <w:ind w:left="170"/>
      </w:pPr>
      <w:r>
        <w:rPr>
          <w:color w:val="0093C1"/>
        </w:rPr>
        <w:t>Chart 4.2</w:t>
      </w:r>
    </w:p>
    <w:p>
      <w:pPr>
        <w:spacing w:line="249" w:lineRule="auto" w:before="10"/>
        <w:ind w:left="170" w:right="261" w:firstLine="0"/>
        <w:jc w:val="left"/>
        <w:rPr>
          <w:sz w:val="12"/>
        </w:rPr>
      </w:pPr>
      <w:r>
        <w:rPr>
          <w:b/>
          <w:color w:val="0093C1"/>
          <w:sz w:val="20"/>
        </w:rPr>
        <w:t>Forward curves of Brent crude </w:t>
      </w:r>
      <w:r>
        <w:rPr>
          <w:b/>
          <w:color w:val="0093C1"/>
          <w:spacing w:val="-3"/>
          <w:sz w:val="20"/>
        </w:rPr>
        <w:t>dollar </w:t>
      </w:r>
      <w:r>
        <w:rPr>
          <w:b/>
          <w:color w:val="0093C1"/>
          <w:sz w:val="20"/>
        </w:rPr>
        <w:t>oil</w:t>
      </w:r>
      <w:r>
        <w:rPr>
          <w:b/>
          <w:color w:val="0093C1"/>
          <w:spacing w:val="-1"/>
          <w:sz w:val="20"/>
        </w:rPr>
        <w:t> </w:t>
      </w:r>
      <w:r>
        <w:rPr>
          <w:b/>
          <w:color w:val="0093C1"/>
          <w:sz w:val="20"/>
        </w:rPr>
        <w:t>prices</w:t>
      </w:r>
      <w:r>
        <w:rPr>
          <w:position w:val="4"/>
          <w:sz w:val="12"/>
        </w:rPr>
        <w:t>(a)</w:t>
      </w:r>
    </w:p>
    <w:p>
      <w:pPr>
        <w:spacing w:before="66"/>
        <w:ind w:left="2951" w:right="0" w:firstLine="0"/>
        <w:jc w:val="left"/>
        <w:rPr>
          <w:sz w:val="12"/>
        </w:rPr>
      </w:pPr>
      <w:r>
        <w:rPr/>
        <w:pict>
          <v:line style="position:absolute;mso-position-horizontal-relative:page;mso-position-vertical-relative:paragraph;z-index:16006144" from="45pt,11.401166pt" to="40pt,11.401166pt" stroked="true" strokeweight=".5pt" strokecolor="#000000">
            <v:stroke dashstyle="solid"/>
            <w10:wrap type="none"/>
          </v:line>
        </w:pict>
      </w:r>
      <w:r>
        <w:rPr>
          <w:sz w:val="12"/>
        </w:rPr>
        <w:t>$ per bar</w:t>
      </w:r>
      <w:r>
        <w:rPr>
          <w:sz w:val="12"/>
          <w:u w:val="single"/>
        </w:rPr>
        <w:t>re</w:t>
      </w:r>
      <w:r>
        <w:rPr>
          <w:sz w:val="12"/>
        </w:rPr>
        <w:t>l </w:t>
      </w:r>
      <w:r>
        <w:rPr>
          <w:position w:val="-7"/>
          <w:sz w:val="12"/>
        </w:rPr>
        <w:t>22.5</w:t>
      </w:r>
    </w:p>
    <w:p>
      <w:pPr>
        <w:pStyle w:val="Heading4"/>
        <w:spacing w:line="242" w:lineRule="auto" w:before="75"/>
        <w:ind w:left="150" w:right="208"/>
      </w:pPr>
      <w:r>
        <w:rPr/>
        <w:br w:type="column"/>
      </w:r>
      <w:r>
        <w:rPr/>
        <w:t>fallen sharply over the past three years. The </w:t>
      </w:r>
      <w:r>
        <w:rPr>
          <w:i/>
        </w:rPr>
        <w:t>Economist </w:t>
      </w:r>
      <w:r>
        <w:rPr/>
        <w:t>dollar index of world non-oil commodity prices has fallen by more than 20%, and the dollar oil price has fallen by almost 40%. The Bank’s commodity price indices, which are weighted by UK demand, have also declined sharply over the past three years—excluding oil prices, they have fallen by 18%, and including oil, by 24% (see Chart 4.1).</w:t>
      </w:r>
    </w:p>
    <w:p>
      <w:pPr>
        <w:pStyle w:val="BodyText"/>
        <w:spacing w:before="3"/>
        <w:rPr>
          <w:sz w:val="25"/>
        </w:rPr>
      </w:pPr>
    </w:p>
    <w:p>
      <w:pPr>
        <w:spacing w:line="242" w:lineRule="auto" w:before="0"/>
        <w:ind w:left="150" w:right="188" w:firstLine="0"/>
        <w:jc w:val="left"/>
        <w:rPr>
          <w:sz w:val="24"/>
        </w:rPr>
      </w:pPr>
      <w:r>
        <w:rPr>
          <w:sz w:val="24"/>
        </w:rPr>
        <w:t>Brent crude oil prices fell from a peak of $24 per barrel in January 1997 to a trough of just below $10 in December 1998, and remained low at $10–12 throughout January (oil prices were lower only in July 1986 and prior to that 1973). The decline reflects the contraction</w:t>
      </w:r>
    </w:p>
    <w:p>
      <w:pPr>
        <w:spacing w:after="0" w:line="242" w:lineRule="auto"/>
        <w:jc w:val="left"/>
        <w:rPr>
          <w:sz w:val="24"/>
        </w:rPr>
        <w:sectPr>
          <w:type w:val="continuous"/>
          <w:pgSz w:w="11900" w:h="16840"/>
          <w:pgMar w:top="1220" w:bottom="280" w:left="640" w:right="600"/>
          <w:cols w:num="2" w:equalWidth="0">
            <w:col w:w="3821" w:space="989"/>
            <w:col w:w="5850"/>
          </w:cols>
        </w:sectPr>
      </w:pPr>
    </w:p>
    <w:p>
      <w:pPr>
        <w:spacing w:before="46"/>
        <w:ind w:left="903" w:right="0" w:firstLine="0"/>
        <w:jc w:val="left"/>
        <w:rPr>
          <w:sz w:val="12"/>
        </w:rPr>
      </w:pPr>
      <w:r>
        <w:rPr/>
        <w:pict>
          <v:group style="position:absolute;margin-left:40pt;margin-top:6.234769pt;width:168.2pt;height:130.75pt;mso-position-horizontal-relative:page;mso-position-vertical-relative:paragraph;z-index:-21012480" coordorigin="800,125" coordsize="3364,2615">
            <v:shape style="position:absolute;left:800;top:174;width:100;height:2400" coordorigin="800,175" coordsize="100,2400" path="m900,2575l800,2575m900,1975l800,1975m900,1375l800,1375m900,775l800,775m900,175l800,175e" filled="false" stroked="true" strokeweight=".5pt" strokecolor="#000000">
              <v:path arrowok="t"/>
              <v:stroke dashstyle="solid"/>
            </v:shape>
            <v:shape style="position:absolute;left:960;top:134;width:2160;height:2400" coordorigin="960,135" coordsize="2160,2400" path="m960,135l1100,335,1400,1235,1680,1675,1960,1515,2120,1755,2260,1875,2400,2015,2540,1715,2680,1815,2820,2155,2980,2535,3120,2335e" filled="false" stroked="true" strokeweight="1pt" strokecolor="#0066a5">
              <v:path arrowok="t"/>
              <v:stroke dashstyle="solid"/>
            </v:shape>
            <v:shape style="position:absolute;left:960;top:134;width:860;height:120" coordorigin="960,135" coordsize="860,120" path="m960,135l1240,135,1400,155,1540,195,1680,215,1820,255e" filled="false" stroked="true" strokeweight="1pt" strokecolor="#ed1b2d">
              <v:path arrowok="t"/>
              <v:stroke dashstyle="solid"/>
            </v:shape>
            <v:shape style="position:absolute;left:1400;top:1034;width:860;height:200" coordorigin="1400,1035" coordsize="860,200" path="m1400,1235l1540,1215,1680,1215,1820,1155,2100,1075,2260,1035e" filled="false" stroked="true" strokeweight="1pt" strokecolor="#40ad49">
              <v:path arrowok="t"/>
              <v:stroke dashstyle="solid"/>
            </v:shape>
            <v:shape style="position:absolute;left:1820;top:1274;width:860;height:320" coordorigin="1820,1275" coordsize="860,320" path="m1820,1595l2100,1515,2260,1435,2540,1315,2680,1275e" filled="false" stroked="true" strokeweight="1pt" strokecolor="#df6f1d">
              <v:path arrowok="t"/>
              <v:stroke dashstyle="solid"/>
            </v:shape>
            <v:shape style="position:absolute;left:2260;top:1534;width:860;height:340" coordorigin="2260,1535" coordsize="860,340" path="m2260,1875l2540,1795,2820,1635,2960,1575,3120,1535e" filled="false" stroked="true" strokeweight="1pt" strokecolor="#952e40">
              <v:path arrowok="t"/>
              <v:stroke dashstyle="solid"/>
            </v:shape>
            <v:shape style="position:absolute;left:2680;top:1614;width:860;height:200" coordorigin="2680,1615" coordsize="860,200" path="m2680,1815l2960,1775,3120,1735,3540,1615e" filled="false" stroked="true" strokeweight="1pt" strokecolor="#a790c4">
              <v:path arrowok="t"/>
              <v:stroke dashstyle="solid"/>
            </v:shape>
            <v:shape style="position:absolute;left:3120;top:2174;width:860;height:160" coordorigin="3120,2175" coordsize="860,160" path="m3120,2335l3260,2315,3400,2315,3680,2235,3840,2195,3980,2175e" filled="false" stroked="true" strokeweight="1pt" strokecolor="#9bd3ae">
              <v:path arrowok="t"/>
              <v:stroke dashstyle="solid"/>
            </v:shape>
            <v:shape style="position:absolute;left:800;top:174;width:3340;height:2560" coordorigin="800,175" coordsize="3340,2560" path="m960,2735l3980,2735m960,2735l960,2695m1100,2735l1100,2695m1240,2735l1240,2695m1380,2735l1380,2695m1540,2735l1540,2695m1680,2735l1680,2695m1820,2735l1820,2695m1960,2735l1960,2695m2100,2735l2100,2695m2260,2735l2260,2695m2400,2735l2400,2695m2540,2735l2540,2695m2680,2735l2680,2695m2820,2735l2820,2695m2960,2735l2960,2695m3120,2735l3120,2695m3260,2735l3260,2695m3400,2735l3400,2695m3540,2735l3540,2695m3680,2735l3680,2695m3820,2735l3820,2695m3980,2735l3980,2695m1380,2735l1380,2635m3120,2735l3120,2635m1022,2735l800,2735m4140,2735l3880,2735m4140,2575l4040,2575m4140,1975l4040,1975m4140,1375l4040,1375m4140,775l4040,775m4140,175l4040,175e" filled="false" stroked="true" strokeweight=".5pt" strokecolor="#000000">
              <v:path arrowok="t"/>
              <v:stroke dashstyle="solid"/>
            </v:shape>
            <v:line style="position:absolute" from="1490,1525" to="1350,2038" stroked="true" strokeweight=".5pt" strokecolor="#000000">
              <v:stroke dashstyle="solid"/>
            </v:line>
            <v:shape style="position:absolute;left:1461;top:1459;width:49;height:89" coordorigin="1461,1459" coordsize="49,89" path="m1508,1459l1461,1534,1510,1548,1508,1531,1507,1518,1506,1505,1506,1491,1506,1479,1507,1468,1508,1459xe" filled="true" fillcolor="#000000" stroked="false">
              <v:path arrowok="t"/>
              <v:fill type="solid"/>
            </v:shape>
            <v:shape style="position:absolute;left:878;top:2573;width:3281;height:161" coordorigin="879,2574" coordsize="3281,161" path="m4139,2575l4139,2618,4119,2634,4159,2648,4119,2668,4159,2684,4135,2694,4135,2735m899,2574l899,2617,879,2633,919,2647,879,2667,919,2683,895,2693,895,2734e" filled="false" stroked="true" strokeweight=".5pt" strokecolor="#000000">
              <v:path arrowok="t"/>
              <v:stroke dashstyle="solid"/>
            </v:shape>
            <v:shape style="position:absolute;left:2023;top:891;width:1874;height:727" type="#_x0000_t202" filled="false" stroked="false">
              <v:textbox inset="0,0,0,0">
                <w:txbxContent>
                  <w:p>
                    <w:pPr>
                      <w:spacing w:line="133" w:lineRule="exact" w:before="0"/>
                      <w:ind w:left="0" w:right="0" w:firstLine="0"/>
                      <w:jc w:val="left"/>
                      <w:rPr>
                        <w:sz w:val="12"/>
                      </w:rPr>
                    </w:pPr>
                    <w:r>
                      <w:rPr>
                        <w:sz w:val="12"/>
                      </w:rPr>
                      <w:t>Jan. 1998</w:t>
                    </w:r>
                  </w:p>
                  <w:p>
                    <w:pPr>
                      <w:spacing w:line="240" w:lineRule="auto" w:before="5"/>
                      <w:rPr>
                        <w:sz w:val="9"/>
                      </w:rPr>
                    </w:pPr>
                  </w:p>
                  <w:p>
                    <w:pPr>
                      <w:spacing w:before="0"/>
                      <w:ind w:left="386" w:right="0" w:firstLine="0"/>
                      <w:jc w:val="left"/>
                      <w:rPr>
                        <w:sz w:val="12"/>
                      </w:rPr>
                    </w:pPr>
                    <w:r>
                      <w:rPr>
                        <w:sz w:val="12"/>
                      </w:rPr>
                      <w:t>April 1998</w:t>
                    </w:r>
                  </w:p>
                  <w:p>
                    <w:pPr>
                      <w:spacing w:line="240" w:lineRule="auto" w:before="7"/>
                      <w:rPr>
                        <w:sz w:val="10"/>
                      </w:rPr>
                    </w:pPr>
                  </w:p>
                  <w:p>
                    <w:pPr>
                      <w:spacing w:line="232" w:lineRule="auto" w:before="1"/>
                      <w:ind w:left="780" w:right="0" w:firstLine="0"/>
                      <w:jc w:val="left"/>
                      <w:rPr>
                        <w:sz w:val="12"/>
                      </w:rPr>
                    </w:pPr>
                    <w:r>
                      <w:rPr>
                        <w:sz w:val="12"/>
                      </w:rPr>
                      <w:t>July 1998 </w:t>
                    </w:r>
                    <w:r>
                      <w:rPr>
                        <w:position w:val="-8"/>
                        <w:sz w:val="12"/>
                      </w:rPr>
                      <w:t>Oct. 1998</w:t>
                    </w:r>
                  </w:p>
                </w:txbxContent>
              </v:textbox>
              <w10:wrap type="none"/>
            </v:shape>
            <v:shape style="position:absolute;left:990;top:2051;width:1023;height:253" type="#_x0000_t202" filled="false" stroked="false">
              <v:textbox inset="0,0,0,0">
                <w:txbxContent>
                  <w:p>
                    <w:pPr>
                      <w:spacing w:line="208" w:lineRule="auto" w:before="9"/>
                      <w:ind w:left="60" w:right="18" w:hanging="60"/>
                      <w:jc w:val="left"/>
                      <w:rPr>
                        <w:sz w:val="12"/>
                      </w:rPr>
                    </w:pPr>
                    <w:r>
                      <w:rPr>
                        <w:sz w:val="12"/>
                      </w:rPr>
                      <w:t>One-month future (at date of</w:t>
                    </w:r>
                    <w:r>
                      <w:rPr>
                        <w:spacing w:val="-15"/>
                        <w:sz w:val="12"/>
                      </w:rPr>
                      <w:t> </w:t>
                    </w:r>
                    <w:r>
                      <w:rPr>
                        <w:sz w:val="12"/>
                      </w:rPr>
                      <w:t>contract)</w:t>
                    </w:r>
                  </w:p>
                </w:txbxContent>
              </v:textbox>
              <w10:wrap type="none"/>
            </v:shape>
            <v:shape style="position:absolute;left:3430;top:2051;width:480;height:133" type="#_x0000_t202" filled="false" stroked="false">
              <v:textbox inset="0,0,0,0">
                <w:txbxContent>
                  <w:p>
                    <w:pPr>
                      <w:spacing w:line="133" w:lineRule="exact" w:before="0"/>
                      <w:ind w:left="0" w:right="0" w:firstLine="0"/>
                      <w:jc w:val="left"/>
                      <w:rPr>
                        <w:sz w:val="12"/>
                      </w:rPr>
                    </w:pPr>
                    <w:r>
                      <w:rPr>
                        <w:sz w:val="12"/>
                      </w:rPr>
                      <w:t>Jan. 1999</w:t>
                    </w:r>
                  </w:p>
                </w:txbxContent>
              </v:textbox>
              <w10:wrap type="none"/>
            </v:shape>
            <w10:wrap type="none"/>
          </v:group>
        </w:pict>
      </w:r>
      <w:r>
        <w:rPr>
          <w:sz w:val="12"/>
        </w:rPr>
        <w:t>Oct. 1997</w:t>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tabs>
          <w:tab w:pos="729" w:val="left" w:leader="none"/>
          <w:tab w:pos="1144" w:val="left" w:leader="none"/>
          <w:tab w:pos="1594" w:val="left" w:leader="none"/>
          <w:tab w:pos="2019" w:val="left" w:leader="none"/>
          <w:tab w:pos="2469" w:val="left" w:leader="none"/>
          <w:tab w:pos="2879" w:val="left" w:leader="none"/>
        </w:tabs>
        <w:spacing w:line="69" w:lineRule="exact" w:before="79"/>
        <w:ind w:left="300" w:right="0" w:firstLine="0"/>
        <w:jc w:val="left"/>
        <w:rPr>
          <w:sz w:val="12"/>
        </w:rPr>
      </w:pPr>
      <w:r>
        <w:rPr>
          <w:sz w:val="12"/>
        </w:rPr>
        <w:t>Oct.</w:t>
        <w:tab/>
        <w:t>Jan.</w:t>
        <w:tab/>
        <w:t>Apr.</w:t>
        <w:tab/>
        <w:t>July</w:t>
        <w:tab/>
        <w:t>Oct.</w:t>
        <w:tab/>
        <w:t>Jan.</w:t>
        <w:tab/>
      </w:r>
      <w:r>
        <w:rPr>
          <w:spacing w:val="-5"/>
          <w:sz w:val="12"/>
        </w:rPr>
        <w:t>Apr.</w:t>
      </w:r>
    </w:p>
    <w:p>
      <w:pPr>
        <w:pStyle w:val="BodyText"/>
        <w:rPr>
          <w:sz w:val="12"/>
        </w:rPr>
      </w:pPr>
      <w:r>
        <w:rPr/>
        <w:br w:type="column"/>
      </w:r>
      <w:r>
        <w:rPr>
          <w:sz w:val="12"/>
        </w:rPr>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10"/>
        <w:rPr>
          <w:sz w:val="10"/>
        </w:rPr>
      </w:pPr>
    </w:p>
    <w:p>
      <w:pPr>
        <w:spacing w:line="69" w:lineRule="exact" w:before="0"/>
        <w:ind w:left="153" w:right="0" w:firstLine="0"/>
        <w:jc w:val="left"/>
        <w:rPr>
          <w:sz w:val="12"/>
        </w:rPr>
      </w:pPr>
      <w:r>
        <w:rPr>
          <w:sz w:val="12"/>
        </w:rPr>
        <w:t>July</w:t>
      </w:r>
    </w:p>
    <w:p>
      <w:pPr>
        <w:spacing w:before="92"/>
        <w:ind w:left="39" w:right="0" w:firstLine="0"/>
        <w:jc w:val="left"/>
        <w:rPr>
          <w:sz w:val="12"/>
        </w:rPr>
      </w:pPr>
      <w:r>
        <w:rPr/>
        <w:br w:type="column"/>
      </w:r>
      <w:r>
        <w:rPr>
          <w:sz w:val="12"/>
        </w:rPr>
        <w:t>20.0</w:t>
      </w:r>
    </w:p>
    <w:p>
      <w:pPr>
        <w:pStyle w:val="BodyText"/>
        <w:rPr>
          <w:sz w:val="12"/>
        </w:rPr>
      </w:pPr>
    </w:p>
    <w:p>
      <w:pPr>
        <w:pStyle w:val="BodyText"/>
        <w:rPr>
          <w:sz w:val="12"/>
        </w:rPr>
      </w:pPr>
    </w:p>
    <w:p>
      <w:pPr>
        <w:pStyle w:val="BodyText"/>
        <w:spacing w:before="2"/>
        <w:rPr>
          <w:sz w:val="16"/>
        </w:rPr>
      </w:pPr>
    </w:p>
    <w:p>
      <w:pPr>
        <w:spacing w:before="0"/>
        <w:ind w:left="39" w:right="0" w:firstLine="0"/>
        <w:jc w:val="left"/>
        <w:rPr>
          <w:sz w:val="12"/>
        </w:rPr>
      </w:pPr>
      <w:r>
        <w:rPr>
          <w:sz w:val="12"/>
        </w:rPr>
        <w:t>17.5</w:t>
      </w:r>
    </w:p>
    <w:p>
      <w:pPr>
        <w:pStyle w:val="BodyText"/>
        <w:rPr>
          <w:sz w:val="12"/>
        </w:rPr>
      </w:pPr>
    </w:p>
    <w:p>
      <w:pPr>
        <w:pStyle w:val="BodyText"/>
        <w:rPr>
          <w:sz w:val="12"/>
        </w:rPr>
      </w:pPr>
    </w:p>
    <w:p>
      <w:pPr>
        <w:pStyle w:val="BodyText"/>
        <w:spacing w:before="2"/>
        <w:rPr>
          <w:sz w:val="16"/>
        </w:rPr>
      </w:pPr>
    </w:p>
    <w:p>
      <w:pPr>
        <w:spacing w:before="0"/>
        <w:ind w:left="39" w:right="0" w:firstLine="0"/>
        <w:jc w:val="left"/>
        <w:rPr>
          <w:sz w:val="12"/>
        </w:rPr>
      </w:pPr>
      <w:r>
        <w:rPr>
          <w:sz w:val="12"/>
        </w:rPr>
        <w:t>15.0</w:t>
      </w:r>
    </w:p>
    <w:p>
      <w:pPr>
        <w:pStyle w:val="BodyText"/>
        <w:rPr>
          <w:sz w:val="12"/>
        </w:rPr>
      </w:pPr>
    </w:p>
    <w:p>
      <w:pPr>
        <w:pStyle w:val="BodyText"/>
        <w:rPr>
          <w:sz w:val="12"/>
        </w:rPr>
      </w:pPr>
    </w:p>
    <w:p>
      <w:pPr>
        <w:pStyle w:val="BodyText"/>
        <w:spacing w:before="2"/>
        <w:rPr>
          <w:sz w:val="16"/>
        </w:rPr>
      </w:pPr>
    </w:p>
    <w:p>
      <w:pPr>
        <w:spacing w:before="0"/>
        <w:ind w:left="39" w:right="0" w:firstLine="0"/>
        <w:jc w:val="left"/>
        <w:rPr>
          <w:sz w:val="12"/>
        </w:rPr>
      </w:pPr>
      <w:r>
        <w:rPr>
          <w:sz w:val="12"/>
        </w:rPr>
        <w:t>12.5</w:t>
      </w:r>
    </w:p>
    <w:p>
      <w:pPr>
        <w:pStyle w:val="BodyText"/>
        <w:rPr>
          <w:sz w:val="12"/>
        </w:rPr>
      </w:pPr>
    </w:p>
    <w:p>
      <w:pPr>
        <w:pStyle w:val="BodyText"/>
        <w:rPr>
          <w:sz w:val="12"/>
        </w:rPr>
      </w:pPr>
    </w:p>
    <w:p>
      <w:pPr>
        <w:pStyle w:val="BodyText"/>
        <w:spacing w:before="2"/>
        <w:rPr>
          <w:sz w:val="16"/>
        </w:rPr>
      </w:pPr>
    </w:p>
    <w:p>
      <w:pPr>
        <w:spacing w:before="0"/>
        <w:ind w:left="39" w:right="0" w:firstLine="0"/>
        <w:jc w:val="left"/>
        <w:rPr>
          <w:sz w:val="12"/>
        </w:rPr>
      </w:pPr>
      <w:r>
        <w:rPr>
          <w:sz w:val="12"/>
        </w:rPr>
        <w:t>10.0</w:t>
      </w:r>
    </w:p>
    <w:p>
      <w:pPr>
        <w:spacing w:before="22"/>
        <w:ind w:left="99" w:right="0" w:firstLine="0"/>
        <w:jc w:val="left"/>
        <w:rPr>
          <w:sz w:val="12"/>
        </w:rPr>
      </w:pPr>
      <w:r>
        <w:rPr>
          <w:sz w:val="12"/>
        </w:rPr>
        <w:t>0.0</w:t>
      </w:r>
    </w:p>
    <w:p>
      <w:pPr>
        <w:pStyle w:val="Heading4"/>
        <w:spacing w:line="242" w:lineRule="auto" w:before="6"/>
        <w:ind w:left="300" w:right="199"/>
      </w:pPr>
      <w:r>
        <w:rPr/>
        <w:br w:type="column"/>
      </w:r>
      <w:r>
        <w:rPr/>
        <w:t>of Asian demand and expectations of subdued world demand in 1999. The forward prices for Brent crude, which were revised down throughout 1998 as spot prices fell, suggest that prices will remain broadly flat, far below their 1997 levels (see Chart 4.2). Oil consumption per unit of output by O</w:t>
      </w:r>
      <w:r>
        <w:rPr>
          <w:sz w:val="20"/>
        </w:rPr>
        <w:t>ECD </w:t>
      </w:r>
      <w:r>
        <w:rPr/>
        <w:t>countries has fallen by around 40% since the 1970s, so the impact of lower oil prices on those countries may be less marked than in the past. The United Kingdom is a small net exporter of oil, so lower prices may reduce income and therefore </w:t>
      </w:r>
      <w:r>
        <w:rPr>
          <w:spacing w:val="-3"/>
        </w:rPr>
        <w:t>restrain</w:t>
      </w:r>
    </w:p>
    <w:p>
      <w:pPr>
        <w:spacing w:after="0" w:line="242" w:lineRule="auto"/>
        <w:sectPr>
          <w:type w:val="continuous"/>
          <w:pgSz w:w="11900" w:h="16840"/>
          <w:pgMar w:top="1220" w:bottom="280" w:left="640" w:right="600"/>
          <w:cols w:num="4" w:equalWidth="0">
            <w:col w:w="3097" w:space="40"/>
            <w:col w:w="354" w:space="39"/>
            <w:col w:w="290" w:space="840"/>
            <w:col w:w="6000"/>
          </w:cols>
        </w:sectPr>
      </w:pPr>
    </w:p>
    <w:p>
      <w:pPr>
        <w:spacing w:before="96"/>
        <w:ind w:left="350" w:right="0" w:firstLine="0"/>
        <w:jc w:val="left"/>
        <w:rPr>
          <w:sz w:val="12"/>
        </w:rPr>
      </w:pPr>
      <w:r>
        <w:rPr>
          <w:sz w:val="12"/>
        </w:rPr>
        <w:t>1997</w:t>
      </w:r>
    </w:p>
    <w:p>
      <w:pPr>
        <w:tabs>
          <w:tab w:pos="1649" w:val="left" w:leader="none"/>
        </w:tabs>
        <w:spacing w:before="96"/>
        <w:ind w:left="350" w:right="0" w:firstLine="0"/>
        <w:jc w:val="left"/>
        <w:rPr>
          <w:sz w:val="12"/>
        </w:rPr>
      </w:pPr>
      <w:r>
        <w:rPr/>
        <w:br w:type="column"/>
      </w:r>
      <w:r>
        <w:rPr>
          <w:sz w:val="12"/>
        </w:rPr>
        <w:t>98</w:t>
        <w:tab/>
        <w:t>99</w:t>
      </w:r>
    </w:p>
    <w:p>
      <w:pPr>
        <w:pStyle w:val="Heading4"/>
        <w:spacing w:line="255" w:lineRule="exact"/>
        <w:ind w:left="350"/>
      </w:pPr>
      <w:r>
        <w:rPr/>
        <w:br w:type="column"/>
      </w:r>
      <w:r>
        <w:rPr/>
        <w:t>demand, though net trade in oil now accounts for a much</w:t>
      </w:r>
    </w:p>
    <w:p>
      <w:pPr>
        <w:spacing w:after="0" w:line="255" w:lineRule="exact"/>
        <w:sectPr>
          <w:type w:val="continuous"/>
          <w:pgSz w:w="11900" w:h="16840"/>
          <w:pgMar w:top="1220" w:bottom="280" w:left="640" w:right="600"/>
          <w:cols w:num="3" w:equalWidth="0">
            <w:col w:w="631" w:space="609"/>
            <w:col w:w="1810" w:space="1560"/>
            <w:col w:w="6050"/>
          </w:cols>
        </w:sectPr>
      </w:pPr>
    </w:p>
    <w:p>
      <w:pPr>
        <w:spacing w:line="133" w:lineRule="exact" w:before="0"/>
        <w:ind w:left="150" w:right="0" w:firstLine="0"/>
        <w:jc w:val="left"/>
        <w:rPr>
          <w:sz w:val="12"/>
        </w:rPr>
      </w:pPr>
      <w:r>
        <w:rPr>
          <w:sz w:val="12"/>
        </w:rPr>
        <w:t>Source: International Petroleum Exchange.</w:t>
      </w:r>
    </w:p>
    <w:p>
      <w:pPr>
        <w:spacing w:before="102"/>
        <w:ind w:left="150" w:right="0" w:firstLine="0"/>
        <w:jc w:val="left"/>
        <w:rPr>
          <w:sz w:val="12"/>
        </w:rPr>
      </w:pPr>
      <w:r>
        <w:rPr>
          <w:sz w:val="12"/>
        </w:rPr>
        <w:t>(a) Derived from futures prices. All prices are monthly averages of daily data.</w:t>
      </w:r>
    </w:p>
    <w:p>
      <w:pPr>
        <w:pStyle w:val="Heading4"/>
        <w:spacing w:line="242" w:lineRule="auto" w:before="15"/>
        <w:ind w:left="150" w:right="301"/>
      </w:pPr>
      <w:r>
        <w:rPr/>
        <w:br w:type="column"/>
      </w:r>
      <w:r>
        <w:rPr/>
        <w:t>lower proportion of GDP than it did in the early or mid 1980s. There may also be indirect effects on UK demand and prices, resulting from a shift in the</w:t>
      </w:r>
    </w:p>
    <w:p>
      <w:pPr>
        <w:spacing w:after="0" w:line="242" w:lineRule="auto"/>
        <w:sectPr>
          <w:type w:val="continuous"/>
          <w:pgSz w:w="11900" w:h="16840"/>
          <w:pgMar w:top="1220" w:bottom="280" w:left="640" w:right="600"/>
          <w:cols w:num="2" w:equalWidth="0">
            <w:col w:w="4036" w:space="774"/>
            <w:col w:w="5850"/>
          </w:cols>
        </w:sectPr>
      </w:pPr>
    </w:p>
    <w:p>
      <w:pPr>
        <w:pStyle w:val="BodyText"/>
        <w:rPr>
          <w:sz w:val="20"/>
        </w:rPr>
      </w:pPr>
    </w:p>
    <w:p>
      <w:pPr>
        <w:spacing w:line="242" w:lineRule="auto" w:before="207"/>
        <w:ind w:left="4960" w:right="579" w:firstLine="0"/>
        <w:jc w:val="left"/>
        <w:rPr>
          <w:sz w:val="24"/>
        </w:rPr>
      </w:pPr>
      <w:bookmarkStart w:name="Import prices and the exchange rate" w:id="61"/>
      <w:bookmarkEnd w:id="61"/>
      <w:r>
        <w:rPr/>
      </w:r>
      <w:bookmarkStart w:name="_bookmark23" w:id="62"/>
      <w:bookmarkEnd w:id="62"/>
      <w:r>
        <w:rPr/>
      </w:r>
      <w:r>
        <w:rPr>
          <w:sz w:val="24"/>
        </w:rPr>
        <w:t>composition of global demand from oil-exporting to oil-importing countries. The implications for UK net </w:t>
      </w:r>
      <w:hyperlink w:history="true" w:anchor="_bookmark11">
        <w:r>
          <w:rPr>
            <w:sz w:val="24"/>
          </w:rPr>
          <w:t>trade are discussed in Section 2.</w:t>
        </w:r>
      </w:hyperlink>
    </w:p>
    <w:p>
      <w:pPr>
        <w:pStyle w:val="BodyText"/>
        <w:spacing w:before="8"/>
        <w:rPr>
          <w:sz w:val="24"/>
        </w:rPr>
      </w:pPr>
    </w:p>
    <w:p>
      <w:pPr>
        <w:spacing w:line="242" w:lineRule="auto" w:before="0"/>
        <w:ind w:left="4960" w:right="261" w:firstLine="0"/>
        <w:jc w:val="left"/>
        <w:rPr>
          <w:sz w:val="24"/>
        </w:rPr>
      </w:pPr>
      <w:r>
        <w:rPr>
          <w:sz w:val="24"/>
        </w:rPr>
        <w:t>Non-oil commodity prices have been depressed by weaker world demand. Wholesale food prices in the United Kingdom—which account for just under half of the Bank’s non-oil commodity price index—have been further reduced by the strength of sterling against other European currencies over the past two and a half years.</w:t>
      </w:r>
    </w:p>
    <w:p>
      <w:pPr>
        <w:pStyle w:val="BodyText"/>
        <w:rPr>
          <w:sz w:val="25"/>
        </w:rPr>
      </w:pPr>
    </w:p>
    <w:p>
      <w:pPr>
        <w:spacing w:line="242" w:lineRule="auto" w:before="0"/>
        <w:ind w:left="4960" w:right="153" w:firstLine="0"/>
        <w:jc w:val="left"/>
        <w:rPr>
          <w:sz w:val="24"/>
        </w:rPr>
      </w:pPr>
      <w:r>
        <w:rPr>
          <w:sz w:val="24"/>
        </w:rPr>
        <w:t>The introduction of the euro has changed the way that intervention prices are calculated under the Common Agricultural Policy. Since 1 January 1999, intervention prices have been calculated in euros and translated into sterling using the market exchange rate against the euro rather than the green pound, which has been abolished. Intervention prices were little changed in January, as sterling traded in a narrow range against the euro. As noted in previous </w:t>
      </w:r>
      <w:r>
        <w:rPr>
          <w:i/>
          <w:sz w:val="24"/>
        </w:rPr>
        <w:t>Reports</w:t>
      </w:r>
      <w:r>
        <w:rPr>
          <w:sz w:val="24"/>
        </w:rPr>
        <w:t>, some intervention prices may fall from 2000, if the European Commission’s Agenda 2000 proposals are accepted.</w:t>
      </w:r>
    </w:p>
    <w:p>
      <w:pPr>
        <w:pStyle w:val="BodyText"/>
        <w:spacing w:before="9"/>
        <w:rPr>
          <w:sz w:val="17"/>
        </w:rPr>
      </w:pPr>
    </w:p>
    <w:p>
      <w:pPr>
        <w:spacing w:after="0"/>
        <w:rPr>
          <w:sz w:val="17"/>
        </w:rPr>
        <w:sectPr>
          <w:headerReference w:type="even" r:id="rId92"/>
          <w:headerReference w:type="default" r:id="rId93"/>
          <w:pgSz w:w="11900" w:h="16840"/>
          <w:pgMar w:header="586" w:footer="597" w:top="780" w:bottom="780" w:left="640" w:right="600"/>
        </w:sect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0"/>
        <w:rPr>
          <w:sz w:val="29"/>
        </w:rPr>
      </w:pPr>
    </w:p>
    <w:p>
      <w:pPr>
        <w:pStyle w:val="Heading7"/>
        <w:spacing w:before="0"/>
        <w:ind w:left="200"/>
      </w:pPr>
      <w:r>
        <w:rPr>
          <w:color w:val="0093C1"/>
        </w:rPr>
        <w:t>Chart 4.3</w:t>
      </w:r>
    </w:p>
    <w:p>
      <w:pPr>
        <w:spacing w:line="249" w:lineRule="auto" w:before="10"/>
        <w:ind w:left="200" w:right="35" w:firstLine="0"/>
        <w:jc w:val="left"/>
        <w:rPr>
          <w:b/>
          <w:sz w:val="20"/>
        </w:rPr>
      </w:pPr>
      <w:r>
        <w:rPr>
          <w:b/>
          <w:color w:val="0093C1"/>
          <w:sz w:val="20"/>
        </w:rPr>
        <w:t>Import prices of goods and services and the exchange rate</w:t>
      </w:r>
    </w:p>
    <w:p>
      <w:pPr>
        <w:tabs>
          <w:tab w:pos="3187" w:val="left" w:leader="none"/>
        </w:tabs>
        <w:spacing w:before="67"/>
        <w:ind w:left="240" w:right="0" w:firstLine="0"/>
        <w:jc w:val="left"/>
        <w:rPr>
          <w:sz w:val="12"/>
        </w:rPr>
      </w:pPr>
      <w:r>
        <w:rPr/>
        <w:pict>
          <v:line style="position:absolute;mso-position-horizontal-relative:page;mso-position-vertical-relative:paragraph;z-index:-21009408" from="56.5pt,11.450556pt" to="51.5pt,11.450556pt" stroked="true" strokeweight=".5pt" strokecolor="#000000">
            <v:stroke dashstyle="solid"/>
            <w10:wrap type="none"/>
          </v:line>
        </w:pict>
      </w:r>
      <w:r>
        <w:rPr/>
        <w:pict>
          <v:line style="position:absolute;mso-position-horizontal-relative:page;mso-position-vertical-relative:paragraph;z-index:-21008896" from="213.5pt,11.450556pt" to="218.5pt,11.450556pt" stroked="true" strokeweight=".5pt" strokecolor="#000000">
            <v:stroke dashstyle="solid"/>
            <w10:wrap type="none"/>
          </v:line>
        </w:pict>
      </w:r>
      <w:r>
        <w:rPr>
          <w:position w:val="-7"/>
          <w:sz w:val="12"/>
        </w:rPr>
        <w:t>95 </w:t>
      </w:r>
      <w:r>
        <w:rPr>
          <w:sz w:val="12"/>
        </w:rPr>
        <w:t>1995</w:t>
      </w:r>
      <w:r>
        <w:rPr>
          <w:spacing w:val="-5"/>
          <w:sz w:val="12"/>
        </w:rPr>
        <w:t> </w:t>
      </w:r>
      <w:r>
        <w:rPr>
          <w:sz w:val="12"/>
        </w:rPr>
        <w:t>= 100</w:t>
        <w:tab/>
        <w:t>1995 =</w:t>
      </w:r>
      <w:r>
        <w:rPr>
          <w:spacing w:val="2"/>
          <w:sz w:val="12"/>
        </w:rPr>
        <w:t> </w:t>
      </w:r>
      <w:r>
        <w:rPr>
          <w:sz w:val="12"/>
        </w:rPr>
        <w:t>100</w:t>
      </w:r>
      <w:r>
        <w:rPr>
          <w:position w:val="-7"/>
          <w:sz w:val="12"/>
        </w:rPr>
        <w:t>105</w:t>
      </w:r>
    </w:p>
    <w:p>
      <w:pPr>
        <w:pStyle w:val="Heading4"/>
        <w:spacing w:line="242" w:lineRule="auto" w:before="89"/>
        <w:ind w:left="200" w:right="254"/>
      </w:pPr>
      <w:r>
        <w:rPr/>
        <w:br w:type="column"/>
      </w:r>
      <w:r>
        <w:rPr/>
        <w:t>The MPC’s central projection assumes that world commodity prices in dollars will be broadly flat in 1999, before rising in 2000. Lower oil prices are assumed to have similar effects on the UK economy to lower prices for other commodities.</w:t>
      </w:r>
    </w:p>
    <w:p>
      <w:pPr>
        <w:pStyle w:val="BodyText"/>
        <w:spacing w:before="2"/>
        <w:rPr>
          <w:sz w:val="25"/>
        </w:rPr>
      </w:pPr>
    </w:p>
    <w:p>
      <w:pPr>
        <w:pStyle w:val="ListParagraph"/>
        <w:numPr>
          <w:ilvl w:val="1"/>
          <w:numId w:val="23"/>
        </w:numPr>
        <w:tabs>
          <w:tab w:pos="1149" w:val="left" w:leader="none"/>
          <w:tab w:pos="1150" w:val="left" w:leader="none"/>
          <w:tab w:pos="5699" w:val="left" w:leader="none"/>
        </w:tabs>
        <w:spacing w:line="240" w:lineRule="auto" w:before="0" w:after="0"/>
        <w:ind w:left="1149" w:right="0" w:hanging="950"/>
        <w:jc w:val="left"/>
        <w:rPr>
          <w:b/>
          <w:sz w:val="28"/>
        </w:rPr>
      </w:pPr>
      <w:r>
        <w:rPr>
          <w:b/>
          <w:color w:val="009483"/>
          <w:sz w:val="28"/>
          <w:u w:val="thick" w:color="0093C1"/>
        </w:rPr>
        <w:t>Import prices and the exchange rate</w:t>
        <w:tab/>
      </w:r>
    </w:p>
    <w:p>
      <w:pPr>
        <w:pStyle w:val="BodyText"/>
        <w:spacing w:before="11"/>
        <w:rPr>
          <w:b/>
          <w:sz w:val="23"/>
        </w:rPr>
      </w:pPr>
    </w:p>
    <w:p>
      <w:pPr>
        <w:spacing w:line="242" w:lineRule="auto" w:before="0"/>
        <w:ind w:left="200" w:right="274" w:firstLine="0"/>
        <w:jc w:val="left"/>
        <w:rPr>
          <w:sz w:val="24"/>
        </w:rPr>
      </w:pPr>
      <w:r>
        <w:rPr>
          <w:sz w:val="24"/>
        </w:rPr>
        <w:t>Sterling prices of imported goods fell by 6% in the twelve months to November, and by 13% since August</w:t>
      </w:r>
    </w:p>
    <w:p>
      <w:pPr>
        <w:spacing w:after="0" w:line="242" w:lineRule="auto"/>
        <w:jc w:val="left"/>
        <w:rPr>
          <w:sz w:val="24"/>
        </w:rPr>
        <w:sectPr>
          <w:type w:val="continuous"/>
          <w:pgSz w:w="11900" w:h="16840"/>
          <w:pgMar w:top="1220" w:bottom="280" w:left="640" w:right="600"/>
          <w:cols w:num="2" w:equalWidth="0">
            <w:col w:w="3961" w:space="799"/>
            <w:col w:w="5900"/>
          </w:cols>
        </w:sectPr>
      </w:pPr>
    </w:p>
    <w:p>
      <w:pPr>
        <w:spacing w:line="105" w:lineRule="exact" w:before="0"/>
        <w:ind w:left="180" w:right="0" w:firstLine="0"/>
        <w:jc w:val="left"/>
        <w:rPr>
          <w:sz w:val="12"/>
        </w:rPr>
      </w:pPr>
      <w:r>
        <w:rPr/>
        <w:pict>
          <v:group style="position:absolute;margin-left:51.5pt;margin-top:-8.056602pt;width:167pt;height:139.75pt;mso-position-horizontal-relative:page;mso-position-vertical-relative:paragraph;z-index:16008192" coordorigin="1030,-161" coordsize="3340,2795">
            <v:shape style="position:absolute;left:1030;top:48;width:3340;height:2580" coordorigin="1030,49" coordsize="3340,2580" path="m1130,2629l1030,2629m4270,2629l4370,2629m1190,2629l4210,2629m1130,2189l1030,2189m1130,1769l1030,1769m1130,1329l1030,1329m1130,909l1030,909m1130,489l1030,489m1130,49l1030,49e" filled="false" stroked="true" strokeweight=".5pt" strokecolor="#000000">
              <v:path arrowok="t"/>
              <v:stroke dashstyle="solid"/>
            </v:shape>
            <v:shape style="position:absolute;left:1190;top:-132;width:2820;height:1260" coordorigin="1190,-131" coordsize="2820,1260" path="m1190,729l1290,729,1350,689,1390,649,1450,549,1490,469,1550,409,1610,409,1650,429,1690,409,1750,369,1790,289,1850,209,1910,169,1950,149,2010,109,2050,49,2090,-31,2150,-71,2210,-91,2250,-71,2310,-31,2350,-51,2410,-71,2450,-111,2490,-131,2550,-131,2610,-111,2650,-51,2710,29,2750,89,2810,149,2850,169,2910,209,2950,269,3010,329,3050,409,3110,489,3150,569,3210,629,3250,649,3410,649,3450,709,3510,769,3550,829,3610,889,3650,949,3710,969,3750,989,3810,989,3850,1009,3910,1049,3950,1089,4010,1129e" filled="false" stroked="true" strokeweight="1pt" strokecolor="#522e91">
              <v:path arrowok="t"/>
              <v:stroke dashstyle="solid"/>
            </v:shape>
            <v:shape style="position:absolute;left:4270;top:48;width:100;height:2140" coordorigin="4270,49" coordsize="100,2140" path="m4270,2189l4370,2189m4270,1769l4370,1769m4270,1329l4370,1329m4270,909l4370,909m4270,489l4370,489m4270,49l4370,49e" filled="false" stroked="true" strokeweight=".5pt" strokecolor="#000000">
              <v:path arrowok="t"/>
              <v:stroke dashstyle="solid"/>
            </v:shape>
            <v:shape style="position:absolute;left:1190;top:-92;width:3020;height:2600" coordorigin="1190,-91" coordsize="3020,2600" path="m1190,409l1250,289,1290,289,1350,269,1390,289,1450,349,1490,269,1550,249,1610,289,1650,389,1690,389,1750,369,1790,369,1850,269,1910,129,1950,9,2010,-31,2050,-31,2090,-71,2150,9,2210,49,2250,29,2310,-51,2350,-91,2410,-71,2450,-11,2490,-51,2550,-31,2610,49,2650,209,2710,189,2750,109,2810,249,2850,469,2910,849,2950,1029,3010,1209,3050,1309,3110,1309,3150,1509,3210,1469,3250,1609,3310,2009,3350,1809,3410,1649,3450,1769,3510,2109,3550,2189,3610,2329,3650,2289,3710,2489,3750,2509,3810,2189,3850,2429,3910,2409,3970,2349,4010,2289,4050,2029,4110,1989,4150,1969,4210,1809e" filled="false" stroked="true" strokeweight="1pt" strokecolor="#0093c0">
              <v:path arrowok="t"/>
              <v:stroke dashstyle="solid"/>
            </v:shape>
            <v:shape style="position:absolute;left:1190;top:-152;width:2960;height:2460" coordorigin="1190,-151" coordsize="2960,2460" path="m1190,789l1250,609,1290,549,1350,489,1390,469,1450,489,1490,369,1550,349,1610,389,1650,489,1750,489,1790,429,1850,309,1950,9,2010,9,2090,-71,2150,9,2210,49,2250,-11,2310,-111,2350,-151,2410,-111,2450,-51,2490,-91,2550,-51,2610,29,2650,169,2710,129,2750,29,2810,189,2850,409,2910,769,2950,969,3010,1169,3050,1329,3110,1329,3150,1549,3210,1489,3250,1629,3310,2049,3350,1849,3410,1629,3450,1709,3510,1969,3550,2029,3610,2069,3650,2069,3710,2289,3750,2309,3810,1929,3850,2149,3910,2129,3970,2049,4010,1929,4050,1669,4110,1649,4150,1629e" filled="false" stroked="true" strokeweight="1pt" strokecolor="#f7a08b">
              <v:path arrowok="t"/>
              <v:stroke dashstyle="solid"/>
            </v:shape>
            <v:shape style="position:absolute;left:1190;top:2528;width:3020;height:100" coordorigin="1190,2529" coordsize="3020,100" path="m1190,2629l1190,2589m1350,2629l1350,2589m1490,2629l1490,2589m1650,2629l1650,2589m1790,2629l1790,2589m1950,2629l1950,2589m2090,2629l2090,2589m2250,2629l2250,2589m2410,2629l2410,2589m2550,2629l2550,2589m2710,2629l2710,2589m2850,2629l2850,2589m2990,2629l2990,2589m3150,2629l3150,2589m3290,2629l3290,2589m3450,2629l3450,2589m3610,2629l3610,2589m3750,2629l3750,2589m3910,2629l3910,2589m4050,2629l4050,2589m4210,2629l4210,2589m1190,2629l1190,2529m1790,2629l1790,2529m2410,2629l2410,2529m2990,2629l2990,2529m3610,2629l3610,2529m4210,2629l4210,2529m1190,2629l4210,2629m1190,2629l1190,2589m1350,2629l1350,2589m1490,2629l1490,2589m1650,2629l1650,2589m1790,2629l1790,2589m1950,2629l1950,2589m2090,2629l2090,2589m2250,2629l2250,2589m2410,2629l2410,2589m2550,2629l2550,2589m2710,2629l2710,2589m2850,2629l2850,2589m2990,2629l2990,2589m3150,2629l3150,2589m3290,2629l3290,2589m3450,2629l3450,2589m3610,2629l3610,2589m3750,2629l3750,2589m3910,2629l3910,2589m4050,2629l4050,2589m4210,2629l4210,2589m1190,2629l1190,2529m1790,2629l1790,2529m2410,2629l2410,2529m2990,2629l2990,2529m3610,2629l3610,2529m4210,2629l4210,2529e" filled="false" stroked="true" strokeweight=".5pt" strokecolor="#000000">
              <v:path arrowok="t"/>
              <v:stroke dashstyle="solid"/>
            </v:shape>
            <v:shape style="position:absolute;left:1318;top:555;width:191;height:455" type="#_x0000_t75" stroked="false">
              <v:imagedata r:id="rId94" o:title=""/>
            </v:shape>
            <v:shape style="position:absolute;left:3187;top:2210;width:329;height:122" type="#_x0000_t75" stroked="false">
              <v:imagedata r:id="rId95" o:title=""/>
            </v:shape>
            <v:shape style="position:absolute;left:3080;top:265;width:930;height:253" type="#_x0000_t202" filled="false" stroked="false">
              <v:textbox inset="0,0,0,0">
                <w:txbxContent>
                  <w:p>
                    <w:pPr>
                      <w:spacing w:line="208" w:lineRule="auto" w:before="9"/>
                      <w:ind w:left="60" w:right="18" w:hanging="60"/>
                      <w:jc w:val="left"/>
                      <w:rPr>
                        <w:sz w:val="12"/>
                      </w:rPr>
                    </w:pPr>
                    <w:r>
                      <w:rPr>
                        <w:sz w:val="12"/>
                      </w:rPr>
                      <w:t>Import prices (right-hand scale)</w:t>
                    </w:r>
                  </w:p>
                </w:txbxContent>
              </v:textbox>
              <w10:wrap type="none"/>
            </v:shape>
            <v:shape style="position:absolute;left:1340;top:998;width:1310;height:253" type="#_x0000_t202" filled="false" stroked="false">
              <v:textbox inset="0,0,0,0">
                <w:txbxContent>
                  <w:p>
                    <w:pPr>
                      <w:spacing w:line="208" w:lineRule="auto" w:before="9"/>
                      <w:ind w:left="60" w:right="0" w:hanging="60"/>
                      <w:jc w:val="left"/>
                      <w:rPr>
                        <w:sz w:val="12"/>
                      </w:rPr>
                    </w:pPr>
                    <w:r>
                      <w:rPr>
                        <w:sz w:val="12"/>
                      </w:rPr>
                      <w:t>Sterling effective index (a) (inverted left-hand scale)</w:t>
                    </w:r>
                  </w:p>
                </w:txbxContent>
              </v:textbox>
              <w10:wrap type="none"/>
            </v:shape>
            <v:shape style="position:absolute;left:1920;top:2165;width:1287;height:253" type="#_x0000_t202" filled="false" stroked="false">
              <v:textbox inset="0,0,0,0">
                <w:txbxContent>
                  <w:p>
                    <w:pPr>
                      <w:spacing w:line="124" w:lineRule="exact" w:before="0"/>
                      <w:ind w:left="0" w:right="0" w:firstLine="0"/>
                      <w:jc w:val="left"/>
                      <w:rPr>
                        <w:sz w:val="12"/>
                      </w:rPr>
                    </w:pPr>
                    <w:r>
                      <w:rPr>
                        <w:sz w:val="12"/>
                      </w:rPr>
                      <w:t>Broad ERI (a)</w:t>
                    </w:r>
                  </w:p>
                  <w:p>
                    <w:pPr>
                      <w:spacing w:line="129" w:lineRule="exact" w:before="0"/>
                      <w:ind w:left="60" w:right="0" w:firstLine="0"/>
                      <w:jc w:val="left"/>
                      <w:rPr>
                        <w:sz w:val="12"/>
                      </w:rPr>
                    </w:pPr>
                    <w:r>
                      <w:rPr>
                        <w:sz w:val="12"/>
                      </w:rPr>
                      <w:t>(inverted left-hand scale)</w:t>
                    </w:r>
                  </w:p>
                </w:txbxContent>
              </v:textbox>
              <w10:wrap type="none"/>
            </v:shape>
            <w10:wrap type="none"/>
          </v:group>
        </w:pict>
      </w:r>
      <w:r>
        <w:rPr>
          <w:sz w:val="12"/>
        </w:rPr>
        <w:t>100</w:t>
      </w:r>
    </w:p>
    <w:p>
      <w:pPr>
        <w:pStyle w:val="BodyText"/>
        <w:rPr>
          <w:sz w:val="12"/>
        </w:rPr>
      </w:pPr>
    </w:p>
    <w:p>
      <w:pPr>
        <w:pStyle w:val="BodyText"/>
        <w:spacing w:before="3"/>
        <w:rPr>
          <w:sz w:val="14"/>
        </w:rPr>
      </w:pPr>
    </w:p>
    <w:p>
      <w:pPr>
        <w:spacing w:before="0"/>
        <w:ind w:left="180" w:right="0" w:firstLine="0"/>
        <w:jc w:val="left"/>
        <w:rPr>
          <w:sz w:val="12"/>
        </w:rPr>
      </w:pPr>
      <w:r>
        <w:rPr>
          <w:sz w:val="12"/>
        </w:rPr>
        <w:t>105</w:t>
      </w:r>
    </w:p>
    <w:p>
      <w:pPr>
        <w:pStyle w:val="BodyText"/>
        <w:rPr>
          <w:sz w:val="12"/>
        </w:rPr>
      </w:pPr>
    </w:p>
    <w:p>
      <w:pPr>
        <w:pStyle w:val="BodyText"/>
        <w:spacing w:before="6"/>
        <w:rPr>
          <w:sz w:val="12"/>
        </w:rPr>
      </w:pPr>
    </w:p>
    <w:p>
      <w:pPr>
        <w:spacing w:before="0"/>
        <w:ind w:left="180" w:right="0" w:firstLine="0"/>
        <w:jc w:val="left"/>
        <w:rPr>
          <w:sz w:val="12"/>
        </w:rPr>
      </w:pPr>
      <w:r>
        <w:rPr>
          <w:sz w:val="12"/>
        </w:rPr>
        <w:t>110</w:t>
      </w:r>
    </w:p>
    <w:p>
      <w:pPr>
        <w:pStyle w:val="BodyText"/>
        <w:rPr>
          <w:sz w:val="12"/>
        </w:rPr>
      </w:pPr>
    </w:p>
    <w:p>
      <w:pPr>
        <w:pStyle w:val="BodyText"/>
        <w:spacing w:before="3"/>
        <w:rPr>
          <w:sz w:val="14"/>
        </w:rPr>
      </w:pPr>
    </w:p>
    <w:p>
      <w:pPr>
        <w:spacing w:before="0"/>
        <w:ind w:left="180" w:right="0" w:firstLine="0"/>
        <w:jc w:val="left"/>
        <w:rPr>
          <w:sz w:val="12"/>
        </w:rPr>
      </w:pPr>
      <w:r>
        <w:rPr>
          <w:sz w:val="12"/>
        </w:rPr>
        <w:t>115</w:t>
      </w:r>
    </w:p>
    <w:p>
      <w:pPr>
        <w:pStyle w:val="BodyText"/>
        <w:rPr>
          <w:sz w:val="12"/>
        </w:rPr>
      </w:pPr>
    </w:p>
    <w:p>
      <w:pPr>
        <w:pStyle w:val="BodyText"/>
        <w:spacing w:before="6"/>
        <w:rPr>
          <w:sz w:val="12"/>
        </w:rPr>
      </w:pPr>
    </w:p>
    <w:p>
      <w:pPr>
        <w:spacing w:before="0"/>
        <w:ind w:left="180" w:right="0" w:firstLine="0"/>
        <w:jc w:val="left"/>
        <w:rPr>
          <w:sz w:val="12"/>
        </w:rPr>
      </w:pPr>
      <w:r>
        <w:rPr>
          <w:sz w:val="12"/>
        </w:rPr>
        <w:t>120</w:t>
      </w:r>
    </w:p>
    <w:p>
      <w:pPr>
        <w:pStyle w:val="BodyText"/>
        <w:rPr>
          <w:sz w:val="12"/>
        </w:rPr>
      </w:pPr>
    </w:p>
    <w:p>
      <w:pPr>
        <w:pStyle w:val="BodyText"/>
        <w:spacing w:before="3"/>
        <w:rPr>
          <w:sz w:val="14"/>
        </w:rPr>
      </w:pPr>
    </w:p>
    <w:p>
      <w:pPr>
        <w:spacing w:before="0"/>
        <w:ind w:left="180" w:right="0" w:firstLine="0"/>
        <w:jc w:val="left"/>
        <w:rPr>
          <w:sz w:val="12"/>
        </w:rPr>
      </w:pPr>
      <w:r>
        <w:rPr>
          <w:sz w:val="12"/>
        </w:rPr>
        <w:t>125</w:t>
      </w:r>
    </w:p>
    <w:p>
      <w:pPr>
        <w:pStyle w:val="BodyText"/>
        <w:rPr>
          <w:sz w:val="12"/>
        </w:rPr>
      </w:pPr>
    </w:p>
    <w:p>
      <w:pPr>
        <w:pStyle w:val="BodyText"/>
        <w:spacing w:before="6"/>
        <w:rPr>
          <w:sz w:val="12"/>
        </w:rPr>
      </w:pPr>
    </w:p>
    <w:p>
      <w:pPr>
        <w:spacing w:before="0"/>
        <w:ind w:left="180" w:right="0" w:firstLine="0"/>
        <w:jc w:val="left"/>
        <w:rPr>
          <w:sz w:val="12"/>
        </w:rPr>
      </w:pPr>
      <w:r>
        <w:rPr>
          <w:sz w:val="12"/>
        </w:rPr>
        <w:t>130</w:t>
      </w:r>
    </w:p>
    <w:p>
      <w:pPr>
        <w:pStyle w:val="BodyText"/>
        <w:rPr>
          <w:sz w:val="12"/>
        </w:rPr>
      </w:pPr>
      <w:r>
        <w:rPr/>
        <w:br w:type="column"/>
      </w:r>
      <w:r>
        <w:rPr>
          <w:sz w:val="12"/>
        </w:rPr>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8"/>
        <w:rPr>
          <w:sz w:val="14"/>
        </w:rPr>
      </w:pPr>
    </w:p>
    <w:p>
      <w:pPr>
        <w:spacing w:before="0"/>
        <w:ind w:left="180" w:right="0" w:firstLine="0"/>
        <w:jc w:val="left"/>
        <w:rPr>
          <w:sz w:val="12"/>
        </w:rPr>
      </w:pPr>
      <w:r>
        <w:rPr>
          <w:sz w:val="12"/>
        </w:rPr>
        <w:t>1994</w:t>
      </w:r>
    </w:p>
    <w:p>
      <w:pPr>
        <w:pStyle w:val="BodyText"/>
        <w:rPr>
          <w:sz w:val="12"/>
        </w:rPr>
      </w:pPr>
      <w:r>
        <w:rPr/>
        <w:br w:type="column"/>
      </w:r>
      <w:r>
        <w:rPr>
          <w:sz w:val="12"/>
        </w:rPr>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8"/>
        <w:rPr>
          <w:sz w:val="14"/>
        </w:rPr>
      </w:pPr>
    </w:p>
    <w:p>
      <w:pPr>
        <w:tabs>
          <w:tab w:pos="779" w:val="left" w:leader="none"/>
          <w:tab w:pos="1379" w:val="left" w:leader="none"/>
          <w:tab w:pos="1979" w:val="left" w:leader="none"/>
        </w:tabs>
        <w:spacing w:before="0"/>
        <w:ind w:left="180" w:right="0" w:firstLine="0"/>
        <w:jc w:val="left"/>
        <w:rPr>
          <w:sz w:val="12"/>
        </w:rPr>
      </w:pPr>
      <w:r>
        <w:rPr>
          <w:sz w:val="12"/>
        </w:rPr>
        <w:t>95</w:t>
        <w:tab/>
        <w:t>96</w:t>
        <w:tab/>
        <w:t>97</w:t>
        <w:tab/>
      </w:r>
      <w:r>
        <w:rPr>
          <w:spacing w:val="-10"/>
          <w:sz w:val="12"/>
        </w:rPr>
        <w:t>98</w:t>
      </w:r>
    </w:p>
    <w:p>
      <w:pPr>
        <w:spacing w:line="113" w:lineRule="exact" w:before="0"/>
        <w:ind w:left="379" w:right="0" w:firstLine="0"/>
        <w:jc w:val="left"/>
        <w:rPr>
          <w:sz w:val="12"/>
        </w:rPr>
      </w:pPr>
      <w:r>
        <w:rPr/>
        <w:br w:type="column"/>
      </w:r>
      <w:r>
        <w:rPr>
          <w:sz w:val="12"/>
        </w:rPr>
        <w:t>100</w:t>
      </w:r>
    </w:p>
    <w:p>
      <w:pPr>
        <w:pStyle w:val="BodyText"/>
        <w:rPr>
          <w:sz w:val="12"/>
        </w:rPr>
      </w:pPr>
    </w:p>
    <w:p>
      <w:pPr>
        <w:pStyle w:val="BodyText"/>
        <w:spacing w:before="3"/>
        <w:rPr>
          <w:sz w:val="13"/>
        </w:rPr>
      </w:pPr>
    </w:p>
    <w:p>
      <w:pPr>
        <w:spacing w:before="0"/>
        <w:ind w:left="0" w:right="38" w:firstLine="0"/>
        <w:jc w:val="right"/>
        <w:rPr>
          <w:sz w:val="12"/>
        </w:rPr>
      </w:pPr>
      <w:r>
        <w:rPr>
          <w:sz w:val="12"/>
        </w:rPr>
        <w:t>95</w:t>
      </w:r>
    </w:p>
    <w:p>
      <w:pPr>
        <w:pStyle w:val="BodyText"/>
        <w:rPr>
          <w:sz w:val="12"/>
        </w:rPr>
      </w:pPr>
    </w:p>
    <w:p>
      <w:pPr>
        <w:pStyle w:val="BodyText"/>
        <w:spacing w:before="3"/>
        <w:rPr>
          <w:sz w:val="13"/>
        </w:rPr>
      </w:pPr>
    </w:p>
    <w:p>
      <w:pPr>
        <w:spacing w:before="0"/>
        <w:ind w:left="0" w:right="38" w:firstLine="0"/>
        <w:jc w:val="right"/>
        <w:rPr>
          <w:sz w:val="12"/>
        </w:rPr>
      </w:pPr>
      <w:r>
        <w:rPr>
          <w:sz w:val="12"/>
        </w:rPr>
        <w:t>90</w:t>
      </w:r>
    </w:p>
    <w:p>
      <w:pPr>
        <w:pStyle w:val="BodyText"/>
        <w:rPr>
          <w:sz w:val="12"/>
        </w:rPr>
      </w:pPr>
    </w:p>
    <w:p>
      <w:pPr>
        <w:pStyle w:val="BodyText"/>
        <w:spacing w:before="3"/>
        <w:rPr>
          <w:sz w:val="13"/>
        </w:rPr>
      </w:pPr>
    </w:p>
    <w:p>
      <w:pPr>
        <w:spacing w:before="0"/>
        <w:ind w:left="0" w:right="38" w:firstLine="0"/>
        <w:jc w:val="right"/>
        <w:rPr>
          <w:sz w:val="12"/>
        </w:rPr>
      </w:pPr>
      <w:r>
        <w:rPr>
          <w:sz w:val="12"/>
        </w:rPr>
        <w:t>85</w:t>
      </w:r>
    </w:p>
    <w:p>
      <w:pPr>
        <w:pStyle w:val="BodyText"/>
        <w:rPr>
          <w:sz w:val="12"/>
        </w:rPr>
      </w:pPr>
    </w:p>
    <w:p>
      <w:pPr>
        <w:pStyle w:val="BodyText"/>
        <w:spacing w:before="3"/>
        <w:rPr>
          <w:sz w:val="13"/>
        </w:rPr>
      </w:pPr>
    </w:p>
    <w:p>
      <w:pPr>
        <w:spacing w:before="0"/>
        <w:ind w:left="0" w:right="38" w:firstLine="0"/>
        <w:jc w:val="right"/>
        <w:rPr>
          <w:sz w:val="12"/>
        </w:rPr>
      </w:pPr>
      <w:r>
        <w:rPr>
          <w:sz w:val="12"/>
        </w:rPr>
        <w:t>80</w:t>
      </w:r>
    </w:p>
    <w:p>
      <w:pPr>
        <w:pStyle w:val="BodyText"/>
        <w:rPr>
          <w:sz w:val="12"/>
        </w:rPr>
      </w:pPr>
    </w:p>
    <w:p>
      <w:pPr>
        <w:pStyle w:val="BodyText"/>
        <w:spacing w:before="3"/>
        <w:rPr>
          <w:sz w:val="13"/>
        </w:rPr>
      </w:pPr>
    </w:p>
    <w:p>
      <w:pPr>
        <w:spacing w:before="0"/>
        <w:ind w:left="0" w:right="38" w:firstLine="0"/>
        <w:jc w:val="right"/>
        <w:rPr>
          <w:sz w:val="12"/>
        </w:rPr>
      </w:pPr>
      <w:r>
        <w:rPr>
          <w:sz w:val="12"/>
        </w:rPr>
        <w:t>75</w:t>
      </w:r>
    </w:p>
    <w:p>
      <w:pPr>
        <w:pStyle w:val="BodyText"/>
        <w:rPr>
          <w:sz w:val="12"/>
        </w:rPr>
      </w:pPr>
    </w:p>
    <w:p>
      <w:pPr>
        <w:pStyle w:val="BodyText"/>
        <w:spacing w:before="3"/>
        <w:rPr>
          <w:sz w:val="13"/>
        </w:rPr>
      </w:pPr>
    </w:p>
    <w:p>
      <w:pPr>
        <w:spacing w:line="122" w:lineRule="exact" w:before="0"/>
        <w:ind w:left="439" w:right="0" w:firstLine="0"/>
        <w:jc w:val="left"/>
        <w:rPr>
          <w:sz w:val="12"/>
        </w:rPr>
      </w:pPr>
      <w:r>
        <w:rPr>
          <w:sz w:val="12"/>
        </w:rPr>
        <w:t>70</w:t>
      </w:r>
    </w:p>
    <w:p>
      <w:pPr>
        <w:spacing w:line="122" w:lineRule="exact" w:before="0"/>
        <w:ind w:left="153" w:right="0" w:firstLine="0"/>
        <w:jc w:val="left"/>
        <w:rPr>
          <w:sz w:val="12"/>
        </w:rPr>
      </w:pPr>
      <w:r>
        <w:rPr>
          <w:sz w:val="12"/>
        </w:rPr>
        <w:t>99</w:t>
      </w:r>
    </w:p>
    <w:p>
      <w:pPr>
        <w:pStyle w:val="Heading4"/>
        <w:spacing w:line="242" w:lineRule="auto" w:before="2"/>
        <w:ind w:left="180" w:right="199"/>
      </w:pPr>
      <w:r>
        <w:rPr/>
        <w:br w:type="column"/>
      </w:r>
      <w:r>
        <w:rPr/>
        <w:t>1996, when sterling began to appreciate. The fall in import prices has been less marked than sterling’s appreciation since 1996, though the decline in sterling’s ERI and in the broad ERI since April 1998 has narrowed the gap (see Chart 4.3). Import prices </w:t>
      </w:r>
      <w:r>
        <w:rPr>
          <w:spacing w:val="-3"/>
        </w:rPr>
        <w:t>have </w:t>
      </w:r>
      <w:r>
        <w:rPr/>
        <w:t>remained high relative to the average export prices of the United Kingdom’s major trading partners, suggesting that suppliers may </w:t>
      </w:r>
      <w:r>
        <w:rPr>
          <w:spacing w:val="-3"/>
        </w:rPr>
        <w:t>have </w:t>
      </w:r>
      <w:r>
        <w:rPr/>
        <w:t>used sterling’s appreciation to widen their margins on UK sales.  The response of import prices may also </w:t>
      </w:r>
      <w:r>
        <w:rPr>
          <w:spacing w:val="-3"/>
        </w:rPr>
        <w:t>have </w:t>
      </w:r>
      <w:r>
        <w:rPr/>
        <w:t>been tempered if overseas</w:t>
      </w:r>
      <w:r>
        <w:rPr>
          <w:spacing w:val="5"/>
        </w:rPr>
        <w:t> </w:t>
      </w:r>
      <w:r>
        <w:rPr>
          <w:spacing w:val="-3"/>
        </w:rPr>
        <w:t>exporters</w:t>
      </w:r>
    </w:p>
    <w:p>
      <w:pPr>
        <w:spacing w:after="0" w:line="242" w:lineRule="auto"/>
        <w:sectPr>
          <w:type w:val="continuous"/>
          <w:pgSz w:w="11900" w:h="16840"/>
          <w:pgMar w:top="1220" w:bottom="280" w:left="640" w:right="600"/>
          <w:cols w:num="5" w:equalWidth="0">
            <w:col w:w="401" w:space="120"/>
            <w:col w:w="461" w:space="239"/>
            <w:col w:w="2101" w:space="39"/>
            <w:col w:w="600" w:space="819"/>
            <w:col w:w="5880"/>
          </w:cols>
        </w:sectPr>
      </w:pPr>
    </w:p>
    <w:p>
      <w:pPr>
        <w:spacing w:line="208" w:lineRule="auto" w:before="54"/>
        <w:ind w:left="510" w:right="0" w:hanging="330"/>
        <w:jc w:val="left"/>
        <w:rPr>
          <w:sz w:val="12"/>
        </w:rPr>
      </w:pPr>
      <w:r>
        <w:rPr>
          <w:sz w:val="12"/>
        </w:rPr>
        <w:t>Note: The ERI is measured against 20 other industrialised countries. The broad ERI is measured against 49 other countries.</w:t>
      </w:r>
    </w:p>
    <w:p>
      <w:pPr>
        <w:spacing w:before="105"/>
        <w:ind w:left="180" w:right="0" w:firstLine="0"/>
        <w:jc w:val="left"/>
        <w:rPr>
          <w:sz w:val="12"/>
        </w:rPr>
      </w:pPr>
      <w:r>
        <w:rPr>
          <w:sz w:val="12"/>
        </w:rPr>
        <w:t>(a) A fall indicates an appreciation.</w:t>
      </w:r>
    </w:p>
    <w:p>
      <w:pPr>
        <w:pStyle w:val="Heading4"/>
        <w:spacing w:line="242" w:lineRule="auto" w:before="12"/>
        <w:ind w:left="180" w:right="353"/>
      </w:pPr>
      <w:r>
        <w:rPr/>
        <w:br w:type="column"/>
      </w:r>
      <w:r>
        <w:rPr/>
        <w:t>to the United Kingdom thought that sterling’s appreciation was temporary. That may also have an effect on the extent and timing of the response to the recent depreciation of sterling.</w:t>
      </w:r>
    </w:p>
    <w:p>
      <w:pPr>
        <w:pStyle w:val="BodyText"/>
        <w:spacing w:before="8"/>
        <w:rPr>
          <w:sz w:val="24"/>
        </w:rPr>
      </w:pPr>
    </w:p>
    <w:p>
      <w:pPr>
        <w:spacing w:line="242" w:lineRule="auto" w:before="1"/>
        <w:ind w:left="180" w:right="415" w:firstLine="0"/>
        <w:jc w:val="both"/>
        <w:rPr>
          <w:sz w:val="24"/>
        </w:rPr>
      </w:pPr>
      <w:hyperlink w:history="true" w:anchor="_bookmark11">
        <w:r>
          <w:rPr>
            <w:sz w:val="24"/>
          </w:rPr>
          <w:t>As discussed in Section 2,</w:t>
        </w:r>
      </w:hyperlink>
      <w:r>
        <w:rPr>
          <w:sz w:val="24"/>
        </w:rPr>
        <w:t> prospects for global growth and trade </w:t>
      </w:r>
      <w:r>
        <w:rPr>
          <w:spacing w:val="-3"/>
          <w:sz w:val="24"/>
        </w:rPr>
        <w:t>have </w:t>
      </w:r>
      <w:r>
        <w:rPr>
          <w:sz w:val="24"/>
        </w:rPr>
        <w:t>deteriorated further since the </w:t>
      </w:r>
      <w:r>
        <w:rPr>
          <w:spacing w:val="-3"/>
          <w:sz w:val="24"/>
        </w:rPr>
        <w:t>November </w:t>
      </w:r>
      <w:r>
        <w:rPr>
          <w:i/>
          <w:sz w:val="24"/>
        </w:rPr>
        <w:t>Report</w:t>
      </w:r>
      <w:r>
        <w:rPr>
          <w:sz w:val="24"/>
        </w:rPr>
        <w:t>, and the outlook for world inflation remains</w:t>
      </w:r>
    </w:p>
    <w:p>
      <w:pPr>
        <w:spacing w:after="0" w:line="242" w:lineRule="auto"/>
        <w:jc w:val="both"/>
        <w:rPr>
          <w:sz w:val="24"/>
        </w:rPr>
        <w:sectPr>
          <w:type w:val="continuous"/>
          <w:pgSz w:w="11900" w:h="16840"/>
          <w:pgMar w:top="1220" w:bottom="280" w:left="640" w:right="600"/>
          <w:cols w:num="2" w:equalWidth="0">
            <w:col w:w="3776" w:space="1004"/>
            <w:col w:w="5880"/>
          </w:cols>
        </w:sectPr>
      </w:pPr>
    </w:p>
    <w:p>
      <w:pPr>
        <w:pStyle w:val="BodyText"/>
        <w:rPr>
          <w:sz w:val="20"/>
        </w:rPr>
      </w:pPr>
    </w:p>
    <w:p>
      <w:pPr>
        <w:spacing w:after="0"/>
        <w:rPr>
          <w:sz w:val="20"/>
        </w:rPr>
        <w:sectPr>
          <w:footerReference w:type="default" r:id="rId96"/>
          <w:footerReference w:type="even" r:id="rId97"/>
          <w:pgSz w:w="11900" w:h="16840"/>
          <w:pgMar w:footer="617" w:header="586" w:top="780" w:bottom="800" w:left="640" w:right="600"/>
          <w:pgNumType w:start="35"/>
        </w:sect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4"/>
        <w:rPr>
          <w:sz w:val="21"/>
        </w:rPr>
      </w:pPr>
    </w:p>
    <w:p>
      <w:pPr>
        <w:pStyle w:val="Heading7"/>
        <w:spacing w:before="0"/>
        <w:ind w:left="165"/>
      </w:pPr>
      <w:bookmarkStart w:name="Costs and prices in the service sector" w:id="63"/>
      <w:bookmarkEnd w:id="63"/>
      <w:r>
        <w:rPr>
          <w:b w:val="0"/>
        </w:rPr>
      </w:r>
      <w:bookmarkStart w:name="Costs and prices in manufacturing" w:id="64"/>
      <w:bookmarkEnd w:id="64"/>
      <w:r>
        <w:rPr>
          <w:b w:val="0"/>
        </w:rPr>
      </w:r>
      <w:bookmarkStart w:name="_bookmark24" w:id="65"/>
      <w:bookmarkEnd w:id="65"/>
      <w:r>
        <w:rPr>
          <w:b w:val="0"/>
        </w:rPr>
      </w:r>
      <w:r>
        <w:rPr>
          <w:color w:val="0093C1"/>
        </w:rPr>
        <w:t>Chart 4.4</w:t>
      </w:r>
    </w:p>
    <w:p>
      <w:pPr>
        <w:spacing w:before="10"/>
        <w:ind w:left="165" w:right="0" w:firstLine="0"/>
        <w:jc w:val="left"/>
        <w:rPr>
          <w:b/>
          <w:sz w:val="20"/>
        </w:rPr>
      </w:pPr>
      <w:r>
        <w:rPr>
          <w:b/>
          <w:color w:val="0093C1"/>
          <w:sz w:val="20"/>
        </w:rPr>
        <w:t>Producer price inflation</w:t>
      </w:r>
    </w:p>
    <w:p>
      <w:pPr>
        <w:spacing w:line="119" w:lineRule="exact" w:before="85"/>
        <w:ind w:left="1745" w:right="0" w:firstLine="0"/>
        <w:jc w:val="left"/>
        <w:rPr>
          <w:sz w:val="12"/>
        </w:rPr>
      </w:pPr>
      <w:r>
        <w:rPr>
          <w:sz w:val="12"/>
        </w:rPr>
        <w:t>Percentage changes on a year earlier</w:t>
      </w:r>
    </w:p>
    <w:p>
      <w:pPr>
        <w:spacing w:line="119" w:lineRule="exact" w:before="0"/>
        <w:ind w:left="3552" w:right="0" w:firstLine="0"/>
        <w:jc w:val="left"/>
        <w:rPr>
          <w:sz w:val="12"/>
        </w:rPr>
      </w:pPr>
      <w:r>
        <w:rPr/>
        <w:pict>
          <v:line style="position:absolute;mso-position-horizontal-relative:page;mso-position-vertical-relative:paragraph;z-index:16011776" from="44.779999pt,2.151855pt" to="39.779999pt,2.151855pt" stroked="true" strokeweight=".5pt" strokecolor="#000000">
            <v:stroke dashstyle="solid"/>
            <w10:wrap type="none"/>
          </v:line>
        </w:pict>
      </w:r>
      <w:r>
        <w:rPr/>
        <w:pict>
          <v:line style="position:absolute;mso-position-horizontal-relative:page;mso-position-vertical-relative:paragraph;z-index:16012800" from="206.779999pt,2.151855pt" to="201.779999pt,2.151855pt" stroked="true" strokeweight=".5pt" strokecolor="#000000">
            <v:stroke dashstyle="solid"/>
            <w10:wrap type="none"/>
          </v:line>
        </w:pict>
      </w:r>
      <w:r>
        <w:rPr>
          <w:sz w:val="12"/>
        </w:rPr>
        <w:t>12</w:t>
      </w:r>
    </w:p>
    <w:p>
      <w:pPr>
        <w:spacing w:before="102"/>
        <w:ind w:left="0" w:right="81" w:firstLine="0"/>
        <w:jc w:val="right"/>
        <w:rPr>
          <w:sz w:val="12"/>
        </w:rPr>
      </w:pPr>
      <w:r>
        <w:rPr/>
        <w:pict>
          <v:group style="position:absolute;margin-left:39.779999pt;margin-top:3.701562pt;width:167pt;height:143.75pt;mso-position-horizontal-relative:page;mso-position-vertical-relative:paragraph;z-index:16011264" coordorigin="796,74" coordsize="3340,2875">
            <v:shape style="position:absolute;left:795;top:924;width:3340;height:2020" coordorigin="796,924" coordsize="3340,2020" path="m3616,2944l3616,2844m3236,2944l3236,2844m2836,2944l2836,2844m2476,2944l2476,2844m2096,2944l2096,2844m1716,2944l1716,2844m1316,2944l1316,2844m936,2944l936,2844m896,2944l796,2944m936,2944l3956,2944m1031,2944l1031,2904m1126,2944l1126,2904m1221,2944l1221,2904m1416,2944l1416,2904m1516,2944l1516,2904m1616,2944l1616,2904m1811,2944l1811,2904m1906,2944l1906,2904m2001,2944l2001,2904m2191,2944l2191,2904m2286,2944l2286,2904m2381,2944l2381,2904m2566,2944l2566,2904m2656,2944l2656,2904m2746,2944l2746,2904m2936,2944l2936,2904m3036,2944l3036,2904m3136,2944l3136,2904m3331,2944l3331,2904m3426,2944l3426,2904m3521,2944l3521,2904m3709,2944l3709,2904m3802,2944l3802,2904m3896,2944l3896,2904m896,1684l796,1684m896,1944l796,1944m896,2184l796,2184m896,2444l796,2444m896,2684l796,2684m896,1424l796,1424m956,1444l3956,1444m896,1184l796,1184m896,924l796,924m4136,1424l4036,1424m4136,1184l4036,1184m4136,924l4036,924e" filled="false" stroked="true" strokeweight=".5pt" strokecolor="#000000">
              <v:path arrowok="t"/>
              <v:stroke dashstyle="solid"/>
            </v:shape>
            <v:shape style="position:absolute;left:955;top:804;width:3000;height:740" coordorigin="956,804" coordsize="3000,740" path="m956,804l976,824,1016,844,1036,904,1076,924,1116,924,1136,904,1176,984,1196,1064,1236,1124,1256,1104,1296,1104,1336,1124,1356,1084,1416,1084,1456,1124,1496,1104,1516,1124,1556,1144,1576,1144,1616,1104,1636,1064,1676,1044,1776,944,1856,944,1896,904,1956,904,1996,964,2016,1024,2056,1044,2096,1084,2116,1164,2156,1184,2176,1204,2216,1164,2236,1184,2276,1204,2316,1204,2336,1184,2376,1184,2436,1124,2476,1024,2496,984,2536,964,2556,944,2596,944,2636,924,2656,904,2756,904,2796,924,2816,904,2856,1024,2876,1024,2916,1044,3016,1144,3036,1184,3076,1204,3096,1204,3136,1224,3156,1204,3196,1284,3236,1304,3256,1364,3296,1424,3456,1424,3476,1444,3516,1444,3536,1464,3576,1464,3616,1484,3636,1464,3676,1444,3696,1464,3756,1464,3796,1444,3836,1464,3856,1504,3896,1524,3916,1544,3956,1544e" filled="false" stroked="true" strokeweight="1pt" strokecolor="#ed1b2d">
              <v:path arrowok="t"/>
              <v:stroke dashstyle="solid"/>
            </v:shape>
            <v:shape style="position:absolute;left:795;top:184;width:3340;height:2500" coordorigin="796,184" coordsize="3340,2500" path="m896,684l796,684m896,424l796,424m896,184l796,184m4136,1684l4036,1684m4136,1944l4036,1944m4136,2184l4036,2184m4136,2444l4036,2444m4136,2684l4036,2684m4136,684l4036,684m4136,424l4036,424m4136,184l4036,184e" filled="false" stroked="true" strokeweight=".5pt" strokecolor="#000000">
              <v:path arrowok="t"/>
              <v:stroke dashstyle="solid"/>
            </v:shape>
            <v:shape style="position:absolute;left:955;top:84;width:3000;height:2760" coordorigin="956,84" coordsize="3000,2760" path="m956,1764l976,1864,1016,1904,1036,1724,1076,1644,1116,1544,1136,1564,1176,1584,1196,1824,1236,1684,1256,1684,1296,1624,1336,1724,1356,1504,1396,1624,1416,1644,1456,1664,1496,1764,1516,1684,1556,1644,1576,1564,1616,1284,1636,924,1676,924,1716,684,1736,644,1776,444,1796,644,1836,684,1856,544,1896,604,1936,644,1956,944,1996,1344,2016,1464,2056,1604,2096,1844,2116,1804,2156,1804,2176,1544,2216,1284,2236,1164,2276,1084,2316,1024,2336,884,2376,764,2396,604,2436,544,2476,104,2496,204,2536,144,2556,84,2596,224,2636,184,2656,324,2696,384,2716,224,2756,484,2796,844,2816,744,2856,1024,2876,1144,2916,1144,2976,1564,3016,1764,3036,1824,3076,1844,3096,1904,3136,1664,3156,1904,3196,2004,3236,2084,3256,2224,3296,2484,3316,2844,3356,2584,3396,2544,3416,2464,3456,2364,3476,2464,3516,2524,3536,2504,3576,2584,3616,2684,3636,2624,3676,2624,3696,2424,3736,2384,3756,2504,3796,2504,3856,2684,3896,2724,3916,2524,3956,2544e" filled="false" stroked="true" strokeweight="1pt" strokecolor="#0066a5">
              <v:path arrowok="t"/>
              <v:stroke dashstyle="solid"/>
            </v:shape>
            <v:shape style="position:absolute;left:1825;top:107;width:590;height:133" type="#_x0000_t202" filled="false" stroked="false">
              <v:textbox inset="0,0,0,0">
                <w:txbxContent>
                  <w:p>
                    <w:pPr>
                      <w:spacing w:line="133" w:lineRule="exact" w:before="0"/>
                      <w:ind w:left="0" w:right="0" w:firstLine="0"/>
                      <w:jc w:val="left"/>
                      <w:rPr>
                        <w:sz w:val="12"/>
                      </w:rPr>
                    </w:pPr>
                    <w:r>
                      <w:rPr>
                        <w:sz w:val="12"/>
                      </w:rPr>
                      <w:t>Input prices</w:t>
                    </w:r>
                  </w:p>
                </w:txbxContent>
              </v:textbox>
              <w10:wrap type="none"/>
            </v:shape>
            <v:shape style="position:absolute;left:3085;top:1060;width:834;height:133" type="#_x0000_t202" filled="false" stroked="false">
              <v:textbox inset="0,0,0,0">
                <w:txbxContent>
                  <w:p>
                    <w:pPr>
                      <w:spacing w:line="133" w:lineRule="exact" w:before="0"/>
                      <w:ind w:left="0" w:right="0" w:firstLine="0"/>
                      <w:jc w:val="left"/>
                      <w:rPr>
                        <w:sz w:val="12"/>
                      </w:rPr>
                    </w:pPr>
                    <w:r>
                      <w:rPr>
                        <w:sz w:val="12"/>
                      </w:rPr>
                      <w:t>Output prices (a)</w:t>
                    </w:r>
                  </w:p>
                </w:txbxContent>
              </v:textbox>
              <w10:wrap type="none"/>
            </v:shape>
            <w10:wrap type="none"/>
          </v:group>
        </w:pict>
      </w:r>
      <w:r>
        <w:rPr>
          <w:sz w:val="12"/>
        </w:rPr>
        <w:t>10</w:t>
      </w:r>
    </w:p>
    <w:p>
      <w:pPr>
        <w:pStyle w:val="BodyText"/>
        <w:spacing w:before="7"/>
        <w:rPr>
          <w:sz w:val="10"/>
        </w:rPr>
      </w:pPr>
    </w:p>
    <w:p>
      <w:pPr>
        <w:spacing w:before="0"/>
        <w:ind w:left="0" w:right="81" w:firstLine="0"/>
        <w:jc w:val="right"/>
        <w:rPr>
          <w:sz w:val="12"/>
        </w:rPr>
      </w:pPr>
      <w:r>
        <w:rPr>
          <w:sz w:val="12"/>
        </w:rPr>
        <w:t>8</w:t>
      </w:r>
    </w:p>
    <w:p>
      <w:pPr>
        <w:pStyle w:val="BodyText"/>
        <w:spacing w:before="7"/>
        <w:rPr>
          <w:sz w:val="10"/>
        </w:rPr>
      </w:pPr>
    </w:p>
    <w:p>
      <w:pPr>
        <w:spacing w:before="0"/>
        <w:ind w:left="0" w:right="81" w:firstLine="0"/>
        <w:jc w:val="right"/>
        <w:rPr>
          <w:sz w:val="12"/>
        </w:rPr>
      </w:pPr>
      <w:r>
        <w:rPr>
          <w:sz w:val="12"/>
        </w:rPr>
        <w:t>6</w:t>
      </w:r>
    </w:p>
    <w:p>
      <w:pPr>
        <w:spacing w:before="102"/>
        <w:ind w:left="0" w:right="81" w:firstLine="0"/>
        <w:jc w:val="right"/>
        <w:rPr>
          <w:sz w:val="12"/>
        </w:rPr>
      </w:pPr>
      <w:r>
        <w:rPr>
          <w:sz w:val="12"/>
        </w:rPr>
        <w:t>4</w:t>
      </w:r>
    </w:p>
    <w:p>
      <w:pPr>
        <w:pStyle w:val="BodyText"/>
        <w:spacing w:before="7"/>
        <w:rPr>
          <w:sz w:val="10"/>
        </w:rPr>
      </w:pPr>
    </w:p>
    <w:p>
      <w:pPr>
        <w:spacing w:line="110" w:lineRule="exact" w:before="0"/>
        <w:ind w:left="3612" w:right="0" w:firstLine="0"/>
        <w:jc w:val="left"/>
        <w:rPr>
          <w:sz w:val="12"/>
        </w:rPr>
      </w:pPr>
      <w:r>
        <w:rPr>
          <w:sz w:val="12"/>
        </w:rPr>
        <w:t>2</w:t>
      </w:r>
    </w:p>
    <w:p>
      <w:pPr>
        <w:spacing w:line="143" w:lineRule="exact" w:before="0"/>
        <w:ind w:left="3491" w:right="0" w:firstLine="0"/>
        <w:jc w:val="left"/>
        <w:rPr>
          <w:sz w:val="16"/>
        </w:rPr>
      </w:pPr>
      <w:r>
        <w:rPr>
          <w:sz w:val="16"/>
        </w:rPr>
        <w:t>+</w:t>
      </w:r>
    </w:p>
    <w:p>
      <w:pPr>
        <w:spacing w:line="158" w:lineRule="auto" w:before="10"/>
        <w:ind w:left="3501" w:right="0" w:firstLine="0"/>
        <w:jc w:val="left"/>
        <w:rPr>
          <w:sz w:val="12"/>
        </w:rPr>
      </w:pPr>
      <w:r>
        <w:rPr>
          <w:position w:val="-7"/>
          <w:sz w:val="16"/>
        </w:rPr>
        <w:t>_</w:t>
      </w:r>
      <w:r>
        <w:rPr>
          <w:spacing w:val="-10"/>
          <w:position w:val="-7"/>
          <w:sz w:val="16"/>
        </w:rPr>
        <w:t> </w:t>
      </w:r>
      <w:r>
        <w:rPr>
          <w:sz w:val="12"/>
        </w:rPr>
        <w:t>0</w:t>
      </w:r>
    </w:p>
    <w:p>
      <w:pPr>
        <w:spacing w:before="73"/>
        <w:ind w:left="0" w:right="81" w:firstLine="0"/>
        <w:jc w:val="right"/>
        <w:rPr>
          <w:sz w:val="12"/>
        </w:rPr>
      </w:pPr>
      <w:r>
        <w:rPr>
          <w:sz w:val="12"/>
        </w:rPr>
        <w:t>2</w:t>
      </w:r>
    </w:p>
    <w:p>
      <w:pPr>
        <w:spacing w:before="102"/>
        <w:ind w:left="0" w:right="81" w:firstLine="0"/>
        <w:jc w:val="right"/>
        <w:rPr>
          <w:sz w:val="12"/>
        </w:rPr>
      </w:pPr>
      <w:r>
        <w:rPr>
          <w:sz w:val="12"/>
        </w:rPr>
        <w:t>4</w:t>
      </w:r>
    </w:p>
    <w:p>
      <w:pPr>
        <w:pStyle w:val="BodyText"/>
        <w:spacing w:before="7"/>
        <w:rPr>
          <w:sz w:val="10"/>
        </w:rPr>
      </w:pPr>
    </w:p>
    <w:p>
      <w:pPr>
        <w:spacing w:before="0"/>
        <w:ind w:left="0" w:right="81" w:firstLine="0"/>
        <w:jc w:val="right"/>
        <w:rPr>
          <w:sz w:val="12"/>
        </w:rPr>
      </w:pPr>
      <w:r>
        <w:rPr>
          <w:sz w:val="12"/>
        </w:rPr>
        <w:t>6</w:t>
      </w:r>
    </w:p>
    <w:p>
      <w:pPr>
        <w:spacing w:before="102"/>
        <w:ind w:left="0" w:right="81" w:firstLine="0"/>
        <w:jc w:val="right"/>
        <w:rPr>
          <w:sz w:val="12"/>
        </w:rPr>
      </w:pPr>
      <w:r>
        <w:rPr>
          <w:sz w:val="12"/>
        </w:rPr>
        <w:t>8</w:t>
      </w:r>
    </w:p>
    <w:p>
      <w:pPr>
        <w:pStyle w:val="BodyText"/>
        <w:spacing w:before="7"/>
        <w:rPr>
          <w:sz w:val="10"/>
        </w:rPr>
      </w:pPr>
    </w:p>
    <w:p>
      <w:pPr>
        <w:spacing w:before="0"/>
        <w:ind w:left="0" w:right="81" w:firstLine="0"/>
        <w:jc w:val="right"/>
        <w:rPr>
          <w:sz w:val="12"/>
        </w:rPr>
      </w:pPr>
      <w:r>
        <w:rPr>
          <w:sz w:val="12"/>
        </w:rPr>
        <w:t>10</w:t>
      </w:r>
    </w:p>
    <w:p>
      <w:pPr>
        <w:spacing w:line="129" w:lineRule="exact" w:before="102"/>
        <w:ind w:left="3552" w:right="0" w:firstLine="0"/>
        <w:jc w:val="left"/>
        <w:rPr>
          <w:sz w:val="12"/>
        </w:rPr>
      </w:pPr>
      <w:r>
        <w:rPr/>
        <w:pict>
          <v:line style="position:absolute;mso-position-horizontal-relative:page;mso-position-vertical-relative:paragraph;z-index:16012288" from="206.779999pt,9.201563pt" to="201.779999pt,9.201563pt" stroked="true" strokeweight=".5pt" strokecolor="#000000">
            <v:stroke dashstyle="solid"/>
            <w10:wrap type="none"/>
          </v:line>
        </w:pict>
      </w:r>
      <w:r>
        <w:rPr>
          <w:sz w:val="12"/>
        </w:rPr>
        <w:t>12</w:t>
      </w:r>
    </w:p>
    <w:p>
      <w:pPr>
        <w:tabs>
          <w:tab w:pos="825" w:val="left" w:leader="none"/>
          <w:tab w:pos="1205" w:val="left" w:leader="none"/>
          <w:tab w:pos="1585" w:val="left" w:leader="none"/>
          <w:tab w:pos="1965" w:val="left" w:leader="none"/>
          <w:tab w:pos="2345" w:val="left" w:leader="none"/>
          <w:tab w:pos="2725" w:val="left" w:leader="none"/>
          <w:tab w:pos="3105" w:val="left" w:leader="none"/>
        </w:tabs>
        <w:spacing w:line="129" w:lineRule="exact" w:before="0"/>
        <w:ind w:left="345" w:right="0" w:firstLine="0"/>
        <w:jc w:val="left"/>
        <w:rPr>
          <w:sz w:val="12"/>
        </w:rPr>
      </w:pPr>
      <w:r>
        <w:rPr>
          <w:sz w:val="12"/>
        </w:rPr>
        <w:t>1991</w:t>
        <w:tab/>
        <w:t>92</w:t>
        <w:tab/>
        <w:t>93</w:t>
        <w:tab/>
        <w:t>94</w:t>
        <w:tab/>
        <w:t>95</w:t>
        <w:tab/>
        <w:t>96</w:t>
        <w:tab/>
        <w:t>97</w:t>
        <w:tab/>
        <w:t>98</w:t>
      </w:r>
    </w:p>
    <w:p>
      <w:pPr>
        <w:spacing w:before="76"/>
        <w:ind w:left="155" w:right="0" w:firstLine="0"/>
        <w:jc w:val="left"/>
        <w:rPr>
          <w:sz w:val="12"/>
        </w:rPr>
      </w:pPr>
      <w:r>
        <w:rPr>
          <w:sz w:val="12"/>
        </w:rPr>
        <w:t>(a) Output prices excluding excise duties (PPIY).</w:t>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Heading7"/>
        <w:spacing w:before="73"/>
        <w:ind w:left="150"/>
      </w:pPr>
      <w:r>
        <w:rPr>
          <w:color w:val="0093C1"/>
        </w:rPr>
        <w:t>Chart 4.5</w:t>
      </w:r>
    </w:p>
    <w:p>
      <w:pPr>
        <w:spacing w:before="10"/>
        <w:ind w:left="150" w:right="0" w:firstLine="0"/>
        <w:jc w:val="left"/>
        <w:rPr>
          <w:b/>
          <w:sz w:val="20"/>
        </w:rPr>
      </w:pPr>
      <w:r>
        <w:rPr>
          <w:b/>
          <w:color w:val="0093C1"/>
          <w:sz w:val="20"/>
        </w:rPr>
        <w:t>Major economies producer price inflation</w:t>
      </w:r>
    </w:p>
    <w:p>
      <w:pPr>
        <w:spacing w:before="59"/>
        <w:ind w:left="1749" w:right="0" w:firstLine="0"/>
        <w:jc w:val="left"/>
        <w:rPr>
          <w:sz w:val="12"/>
        </w:rPr>
      </w:pPr>
      <w:r>
        <w:rPr/>
        <w:pict>
          <v:line style="position:absolute;mso-position-horizontal-relative:page;mso-position-vertical-relative:paragraph;z-index:-21002752" from="206.667007pt,11.05155pt" to="201.667007pt,11.05155pt" stroked="true" strokeweight=".5pt" strokecolor="#000000">
            <v:stroke dashstyle="solid"/>
            <w10:wrap type="none"/>
          </v:line>
        </w:pict>
      </w:r>
      <w:r>
        <w:rPr/>
        <w:pict>
          <v:line style="position:absolute;mso-position-horizontal-relative:page;mso-position-vertical-relative:paragraph;z-index:16015872" from="44.667pt,11.05155pt" to="39.667pt,11.05155pt" stroked="true" strokeweight=".5pt" strokecolor="#000000">
            <v:stroke dashstyle="solid"/>
            <w10:wrap type="none"/>
          </v:line>
        </w:pict>
      </w:r>
      <w:r>
        <w:rPr>
          <w:sz w:val="12"/>
        </w:rPr>
        <w:t>Percentage changes on a year earlier </w:t>
      </w:r>
      <w:r>
        <w:rPr>
          <w:spacing w:val="25"/>
          <w:sz w:val="12"/>
        </w:rPr>
        <w:t> </w:t>
      </w:r>
      <w:r>
        <w:rPr>
          <w:position w:val="-7"/>
          <w:sz w:val="12"/>
        </w:rPr>
        <w:t>6</w:t>
      </w:r>
    </w:p>
    <w:p>
      <w:pPr>
        <w:pStyle w:val="BodyText"/>
        <w:spacing w:before="10"/>
        <w:rPr>
          <w:sz w:val="20"/>
        </w:rPr>
      </w:pPr>
    </w:p>
    <w:p>
      <w:pPr>
        <w:spacing w:before="0"/>
        <w:ind w:left="0" w:right="110" w:firstLine="0"/>
        <w:jc w:val="right"/>
        <w:rPr>
          <w:sz w:val="12"/>
        </w:rPr>
      </w:pPr>
      <w:r>
        <w:rPr/>
        <w:pict>
          <v:group style="position:absolute;margin-left:39.667pt;margin-top:-2.95333pt;width:167pt;height:139.450pt;mso-position-horizontal-relative:page;mso-position-vertical-relative:paragraph;z-index:16014848" coordorigin="793,-59" coordsize="3340,2789">
            <v:shape style="position:absolute;left:4033;top:84;width:100;height:2260" coordorigin="4033,85" coordsize="100,2260" path="m4133,2345l4033,2345m4133,1965l4033,1965m4133,1585l4033,1585m4133,1205l4033,1205m4133,845l4033,845m4133,465l4033,465m4133,85l4033,85e" filled="false" stroked="true" strokeweight=".5pt" strokecolor="#000000">
              <v:path arrowok="t"/>
              <v:stroke dashstyle="solid"/>
            </v:shape>
            <v:shape style="position:absolute;left:973;top:64;width:3000;height:2200" coordorigin="973,65" coordsize="3000,2200" path="m973,65l1013,125,1033,225,1073,365,1093,405,1133,465,1173,365,1193,605,1233,825,1253,1025,1293,965,1313,965,1353,1025,1393,925,1413,905,1453,945,1473,1025,1513,945,1533,1025,1573,1085,1613,1085,1633,1005,1673,865,1693,785,1733,665,1773,585,1793,505,1833,465,1893,465,1913,385,1953,345,1993,365,2013,525,2053,705,2073,825,2113,905,2153,1125,2173,1245,2213,1245,2233,1165,2273,1205,2293,1285,2373,1205,2393,1165,2433,1145,2453,1025,2493,705,2533,625,2553,545,2593,505,2613,525,2693,365,2713,365,2753,385,2773,385,2813,465,2853,385,2873,705,2913,745,2933,785,2973,825,2993,945,3033,1105,3093,1285,3133,1265,3153,1325,3193,1285,3213,1485,3253,1605,3293,1745,3313,1905,3353,1965,3373,1925,3473,1925,3513,2005,3533,2005,3573,2045,3593,2045,3633,2105,3673,2045,3693,2005,3733,2045,3753,2085,3793,2045,3813,2005,3853,2085,3893,2185,3913,2225,3953,2265,3973,2265e" filled="false" stroked="true" strokeweight="1pt" strokecolor="#008256">
              <v:path arrowok="t"/>
              <v:stroke dashstyle="solid"/>
            </v:shape>
            <v:shape style="position:absolute;left:973;top:524;width:2980;height:2000" coordorigin="973,525" coordsize="2980,2000" path="m973,1025l1013,1165,1033,1285,1133,1285,1173,1305,1193,1485,1233,1685,1253,1925,1293,1925,1313,1885,1353,2085,1393,1865,1413,1705,1453,1705,1473,1625,1513,1565,1533,1625,1613,1665,1633,1685,1673,1745,1693,1725,1733,1645,1793,1765,1833,1725,1853,1805,1893,1925,1913,1885,1953,2005,1993,2025,2013,1985,2053,1965,2113,1905,2153,1845,2173,1845,2233,1825,2273,1685,2293,1585,2333,1365,2373,1325,2393,1265,2433,1085,2453,945,2493,785,2533,705,2553,645,2593,545,2613,525,2693,645,2713,745,2753,725,2773,845,2813,1045,2853,1145,2873,1485,2913,1625,2933,1685,2973,1785,2993,1885,3073,2045,3093,2045,3133,2025,3153,1925,3193,1905,3213,1885,3253,1785,3293,1785,3313,1825,3353,1785,3373,1785,3413,1745,3453,1725,3473,1665,3513,1665,3533,1725,3573,1745,3593,1825,3633,1965,3673,1985,3693,2025,3733,2085,3753,2085,3793,2105,3813,2125,3853,2265,3893,2365,3913,2445,3953,2525e" filled="false" stroked="true" strokeweight="1pt" strokecolor="#0066a5">
              <v:path arrowok="t"/>
              <v:stroke dashstyle="solid"/>
            </v:shape>
            <v:shape style="position:absolute;left:973;top:24;width:2940;height:2600" coordorigin="973,25" coordsize="2940,2600" path="m973,1185l1013,1265,1033,1385,1073,1365,1093,1365,1133,1325,1173,1265,1193,1465,1233,1605,1253,1845,1293,1745,1313,1745,1353,1905,1393,1725,1413,1565,1453,1565,1473,1505,1513,1505,1533,1625,1613,1745,1633,1765,1673,1785,1693,1745,1733,1725,1773,1785,1793,1805,1833,1805,1853,1845,1893,1865,1913,1785,1953,1725,1993,1765,2013,1685,2053,1705,2073,1665,2153,1545,2173,1565,2213,1545,2233,1485,2293,1365,2333,1265,2373,1145,2393,965,2433,785,2453,625,2493,445,2533,285,2553,165,2593,65,2613,25,2653,65,2693,145,2713,205,2753,265,2773,565,2813,825,2853,965,2873,1365,2913,1585,2933,1745,2973,1905,2993,2065,3033,2225,3073,2285,3093,2325,3133,2285,3153,2125,3193,2085,3213,2045,3253,1925,3293,1945,3353,1825,3373,1705,3413,1565,3433,1485,3473,1365,3513,1425,3533,1485,3573,1465,3593,1545,3633,1665,3673,1685,3693,1745,3733,1845,3753,1985,3793,2065,3813,2185,3853,2385,3893,2485,3913,2625e" filled="false" stroked="true" strokeweight="1pt" strokecolor="#df6f1d">
              <v:path arrowok="t"/>
              <v:stroke dashstyle="solid"/>
            </v:shape>
            <v:shape style="position:absolute;left:793;top:84;width:3340;height:2640" coordorigin="793,85" coordsize="3340,2640" path="m4133,2725l4033,2725m973,2725l3973,2725m973,2725l973,2685m1073,2725l1073,2685m1153,2725l1153,2685m1253,2725l1253,2685m1353,2725l1353,2685m1453,2725l1453,2685m1533,2725l1533,2685m1633,2725l1633,2685m1733,2725l1733,2685m1833,2725l1833,2685m1913,2725l1913,2685m2013,2725l2013,2685m2113,2725l2113,2685m2213,2725l2213,2685m2293,2725l2293,2685m2393,2725l2393,2685m2493,2725l2493,2685m2593,2725l2593,2685m2673,2725l2673,2685m2773,2725l2773,2685m2873,2725l2873,2685m2973,2725l2973,2685m3053,2725l3053,2685m3153,2725l3153,2685m3253,2725l3253,2685m3353,2725l3353,2685m3453,2725l3453,2685m3533,2725l3533,2685m3633,2725l3633,2685m3733,2725l3733,2685m3813,2725l3813,2685m3913,2725l3913,2685m973,2725l973,2625m1353,2725l1353,2625m1733,2725l1733,2625m2113,2725l2113,2625m2493,2725l2493,2625m2873,2725l2873,2625m3253,2725l3253,2625m3633,2725l3633,2625m893,2345l793,2345m893,2725l793,2725m893,1965l793,1965m893,1585l793,1585m893,1205l793,1205m893,845l793,845m893,465l793,465m893,85l793,85m3973,1965l973,1965e" filled="false" stroked="true" strokeweight=".5pt" strokecolor="#000000">
              <v:path arrowok="t"/>
              <v:stroke dashstyle="solid"/>
            </v:shape>
            <v:shape style="position:absolute;left:2690;top:-60;width:647;height:133" type="#_x0000_t202" filled="false" stroked="false">
              <v:textbox inset="0,0,0,0">
                <w:txbxContent>
                  <w:p>
                    <w:pPr>
                      <w:spacing w:line="133" w:lineRule="exact" w:before="0"/>
                      <w:ind w:left="0" w:right="0" w:firstLine="0"/>
                      <w:jc w:val="left"/>
                      <w:rPr>
                        <w:sz w:val="12"/>
                      </w:rPr>
                    </w:pPr>
                    <w:r>
                      <w:rPr>
                        <w:sz w:val="12"/>
                      </w:rPr>
                      <w:t>Euro area (a)</w:t>
                    </w:r>
                  </w:p>
                </w:txbxContent>
              </v:textbox>
              <w10:wrap type="none"/>
            </v:shape>
            <v:shape style="position:absolute;left:3030;top:807;width:830;height:133" type="#_x0000_t202" filled="false" stroked="false">
              <v:textbox inset="0,0,0,0">
                <w:txbxContent>
                  <w:p>
                    <w:pPr>
                      <w:spacing w:line="133" w:lineRule="exact" w:before="0"/>
                      <w:ind w:left="0" w:right="0" w:firstLine="0"/>
                      <w:jc w:val="left"/>
                      <w:rPr>
                        <w:sz w:val="12"/>
                      </w:rPr>
                    </w:pPr>
                    <w:r>
                      <w:rPr>
                        <w:sz w:val="12"/>
                      </w:rPr>
                      <w:t>United Kingdom</w:t>
                    </w:r>
                  </w:p>
                </w:txbxContent>
              </v:textbox>
              <w10:wrap type="none"/>
            </v:shape>
            <v:shape style="position:absolute;left:1376;top:2047;width:654;height:133" type="#_x0000_t202" filled="false" stroked="false">
              <v:textbox inset="0,0,0,0">
                <w:txbxContent>
                  <w:p>
                    <w:pPr>
                      <w:spacing w:line="133" w:lineRule="exact" w:before="0"/>
                      <w:ind w:left="0" w:right="0" w:firstLine="0"/>
                      <w:jc w:val="left"/>
                      <w:rPr>
                        <w:sz w:val="12"/>
                      </w:rPr>
                    </w:pPr>
                    <w:r>
                      <w:rPr>
                        <w:sz w:val="12"/>
                      </w:rPr>
                      <w:t>Major six (b)</w:t>
                    </w:r>
                  </w:p>
                </w:txbxContent>
              </v:textbox>
              <w10:wrap type="none"/>
            </v:shape>
            <w10:wrap type="none"/>
          </v:group>
        </w:pict>
      </w:r>
      <w:r>
        <w:rPr>
          <w:sz w:val="12"/>
        </w:rPr>
        <w:t>5</w:t>
      </w:r>
    </w:p>
    <w:p>
      <w:pPr>
        <w:pStyle w:val="BodyText"/>
        <w:rPr>
          <w:sz w:val="12"/>
        </w:rPr>
      </w:pPr>
    </w:p>
    <w:p>
      <w:pPr>
        <w:spacing w:before="101"/>
        <w:ind w:left="0" w:right="110" w:firstLine="0"/>
        <w:jc w:val="right"/>
        <w:rPr>
          <w:sz w:val="12"/>
        </w:rPr>
      </w:pPr>
      <w:r>
        <w:rPr>
          <w:sz w:val="12"/>
        </w:rPr>
        <w:t>4</w:t>
      </w:r>
    </w:p>
    <w:p>
      <w:pPr>
        <w:pStyle w:val="BodyText"/>
        <w:rPr>
          <w:sz w:val="12"/>
        </w:rPr>
      </w:pPr>
    </w:p>
    <w:p>
      <w:pPr>
        <w:spacing w:before="102"/>
        <w:ind w:left="0" w:right="110" w:firstLine="0"/>
        <w:jc w:val="right"/>
        <w:rPr>
          <w:sz w:val="12"/>
        </w:rPr>
      </w:pPr>
      <w:r>
        <w:rPr>
          <w:sz w:val="12"/>
        </w:rPr>
        <w:t>3</w:t>
      </w:r>
    </w:p>
    <w:p>
      <w:pPr>
        <w:pStyle w:val="BodyText"/>
        <w:rPr>
          <w:sz w:val="12"/>
        </w:rPr>
      </w:pPr>
    </w:p>
    <w:p>
      <w:pPr>
        <w:spacing w:before="101"/>
        <w:ind w:left="0" w:right="110" w:firstLine="0"/>
        <w:jc w:val="right"/>
        <w:rPr>
          <w:sz w:val="12"/>
        </w:rPr>
      </w:pPr>
      <w:r>
        <w:rPr>
          <w:sz w:val="12"/>
        </w:rPr>
        <w:t>2</w:t>
      </w:r>
    </w:p>
    <w:p>
      <w:pPr>
        <w:pStyle w:val="BodyText"/>
        <w:rPr>
          <w:sz w:val="12"/>
        </w:rPr>
      </w:pPr>
    </w:p>
    <w:p>
      <w:pPr>
        <w:spacing w:before="102"/>
        <w:ind w:left="0" w:right="110" w:firstLine="0"/>
        <w:jc w:val="right"/>
        <w:rPr>
          <w:sz w:val="12"/>
        </w:rPr>
      </w:pPr>
      <w:r>
        <w:rPr>
          <w:sz w:val="12"/>
        </w:rPr>
        <w:t>1</w:t>
      </w:r>
    </w:p>
    <w:p>
      <w:pPr>
        <w:spacing w:before="17"/>
        <w:ind w:left="3494" w:right="0" w:firstLine="0"/>
        <w:jc w:val="left"/>
        <w:rPr>
          <w:sz w:val="16"/>
        </w:rPr>
      </w:pPr>
      <w:r>
        <w:rPr>
          <w:sz w:val="16"/>
        </w:rPr>
        <w:t>+</w:t>
      </w:r>
    </w:p>
    <w:p>
      <w:pPr>
        <w:spacing w:line="114" w:lineRule="exact" w:before="38"/>
        <w:ind w:left="3583" w:right="0" w:firstLine="0"/>
        <w:jc w:val="left"/>
        <w:rPr>
          <w:sz w:val="12"/>
        </w:rPr>
      </w:pPr>
      <w:r>
        <w:rPr>
          <w:sz w:val="12"/>
        </w:rPr>
        <w:t>0</w:t>
      </w:r>
    </w:p>
    <w:p>
      <w:pPr>
        <w:spacing w:line="160" w:lineRule="exact" w:before="0"/>
        <w:ind w:left="3499" w:right="0" w:firstLine="0"/>
        <w:jc w:val="left"/>
        <w:rPr>
          <w:sz w:val="16"/>
        </w:rPr>
      </w:pPr>
      <w:r>
        <w:rPr>
          <w:sz w:val="16"/>
        </w:rPr>
        <w:t>_</w:t>
      </w:r>
    </w:p>
    <w:p>
      <w:pPr>
        <w:spacing w:before="103"/>
        <w:ind w:left="0" w:right="110" w:firstLine="0"/>
        <w:jc w:val="right"/>
        <w:rPr>
          <w:sz w:val="12"/>
        </w:rPr>
      </w:pPr>
      <w:r>
        <w:rPr>
          <w:sz w:val="12"/>
        </w:rPr>
        <w:t>1</w:t>
      </w:r>
    </w:p>
    <w:p>
      <w:pPr>
        <w:pStyle w:val="BodyText"/>
        <w:rPr>
          <w:sz w:val="12"/>
        </w:rPr>
      </w:pPr>
    </w:p>
    <w:p>
      <w:pPr>
        <w:spacing w:line="129" w:lineRule="exact" w:before="102"/>
        <w:ind w:left="3583" w:right="0" w:firstLine="0"/>
        <w:jc w:val="left"/>
        <w:rPr>
          <w:sz w:val="12"/>
        </w:rPr>
      </w:pPr>
      <w:r>
        <w:rPr>
          <w:sz w:val="12"/>
        </w:rPr>
        <w:t>2</w:t>
      </w:r>
    </w:p>
    <w:p>
      <w:pPr>
        <w:tabs>
          <w:tab w:pos="1203" w:val="left" w:leader="none"/>
          <w:tab w:pos="1583" w:val="left" w:leader="none"/>
          <w:tab w:pos="1983" w:val="left" w:leader="none"/>
          <w:tab w:pos="2343" w:val="left" w:leader="none"/>
          <w:tab w:pos="2723" w:val="left" w:leader="none"/>
          <w:tab w:pos="3103" w:val="left" w:leader="none"/>
        </w:tabs>
        <w:spacing w:line="129" w:lineRule="exact" w:before="0"/>
        <w:ind w:left="383" w:right="0" w:firstLine="0"/>
        <w:jc w:val="left"/>
        <w:rPr>
          <w:sz w:val="12"/>
        </w:rPr>
      </w:pPr>
      <w:r>
        <w:rPr>
          <w:sz w:val="12"/>
        </w:rPr>
        <w:t>1991     </w:t>
      </w:r>
      <w:r>
        <w:rPr>
          <w:spacing w:val="20"/>
          <w:sz w:val="12"/>
        </w:rPr>
        <w:t> </w:t>
      </w:r>
      <w:r>
        <w:rPr>
          <w:sz w:val="12"/>
        </w:rPr>
        <w:t>92</w:t>
        <w:tab/>
        <w:t>93</w:t>
        <w:tab/>
        <w:t>94</w:t>
        <w:tab/>
        <w:t>95</w:t>
        <w:tab/>
        <w:t>96</w:t>
        <w:tab/>
        <w:t>97</w:t>
        <w:tab/>
        <w:t>98</w:t>
      </w:r>
    </w:p>
    <w:p>
      <w:pPr>
        <w:pStyle w:val="BodyText"/>
        <w:spacing w:before="2"/>
        <w:rPr>
          <w:sz w:val="13"/>
        </w:rPr>
      </w:pPr>
    </w:p>
    <w:p>
      <w:pPr>
        <w:pStyle w:val="ListParagraph"/>
        <w:numPr>
          <w:ilvl w:val="0"/>
          <w:numId w:val="24"/>
        </w:numPr>
        <w:tabs>
          <w:tab w:pos="386" w:val="left" w:leader="none"/>
        </w:tabs>
        <w:spacing w:line="129" w:lineRule="exact" w:before="0" w:after="0"/>
        <w:ind w:left="385" w:right="0" w:hanging="241"/>
        <w:jc w:val="left"/>
        <w:rPr>
          <w:sz w:val="12"/>
        </w:rPr>
      </w:pPr>
      <w:r>
        <w:rPr>
          <w:sz w:val="12"/>
        </w:rPr>
        <w:t>The euro-area data are GDP-weighted.</w:t>
      </w:r>
    </w:p>
    <w:p>
      <w:pPr>
        <w:pStyle w:val="ListParagraph"/>
        <w:numPr>
          <w:ilvl w:val="0"/>
          <w:numId w:val="24"/>
        </w:numPr>
        <w:tabs>
          <w:tab w:pos="386" w:val="left" w:leader="none"/>
        </w:tabs>
        <w:spacing w:line="208" w:lineRule="auto" w:before="6" w:after="0"/>
        <w:ind w:left="385" w:right="79" w:hanging="240"/>
        <w:jc w:val="left"/>
        <w:rPr>
          <w:sz w:val="12"/>
        </w:rPr>
      </w:pPr>
      <w:r>
        <w:rPr>
          <w:sz w:val="12"/>
        </w:rPr>
        <w:t>The major six economies are the G7 excluding the United </w:t>
      </w:r>
      <w:r>
        <w:rPr>
          <w:spacing w:val="-3"/>
          <w:sz w:val="12"/>
        </w:rPr>
        <w:t>Kingdom. </w:t>
      </w:r>
      <w:r>
        <w:rPr>
          <w:sz w:val="12"/>
        </w:rPr>
        <w:t>Data are UK trade-weighted.</w:t>
      </w:r>
    </w:p>
    <w:p>
      <w:pPr>
        <w:pStyle w:val="Heading4"/>
        <w:spacing w:line="242" w:lineRule="auto" w:before="207"/>
        <w:ind w:left="145" w:right="302"/>
      </w:pPr>
      <w:r>
        <w:rPr/>
        <w:br w:type="column"/>
      </w:r>
      <w:r>
        <w:rPr/>
        <w:t>subdued. The MPC has revised down its projection for import prices in 1999, reflecting weaker prospects for world growth and lower world inflation.</w:t>
      </w:r>
    </w:p>
    <w:p>
      <w:pPr>
        <w:pStyle w:val="BodyText"/>
        <w:spacing w:before="10"/>
        <w:rPr>
          <w:sz w:val="24"/>
        </w:rPr>
      </w:pPr>
    </w:p>
    <w:p>
      <w:pPr>
        <w:pStyle w:val="ListParagraph"/>
        <w:numPr>
          <w:ilvl w:val="1"/>
          <w:numId w:val="23"/>
        </w:numPr>
        <w:tabs>
          <w:tab w:pos="1043" w:val="left" w:leader="none"/>
          <w:tab w:pos="1044" w:val="left" w:leader="none"/>
          <w:tab w:pos="5690" w:val="left" w:leader="none"/>
        </w:tabs>
        <w:spacing w:line="240" w:lineRule="auto" w:before="1" w:after="0"/>
        <w:ind w:left="1043" w:right="0" w:hanging="899"/>
        <w:jc w:val="left"/>
        <w:rPr>
          <w:b/>
          <w:sz w:val="28"/>
        </w:rPr>
      </w:pPr>
      <w:r>
        <w:rPr>
          <w:b/>
          <w:color w:val="009483"/>
          <w:sz w:val="28"/>
          <w:u w:val="thick" w:color="0093C1"/>
        </w:rPr>
        <w:t>Costs and prices in the service</w:t>
      </w:r>
      <w:r>
        <w:rPr>
          <w:b/>
          <w:color w:val="009483"/>
          <w:spacing w:val="-3"/>
          <w:sz w:val="28"/>
          <w:u w:val="thick" w:color="0093C1"/>
        </w:rPr>
        <w:t> </w:t>
      </w:r>
      <w:r>
        <w:rPr>
          <w:b/>
          <w:color w:val="009483"/>
          <w:sz w:val="28"/>
          <w:u w:val="thick" w:color="0093C1"/>
        </w:rPr>
        <w:t>sector</w:t>
        <w:tab/>
      </w:r>
    </w:p>
    <w:p>
      <w:pPr>
        <w:pStyle w:val="BodyText"/>
        <w:spacing w:before="10"/>
        <w:rPr>
          <w:b/>
          <w:sz w:val="23"/>
        </w:rPr>
      </w:pPr>
    </w:p>
    <w:p>
      <w:pPr>
        <w:spacing w:line="242" w:lineRule="auto" w:before="0"/>
        <w:ind w:left="145" w:right="194" w:firstLine="0"/>
        <w:jc w:val="left"/>
        <w:rPr>
          <w:sz w:val="24"/>
        </w:rPr>
      </w:pPr>
      <w:r>
        <w:rPr>
          <w:sz w:val="24"/>
        </w:rPr>
        <w:t>There are some signs that cost pressures in the service sector are easing. The Chartered Institute of Purchasing and Supply (C</w:t>
      </w:r>
      <w:r>
        <w:rPr>
          <w:sz w:val="20"/>
        </w:rPr>
        <w:t>IPS</w:t>
      </w:r>
      <w:r>
        <w:rPr>
          <w:sz w:val="24"/>
        </w:rPr>
        <w:t>) measure of the cost of all inputs fell from a peak of 58.8 in 1998 Q2 to 54 in Q4. Although above the neutral level of 50, which indicates no change in costs compared with the previous period, that was below the average for the series, which began in</w:t>
      </w:r>
    </w:p>
    <w:p>
      <w:pPr>
        <w:spacing w:before="9"/>
        <w:ind w:left="145" w:right="0" w:firstLine="0"/>
        <w:jc w:val="left"/>
        <w:rPr>
          <w:sz w:val="24"/>
        </w:rPr>
      </w:pPr>
      <w:r>
        <w:rPr>
          <w:sz w:val="24"/>
        </w:rPr>
        <w:t>July 1996.</w:t>
      </w:r>
    </w:p>
    <w:p>
      <w:pPr>
        <w:pStyle w:val="BodyText"/>
        <w:spacing w:before="11"/>
        <w:rPr>
          <w:sz w:val="29"/>
        </w:rPr>
      </w:pPr>
    </w:p>
    <w:p>
      <w:pPr>
        <w:spacing w:line="242" w:lineRule="auto" w:before="0"/>
        <w:ind w:left="145" w:right="194" w:firstLine="0"/>
        <w:jc w:val="left"/>
        <w:rPr>
          <w:sz w:val="24"/>
        </w:rPr>
      </w:pPr>
      <w:r>
        <w:rPr>
          <w:sz w:val="24"/>
        </w:rPr>
        <w:t>A measure of corporate services output inflation is being developed by the ONS. At present, it is experimental and only twelve series are published (a further 36 series will eventually be included in an aggregate index). Of the twelve published series, seven pointed to lower inflation in 1998 Q3 than in Q2, four pointed to higher inflation, and one showed no change. Survey data suggest that services output price inflation has eased since then. The C</w:t>
      </w:r>
      <w:r>
        <w:rPr>
          <w:sz w:val="20"/>
        </w:rPr>
        <w:t>IPS </w:t>
      </w:r>
      <w:r>
        <w:rPr>
          <w:sz w:val="24"/>
        </w:rPr>
        <w:t>survey index for average prices charged fell from</w:t>
      </w:r>
    </w:p>
    <w:p>
      <w:pPr>
        <w:spacing w:line="242" w:lineRule="auto" w:before="11"/>
        <w:ind w:left="145" w:right="261" w:firstLine="0"/>
        <w:jc w:val="left"/>
        <w:rPr>
          <w:sz w:val="24"/>
        </w:rPr>
      </w:pPr>
      <w:r>
        <w:rPr>
          <w:sz w:val="24"/>
        </w:rPr>
        <w:t>52.2 in 1998 Q1 to 47.8 in Q4; as that is below the neutral level of 50, it would be consistent with a fall in prices between the third and fourth quarters. And the index remained below 50 in January. But the BCC survey pointed to higher service sector inflation in 1998 Q4 than in Q3, because of the cost of overheads and pay settlements.</w:t>
      </w:r>
    </w:p>
    <w:p>
      <w:pPr>
        <w:pStyle w:val="BodyText"/>
        <w:spacing w:before="1"/>
        <w:rPr>
          <w:sz w:val="27"/>
        </w:rPr>
      </w:pPr>
    </w:p>
    <w:p>
      <w:pPr>
        <w:pStyle w:val="ListParagraph"/>
        <w:numPr>
          <w:ilvl w:val="1"/>
          <w:numId w:val="25"/>
        </w:numPr>
        <w:tabs>
          <w:tab w:pos="1303" w:val="left" w:leader="none"/>
          <w:tab w:pos="1304" w:val="left" w:leader="none"/>
          <w:tab w:pos="5690" w:val="left" w:leader="none"/>
        </w:tabs>
        <w:spacing w:line="240" w:lineRule="auto" w:before="0" w:after="0"/>
        <w:ind w:left="1303" w:right="0" w:hanging="1159"/>
        <w:jc w:val="left"/>
        <w:rPr>
          <w:b/>
          <w:color w:val="009483"/>
          <w:sz w:val="28"/>
        </w:rPr>
      </w:pPr>
      <w:r>
        <w:rPr>
          <w:b/>
          <w:color w:val="009483"/>
          <w:sz w:val="28"/>
          <w:u w:val="thick" w:color="0093C1"/>
        </w:rPr>
        <w:t>Costs and prices in manufacturing</w:t>
        <w:tab/>
      </w:r>
    </w:p>
    <w:p>
      <w:pPr>
        <w:pStyle w:val="BodyText"/>
        <w:spacing w:before="11"/>
        <w:rPr>
          <w:b/>
          <w:sz w:val="23"/>
        </w:rPr>
      </w:pPr>
    </w:p>
    <w:p>
      <w:pPr>
        <w:spacing w:line="242" w:lineRule="auto" w:before="0"/>
        <w:ind w:left="145" w:right="261" w:firstLine="0"/>
        <w:jc w:val="left"/>
        <w:rPr>
          <w:sz w:val="24"/>
        </w:rPr>
      </w:pPr>
      <w:r>
        <w:rPr>
          <w:sz w:val="24"/>
        </w:rPr>
        <w:t>Input prices continued to fall throughout the second half of 1998, and were 9.3% lower than a year earlier in 1998 Q4; excluding food, drink, tobacco and petroleum, prices were around 5% </w:t>
      </w:r>
      <w:r>
        <w:rPr>
          <w:spacing w:val="-4"/>
          <w:sz w:val="24"/>
        </w:rPr>
        <w:t>lower. </w:t>
      </w:r>
      <w:r>
        <w:rPr>
          <w:sz w:val="24"/>
        </w:rPr>
        <w:t>Output prices </w:t>
      </w:r>
      <w:r>
        <w:rPr>
          <w:spacing w:val="-3"/>
          <w:sz w:val="24"/>
        </w:rPr>
        <w:t>have </w:t>
      </w:r>
      <w:r>
        <w:rPr>
          <w:sz w:val="24"/>
        </w:rPr>
        <w:t>held up relative to input prices (see Chart 4.4). That probably reflects past increases in the cost of labour or bought-in services, which together account for around half of manufacturers’ total costs. But in 1998 Q4, all </w:t>
      </w:r>
      <w:r>
        <w:rPr>
          <w:spacing w:val="-3"/>
          <w:sz w:val="24"/>
        </w:rPr>
        <w:t>measures </w:t>
      </w:r>
      <w:r>
        <w:rPr>
          <w:sz w:val="24"/>
        </w:rPr>
        <w:t>of output prices were flat or lower than a year earlier.</w:t>
      </w:r>
      <w:r>
        <w:rPr>
          <w:position w:val="5"/>
          <w:sz w:val="16"/>
        </w:rPr>
        <w:t>(1) </w:t>
      </w:r>
      <w:r>
        <w:rPr>
          <w:sz w:val="24"/>
        </w:rPr>
        <w:t>Both the BCC and CBI survey measures pointed to a further decline in UK output prices. The latest available data for 1998 for other G7 countries and the euro area as</w:t>
      </w:r>
    </w:p>
    <w:p>
      <w:pPr>
        <w:spacing w:line="242" w:lineRule="auto" w:before="15"/>
        <w:ind w:left="145" w:right="0" w:firstLine="0"/>
        <w:jc w:val="left"/>
        <w:rPr>
          <w:sz w:val="24"/>
        </w:rPr>
      </w:pPr>
      <w:r>
        <w:rPr>
          <w:sz w:val="24"/>
        </w:rPr>
        <w:t>a whole also show producer prices falling (see Chart 4.5), which suggests further downward pressure on UK import</w:t>
      </w:r>
    </w:p>
    <w:p>
      <w:pPr>
        <w:pStyle w:val="BodyText"/>
        <w:spacing w:before="10"/>
        <w:rPr>
          <w:sz w:val="11"/>
        </w:rPr>
      </w:pPr>
    </w:p>
    <w:p>
      <w:pPr>
        <w:pStyle w:val="BodyText"/>
        <w:spacing w:line="20" w:lineRule="exact"/>
        <w:ind w:left="128"/>
        <w:rPr>
          <w:sz w:val="2"/>
        </w:rPr>
      </w:pPr>
      <w:r>
        <w:rPr>
          <w:sz w:val="2"/>
        </w:rPr>
        <w:pict>
          <v:group style="width:277.5pt;height:.15pt;mso-position-horizontal-relative:char;mso-position-vertical-relative:line" coordorigin="0,0" coordsize="5550,3">
            <v:line style="position:absolute" from="0,1" to="5550,1" stroked="true" strokeweight=".125pt" strokecolor="#000000">
              <v:stroke dashstyle="solid"/>
            </v:line>
          </v:group>
        </w:pict>
      </w:r>
      <w:r>
        <w:rPr>
          <w:sz w:val="2"/>
        </w:rPr>
      </w:r>
    </w:p>
    <w:p>
      <w:pPr>
        <w:spacing w:line="208" w:lineRule="auto" w:before="24"/>
        <w:ind w:left="385" w:right="799" w:hanging="240"/>
        <w:jc w:val="left"/>
        <w:rPr>
          <w:sz w:val="16"/>
        </w:rPr>
      </w:pPr>
      <w:r>
        <w:rPr>
          <w:sz w:val="16"/>
        </w:rPr>
        <w:t>(1) The ONS is to improve the Producer Price Index by changing the sample and raising the representation of small firms in the index. Significant changes are not expected until February 2001. Further details are set out in </w:t>
      </w:r>
      <w:r>
        <w:rPr>
          <w:i/>
          <w:sz w:val="16"/>
        </w:rPr>
        <w:t>Economic Trends, </w:t>
      </w:r>
      <w:r>
        <w:rPr>
          <w:sz w:val="16"/>
        </w:rPr>
        <w:t>December 1998.</w:t>
      </w:r>
    </w:p>
    <w:p>
      <w:pPr>
        <w:spacing w:after="0" w:line="208" w:lineRule="auto"/>
        <w:jc w:val="left"/>
        <w:rPr>
          <w:sz w:val="16"/>
        </w:rPr>
        <w:sectPr>
          <w:type w:val="continuous"/>
          <w:pgSz w:w="11900" w:h="16840"/>
          <w:pgMar w:top="1220" w:bottom="280" w:left="640" w:right="600"/>
          <w:cols w:num="2" w:equalWidth="0">
            <w:col w:w="3756" w:space="1038"/>
            <w:col w:w="5866"/>
          </w:cols>
        </w:sectPr>
      </w:pPr>
    </w:p>
    <w:p>
      <w:pPr>
        <w:pStyle w:val="BodyText"/>
        <w:rPr>
          <w:sz w:val="20"/>
        </w:rPr>
      </w:pPr>
    </w:p>
    <w:p>
      <w:pPr>
        <w:spacing w:after="0"/>
        <w:rPr>
          <w:sz w:val="20"/>
        </w:rPr>
        <w:sectPr>
          <w:pgSz w:w="11900" w:h="16840"/>
          <w:pgMar w:header="586" w:footer="597" w:top="780" w:bottom="780" w:left="640" w:right="600"/>
        </w:sectPr>
      </w:pPr>
    </w:p>
    <w:p>
      <w:pPr>
        <w:pStyle w:val="BodyText"/>
        <w:rPr>
          <w:sz w:val="22"/>
        </w:rPr>
      </w:pPr>
    </w:p>
    <w:p>
      <w:pPr>
        <w:pStyle w:val="BodyText"/>
        <w:rPr>
          <w:sz w:val="22"/>
        </w:rPr>
      </w:pPr>
    </w:p>
    <w:p>
      <w:pPr>
        <w:pStyle w:val="BodyText"/>
        <w:spacing w:before="11"/>
        <w:rPr>
          <w:sz w:val="19"/>
        </w:rPr>
      </w:pPr>
    </w:p>
    <w:p>
      <w:pPr>
        <w:pStyle w:val="Heading7"/>
        <w:spacing w:line="249" w:lineRule="auto" w:before="0"/>
        <w:ind w:right="20"/>
        <w:rPr>
          <w:b w:val="0"/>
          <w:sz w:val="12"/>
        </w:rPr>
      </w:pPr>
      <w:bookmarkStart w:name="Retail prices" w:id="66"/>
      <w:bookmarkEnd w:id="66"/>
      <w:r>
        <w:rPr>
          <w:b w:val="0"/>
        </w:rPr>
      </w:r>
      <w:bookmarkStart w:name="_bookmark25" w:id="67"/>
      <w:bookmarkEnd w:id="67"/>
      <w:r>
        <w:rPr>
          <w:b w:val="0"/>
        </w:rPr>
      </w:r>
      <w:r>
        <w:rPr>
          <w:color w:val="0093C1"/>
        </w:rPr>
        <w:t>Chart 4.6 Inflation</w:t>
      </w:r>
      <w:r>
        <w:rPr>
          <w:b w:val="0"/>
          <w:position w:val="4"/>
          <w:sz w:val="12"/>
        </w:rPr>
        <w:t>(a)</w:t>
      </w:r>
    </w:p>
    <w:p>
      <w:pPr>
        <w:pStyle w:val="BodyText"/>
        <w:spacing w:before="2" w:after="39"/>
        <w:rPr>
          <w:sz w:val="15"/>
        </w:rPr>
      </w:pPr>
    </w:p>
    <w:p>
      <w:pPr>
        <w:pStyle w:val="BodyText"/>
        <w:spacing w:line="20" w:lineRule="exact"/>
        <w:ind w:left="165"/>
        <w:rPr>
          <w:sz w:val="2"/>
        </w:rPr>
      </w:pPr>
      <w:r>
        <w:rPr>
          <w:sz w:val="2"/>
        </w:rPr>
        <w:pict>
          <v:group style="width:5pt;height:.5pt;mso-position-horizontal-relative:char;mso-position-vertical-relative:line" coordorigin="0,0" coordsize="100,10">
            <v:line style="position:absolute" from="100,5" to="0,5" stroked="true" strokeweight=".5pt" strokecolor="#000000">
              <v:stroke dashstyle="solid"/>
            </v:line>
          </v:group>
        </w:pict>
      </w:r>
      <w:r>
        <w:rPr>
          <w:sz w:val="2"/>
        </w:rPr>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9"/>
        <w:rPr>
          <w:sz w:val="28"/>
        </w:rPr>
      </w:pPr>
      <w:r>
        <w:rPr/>
        <w:pict>
          <v:shape style="position:absolute;margin-left:40.5pt;margin-top:18.756836pt;width:5pt;height:.1pt;mso-position-horizontal-relative:page;mso-position-vertical-relative:paragraph;z-index:-15440384;mso-wrap-distance-left:0;mso-wrap-distance-right:0" coordorigin="810,375" coordsize="100,0" path="m910,375l810,375e" filled="false" stroked="true" strokeweight=".5pt" strokecolor="#000000">
            <v:path arrowok="t"/>
            <v:stroke dashstyle="solid"/>
            <w10:wrap type="topAndBottom"/>
          </v:shape>
        </w:pict>
      </w:r>
      <w:r>
        <w:rPr/>
        <w:pict>
          <v:shape style="position:absolute;margin-left:40.5pt;margin-top:34.756836pt;width:5pt;height:.1pt;mso-position-horizontal-relative:page;mso-position-vertical-relative:paragraph;z-index:-15439872;mso-wrap-distance-left:0;mso-wrap-distance-right:0" coordorigin="810,695" coordsize="100,0" path="m910,695l810,695e" filled="false" stroked="true" strokeweight=".5pt" strokecolor="#000000">
            <v:path arrowok="t"/>
            <v:stroke dashstyle="solid"/>
            <w10:wrap type="topAndBottom"/>
          </v:shape>
        </w:pict>
      </w:r>
      <w:r>
        <w:rPr/>
        <w:pict>
          <v:shape style="position:absolute;margin-left:40.5pt;margin-top:51.756836pt;width:5pt;height:.1pt;mso-position-horizontal-relative:page;mso-position-vertical-relative:paragraph;z-index:-15439360;mso-wrap-distance-left:0;mso-wrap-distance-right:0" coordorigin="810,1035" coordsize="100,0" path="m910,1035l810,1035e" filled="false" stroked="true" strokeweight=".5pt" strokecolor="#000000">
            <v:path arrowok="t"/>
            <v:stroke dashstyle="solid"/>
            <w10:wrap type="topAndBottom"/>
          </v:shape>
        </w:pict>
      </w:r>
    </w:p>
    <w:p>
      <w:pPr>
        <w:pStyle w:val="BodyText"/>
        <w:rPr>
          <w:sz w:val="21"/>
        </w:rPr>
      </w:pPr>
    </w:p>
    <w:p>
      <w:pPr>
        <w:pStyle w:val="BodyText"/>
        <w:spacing w:before="9"/>
        <w:rPr>
          <w:sz w:val="22"/>
        </w:rPr>
      </w:pPr>
    </w:p>
    <w:p>
      <w:pPr>
        <w:pStyle w:val="BodyText"/>
        <w:rPr>
          <w:sz w:val="20"/>
        </w:rPr>
      </w:pPr>
      <w:r>
        <w:rPr/>
        <w:br w:type="column"/>
      </w:r>
      <w:r>
        <w:rPr>
          <w:sz w:val="20"/>
        </w:rPr>
      </w:r>
    </w:p>
    <w:p>
      <w:pPr>
        <w:pStyle w:val="BodyText"/>
        <w:rPr>
          <w:sz w:val="20"/>
        </w:rPr>
      </w:pPr>
    </w:p>
    <w:p>
      <w:pPr>
        <w:pStyle w:val="BodyText"/>
        <w:rPr>
          <w:sz w:val="20"/>
        </w:rPr>
      </w:pPr>
    </w:p>
    <w:p>
      <w:pPr>
        <w:pStyle w:val="BodyText"/>
        <w:rPr>
          <w:sz w:val="20"/>
        </w:rPr>
      </w:pPr>
    </w:p>
    <w:p>
      <w:pPr>
        <w:pStyle w:val="BodyText"/>
        <w:rPr>
          <w:sz w:val="20"/>
        </w:rPr>
      </w:pPr>
    </w:p>
    <w:p>
      <w:pPr>
        <w:spacing w:before="134"/>
        <w:ind w:left="180" w:right="0" w:firstLine="0"/>
        <w:jc w:val="left"/>
        <w:rPr>
          <w:sz w:val="12"/>
        </w:rPr>
      </w:pPr>
      <w:r>
        <w:rPr>
          <w:sz w:val="12"/>
        </w:rPr>
        <w:t>Percentage changes on a year earlier </w:t>
      </w:r>
      <w:r>
        <w:rPr>
          <w:spacing w:val="4"/>
          <w:sz w:val="12"/>
        </w:rPr>
        <w:t> </w:t>
      </w:r>
      <w:r>
        <w:rPr>
          <w:position w:val="-6"/>
          <w:sz w:val="12"/>
        </w:rPr>
        <w:t>4.5</w:t>
      </w:r>
    </w:p>
    <w:p>
      <w:pPr>
        <w:pStyle w:val="BodyText"/>
        <w:spacing w:before="1"/>
        <w:rPr>
          <w:sz w:val="16"/>
        </w:rPr>
      </w:pPr>
    </w:p>
    <w:p>
      <w:pPr>
        <w:spacing w:before="0"/>
        <w:ind w:left="0" w:right="38" w:firstLine="0"/>
        <w:jc w:val="right"/>
        <w:rPr>
          <w:sz w:val="12"/>
        </w:rPr>
      </w:pPr>
      <w:r>
        <w:rPr/>
        <w:pict>
          <v:group style="position:absolute;margin-left:40.5pt;margin-top:-3.731448pt;width:166pt;height:83pt;mso-position-horizontal-relative:page;mso-position-vertical-relative:paragraph;z-index:16032768" coordorigin="810,-75" coordsize="3320,1660">
            <v:shape style="position:absolute;left:810;top:75;width:100;height:1340" coordorigin="810,75" coordsize="100,1340" path="m910,1415l810,1415m910,1075l810,1075m910,755l810,755m910,415l810,415m910,75l810,75e" filled="false" stroked="true" strokeweight=".5pt" strokecolor="#000000">
              <v:path arrowok="t"/>
              <v:stroke dashstyle="solid"/>
            </v:shape>
            <v:shape style="position:absolute;left:970;top:-65;width:3020;height:1400" coordorigin="970,-65" coordsize="3020,1400" path="m970,535l1030,495,1110,415,1170,535,1230,495,1290,395,1350,395,1430,355,1490,175,1550,635,1610,675,1670,595,1750,835,1810,935,1870,935,1930,1135,1990,1275,2070,1335,2130,1275,2190,1335,2250,1335,2310,975,2390,915,2450,1115,2510,895,2570,935,2650,1035,2710,1135,2770,1015,2830,795,2890,515,2950,395,3030,375,3090,275,3150,275,3210,335,3270,535,3350,475,3410,435,3470,55,3530,-65,3590,255,3670,415,3730,555,3790,615,3850,655,3910,755,3990,915e" filled="false" stroked="true" strokeweight="1pt" strokecolor="#0099d8">
              <v:path arrowok="t"/>
              <v:stroke dashstyle="solid"/>
            </v:shape>
            <v:shape style="position:absolute;left:970;top:555;width:3020;height:540" coordorigin="970,555" coordsize="3020,540" path="m970,915l1030,975,1110,875,1170,995,1230,955,1290,855,1350,895,1430,815,1490,675,1550,815,1610,815,1670,775,1750,875,1870,795,1930,815,1990,915,2070,915,2130,855,2190,875,2250,775,2310,555,2390,555,2450,695,2510,695,2570,835,2650,975,2710,1075,2770,1095,2830,955,2890,775,2950,875,3030,915,3090,895,3150,895,3210,975,3270,1095,3350,1035,3410,1035,3470,775,3530,615,3590,875,3670,995,3730,1055,3910,1055,3990,1035e" filled="false" stroked="true" strokeweight="1pt" strokecolor="#ed1b2d">
              <v:path arrowok="t"/>
              <v:stroke dashstyle="solid"/>
            </v:shape>
            <v:shape style="position:absolute;left:970;top:735;width:3020;height:840" coordorigin="970,735" coordsize="3020,840" path="m970,1515l1030,1555,1110,1475,1170,1375,1230,1295,1290,1255,1350,1235,1430,1095,1490,1015,1550,1155,1610,1155,1670,1115,1750,1095,1810,1075,1870,1035,1930,1035,1990,1175,2070,1195,2190,1155,2250,1055,2310,775,2390,735,2450,955,2510,915,2570,1055,2650,1215,2710,1435,2770,1455,2830,1275,2890,1255,2950,1355,3030,1415,3090,1275,3150,1315,3210,1275,3270,1495,3350,1375,3410,1375,3470,1295,3530,1075,3590,1395,3670,1335,3730,1335,3790,1395,3850,1535,3910,1575,3990,1435e" filled="false" stroked="true" strokeweight="1pt" strokecolor="#edc5dd">
              <v:path arrowok="t"/>
              <v:stroke dashstyle="solid"/>
            </v:shape>
            <v:shape style="position:absolute;left:4030;top:75;width:100;height:1340" coordorigin="4030,75" coordsize="100,1340" path="m4130,1415l4030,1415m4130,1075l4030,1075m4130,755l4030,755m4130,415l4030,415m4130,75l4030,75e" filled="false" stroked="true" strokeweight=".5pt" strokecolor="#000000">
              <v:path arrowok="t"/>
              <v:stroke dashstyle="solid"/>
            </v:shape>
            <v:shape style="position:absolute;left:3066;top:111;width:207;height:133" type="#_x0000_t202" filled="false" stroked="false">
              <v:textbox inset="0,0,0,0">
                <w:txbxContent>
                  <w:p>
                    <w:pPr>
                      <w:spacing w:line="133" w:lineRule="exact" w:before="0"/>
                      <w:ind w:left="0" w:right="0" w:firstLine="0"/>
                      <w:jc w:val="left"/>
                      <w:rPr>
                        <w:sz w:val="12"/>
                      </w:rPr>
                    </w:pPr>
                    <w:r>
                      <w:rPr>
                        <w:sz w:val="12"/>
                      </w:rPr>
                      <w:t>RPI</w:t>
                    </w:r>
                  </w:p>
                </w:txbxContent>
              </v:textbox>
              <w10:wrap type="none"/>
            </v:shape>
            <v:shape style="position:absolute;left:3080;top:731;width:294;height:133" type="#_x0000_t202" filled="false" stroked="false">
              <v:textbox inset="0,0,0,0">
                <w:txbxContent>
                  <w:p>
                    <w:pPr>
                      <w:spacing w:line="133" w:lineRule="exact" w:before="0"/>
                      <w:ind w:left="0" w:right="0" w:firstLine="0"/>
                      <w:jc w:val="left"/>
                      <w:rPr>
                        <w:sz w:val="12"/>
                      </w:rPr>
                    </w:pPr>
                    <w:r>
                      <w:rPr>
                        <w:sz w:val="12"/>
                      </w:rPr>
                      <w:t>RPIX</w:t>
                    </w:r>
                  </w:p>
                </w:txbxContent>
              </v:textbox>
              <w10:wrap type="none"/>
            </v:shape>
            <v:shape style="position:absolute;left:2860;top:1438;width:294;height:133" type="#_x0000_t202" filled="false" stroked="false">
              <v:textbox inset="0,0,0,0">
                <w:txbxContent>
                  <w:p>
                    <w:pPr>
                      <w:spacing w:line="133" w:lineRule="exact" w:before="0"/>
                      <w:ind w:left="0" w:right="0" w:firstLine="0"/>
                      <w:jc w:val="left"/>
                      <w:rPr>
                        <w:sz w:val="12"/>
                      </w:rPr>
                    </w:pPr>
                    <w:r>
                      <w:rPr>
                        <w:sz w:val="12"/>
                      </w:rPr>
                      <w:t>RPIY</w:t>
                    </w:r>
                  </w:p>
                </w:txbxContent>
              </v:textbox>
              <w10:wrap type="none"/>
            </v:shape>
            <w10:wrap type="none"/>
          </v:group>
        </w:pict>
      </w:r>
      <w:r>
        <w:rPr/>
        <w:pict>
          <v:line style="position:absolute;mso-position-horizontal-relative:page;mso-position-vertical-relative:paragraph;z-index:-20983296" from="206.5pt,-12.231448pt" to="201.5pt,-12.231448pt" stroked="true" strokeweight=".5pt" strokecolor="#000000">
            <v:stroke dashstyle="solid"/>
            <w10:wrap type="none"/>
          </v:line>
        </w:pict>
      </w:r>
      <w:r>
        <w:rPr>
          <w:sz w:val="12"/>
        </w:rPr>
        <w:t>4.0</w:t>
      </w:r>
    </w:p>
    <w:p>
      <w:pPr>
        <w:pStyle w:val="BodyText"/>
        <w:spacing w:before="6"/>
        <w:rPr>
          <w:sz w:val="17"/>
        </w:rPr>
      </w:pPr>
    </w:p>
    <w:p>
      <w:pPr>
        <w:spacing w:before="0"/>
        <w:ind w:left="0" w:right="38" w:firstLine="0"/>
        <w:jc w:val="right"/>
        <w:rPr>
          <w:sz w:val="12"/>
        </w:rPr>
      </w:pPr>
      <w:r>
        <w:rPr>
          <w:sz w:val="12"/>
        </w:rPr>
        <w:t>3.5</w:t>
      </w:r>
    </w:p>
    <w:p>
      <w:pPr>
        <w:pStyle w:val="BodyText"/>
        <w:spacing w:before="7"/>
        <w:rPr>
          <w:sz w:val="17"/>
        </w:rPr>
      </w:pPr>
    </w:p>
    <w:p>
      <w:pPr>
        <w:spacing w:before="0"/>
        <w:ind w:left="0" w:right="38" w:firstLine="0"/>
        <w:jc w:val="right"/>
        <w:rPr>
          <w:sz w:val="12"/>
        </w:rPr>
      </w:pPr>
      <w:r>
        <w:rPr>
          <w:sz w:val="12"/>
        </w:rPr>
        <w:t>3.0</w:t>
      </w:r>
    </w:p>
    <w:p>
      <w:pPr>
        <w:pStyle w:val="BodyText"/>
        <w:spacing w:before="9"/>
        <w:rPr>
          <w:sz w:val="15"/>
        </w:rPr>
      </w:pPr>
    </w:p>
    <w:p>
      <w:pPr>
        <w:spacing w:before="0"/>
        <w:ind w:left="0" w:right="38" w:firstLine="0"/>
        <w:jc w:val="right"/>
        <w:rPr>
          <w:sz w:val="12"/>
        </w:rPr>
      </w:pPr>
      <w:r>
        <w:rPr>
          <w:sz w:val="12"/>
        </w:rPr>
        <w:t>2.5</w:t>
      </w:r>
    </w:p>
    <w:p>
      <w:pPr>
        <w:pStyle w:val="BodyText"/>
        <w:spacing w:before="7"/>
        <w:rPr>
          <w:sz w:val="17"/>
        </w:rPr>
      </w:pPr>
    </w:p>
    <w:p>
      <w:pPr>
        <w:spacing w:before="0"/>
        <w:ind w:left="0" w:right="38" w:firstLine="0"/>
        <w:jc w:val="right"/>
        <w:rPr>
          <w:sz w:val="12"/>
        </w:rPr>
      </w:pPr>
      <w:r>
        <w:rPr>
          <w:sz w:val="12"/>
        </w:rPr>
        <w:t>2.0</w:t>
      </w:r>
    </w:p>
    <w:p>
      <w:pPr>
        <w:pStyle w:val="BodyText"/>
        <w:spacing w:before="6"/>
        <w:rPr>
          <w:sz w:val="17"/>
        </w:rPr>
      </w:pPr>
    </w:p>
    <w:p>
      <w:pPr>
        <w:spacing w:before="1"/>
        <w:ind w:left="0" w:right="38" w:firstLine="0"/>
        <w:jc w:val="right"/>
        <w:rPr>
          <w:sz w:val="12"/>
        </w:rPr>
      </w:pPr>
      <w:r>
        <w:rPr/>
        <w:pict>
          <v:line style="position:absolute;mso-position-horizontal-relative:page;mso-position-vertical-relative:paragraph;z-index:16034304" from="206.5pt,3.818552pt" to="201.5pt,3.818552pt" stroked="true" strokeweight=".5pt" strokecolor="#000000">
            <v:stroke dashstyle="solid"/>
            <w10:wrap type="none"/>
          </v:line>
        </w:pict>
      </w:r>
      <w:r>
        <w:rPr>
          <w:sz w:val="12"/>
        </w:rPr>
        <w:t>1.5</w:t>
      </w:r>
    </w:p>
    <w:p>
      <w:pPr>
        <w:pStyle w:val="BodyText"/>
        <w:spacing w:before="9"/>
        <w:rPr>
          <w:sz w:val="15"/>
        </w:rPr>
      </w:pPr>
    </w:p>
    <w:p>
      <w:pPr>
        <w:spacing w:before="0"/>
        <w:ind w:left="0" w:right="38" w:firstLine="0"/>
        <w:jc w:val="right"/>
        <w:rPr>
          <w:sz w:val="12"/>
        </w:rPr>
      </w:pPr>
      <w:r>
        <w:rPr/>
        <w:pict>
          <v:line style="position:absolute;mso-position-horizontal-relative:page;mso-position-vertical-relative:paragraph;z-index:16033792" from="206.5pt,3.768552pt" to="201.5pt,3.768552pt" stroked="true" strokeweight=".5pt" strokecolor="#000000">
            <v:stroke dashstyle="solid"/>
            <w10:wrap type="none"/>
          </v:line>
        </w:pict>
      </w:r>
      <w:r>
        <w:rPr>
          <w:sz w:val="12"/>
        </w:rPr>
        <w:t>1.0</w:t>
      </w:r>
    </w:p>
    <w:p>
      <w:pPr>
        <w:pStyle w:val="BodyText"/>
        <w:spacing w:before="6"/>
        <w:rPr>
          <w:sz w:val="17"/>
        </w:rPr>
      </w:pPr>
    </w:p>
    <w:p>
      <w:pPr>
        <w:spacing w:before="1"/>
        <w:ind w:left="0" w:right="38" w:firstLine="0"/>
        <w:jc w:val="right"/>
        <w:rPr>
          <w:sz w:val="12"/>
        </w:rPr>
      </w:pPr>
      <w:r>
        <w:rPr/>
        <w:pict>
          <v:line style="position:absolute;mso-position-horizontal-relative:page;mso-position-vertical-relative:paragraph;z-index:16033280" from="206.5pt,3.818552pt" to="201.5pt,3.818552pt" stroked="true" strokeweight=".5pt" strokecolor="#000000">
            <v:stroke dashstyle="solid"/>
            <w10:wrap type="none"/>
          </v:line>
        </w:pict>
      </w:r>
      <w:r>
        <w:rPr>
          <w:sz w:val="12"/>
        </w:rPr>
        <w:t>0.5</w:t>
      </w:r>
    </w:p>
    <w:p>
      <w:pPr>
        <w:pStyle w:val="BodyText"/>
        <w:spacing w:before="6"/>
        <w:rPr>
          <w:sz w:val="17"/>
        </w:rPr>
      </w:pPr>
    </w:p>
    <w:p>
      <w:pPr>
        <w:spacing w:line="98" w:lineRule="exact" w:before="0"/>
        <w:ind w:left="0" w:right="38" w:firstLine="0"/>
        <w:jc w:val="right"/>
        <w:rPr>
          <w:sz w:val="12"/>
        </w:rPr>
      </w:pPr>
      <w:r>
        <w:rPr/>
        <w:pict>
          <v:shape style="position:absolute;margin-left:40.5pt;margin-top:-1.231448pt;width:166pt;height:5pt;mso-position-horizontal-relative:page;mso-position-vertical-relative:paragraph;z-index:16030720" coordorigin="810,-25" coordsize="3320,100" path="m3270,75l3270,-25m2510,75l2510,-25m1750,75l1750,-25m970,75l970,-25m910,75l810,75m4130,75l4030,75m970,75l3990,75m1035,75l1035,35m1100,75l1100,35m1165,75l1165,35m1230,75l1230,35m1295,75l1295,35m1360,75l1360,35m1425,75l1425,35m1490,75l1490,35m1555,75l1555,35m1620,75l1620,35m1685,75l1685,35m1813,75l1813,35m1877,75l1877,35m1940,75l1940,35m2003,75l2003,35m2067,75l2067,35m2130,75l2130,35m2193,75l2193,35m2257,75l2257,35m2320,75l2320,35m2383,75l2383,35m2447,75l2447,35m2573,75l2573,35m2637,75l2637,35m2700,75l2700,35m2763,75l2763,35m2827,75l2827,35m2890,75l2890,35m2953,75l2953,35m3017,75l3017,35m3080,75l3080,35m3143,75l3143,35m3207,75l3207,35m3335,75l3335,35m3401,75l3401,35m3466,75l3466,35m3532,75l3532,35m3597,75l3597,35m3663,75l3663,35m3728,75l3728,35m3794,75l3794,35m3859,75l3859,35m3925,75l3925,35m3990,75l3990,35e" filled="false" stroked="true" strokeweight=".5pt" strokecolor="#000000">
            <v:path arrowok="t"/>
            <v:stroke dashstyle="solid"/>
            <w10:wrap type="none"/>
          </v:shape>
        </w:pict>
      </w:r>
      <w:r>
        <w:rPr>
          <w:sz w:val="12"/>
        </w:rPr>
        <w:t>0.0</w:t>
      </w:r>
    </w:p>
    <w:p>
      <w:pPr>
        <w:pStyle w:val="Heading4"/>
        <w:spacing w:line="242" w:lineRule="auto" w:before="217"/>
        <w:ind w:left="180" w:right="308"/>
      </w:pPr>
      <w:r>
        <w:rPr/>
        <w:br w:type="column"/>
      </w:r>
      <w:r>
        <w:rPr/>
        <w:t>prices as recent reductions in global producer prices are passed on.</w:t>
      </w:r>
    </w:p>
    <w:p>
      <w:pPr>
        <w:pStyle w:val="BodyText"/>
        <w:spacing w:before="6"/>
        <w:rPr>
          <w:sz w:val="26"/>
        </w:rPr>
      </w:pPr>
    </w:p>
    <w:p>
      <w:pPr>
        <w:pStyle w:val="ListParagraph"/>
        <w:numPr>
          <w:ilvl w:val="1"/>
          <w:numId w:val="25"/>
        </w:numPr>
        <w:tabs>
          <w:tab w:pos="3959" w:val="left" w:leader="none"/>
          <w:tab w:pos="3960" w:val="left" w:leader="none"/>
        </w:tabs>
        <w:spacing w:line="240" w:lineRule="auto" w:before="0" w:after="0"/>
        <w:ind w:left="3959" w:right="0" w:hanging="3780"/>
        <w:jc w:val="left"/>
        <w:rPr>
          <w:b/>
          <w:color w:val="009483"/>
          <w:sz w:val="28"/>
        </w:rPr>
      </w:pPr>
      <w:r>
        <w:rPr>
          <w:b/>
          <w:color w:val="009483"/>
          <w:sz w:val="28"/>
        </w:rPr>
        <w:t>Retail prices</w:t>
      </w:r>
    </w:p>
    <w:p>
      <w:pPr>
        <w:pStyle w:val="BodyText"/>
        <w:spacing w:line="40" w:lineRule="exact"/>
        <w:ind w:left="160"/>
        <w:rPr>
          <w:sz w:val="4"/>
        </w:rPr>
      </w:pPr>
      <w:r>
        <w:rPr>
          <w:position w:val="0"/>
          <w:sz w:val="4"/>
        </w:rPr>
        <w:pict>
          <v:group style="width:273.25pt;height:2pt;mso-position-horizontal-relative:char;mso-position-vertical-relative:line" coordorigin="0,0" coordsize="5465,40">
            <v:line style="position:absolute" from="0,20" to="5465,20" stroked="true" strokeweight="2pt" strokecolor="#0093c1">
              <v:stroke dashstyle="solid"/>
            </v:line>
          </v:group>
        </w:pict>
      </w:r>
      <w:r>
        <w:rPr>
          <w:position w:val="0"/>
          <w:sz w:val="4"/>
        </w:rPr>
      </w:r>
    </w:p>
    <w:p>
      <w:pPr>
        <w:spacing w:line="242" w:lineRule="auto" w:before="236"/>
        <w:ind w:left="180" w:right="320" w:firstLine="0"/>
        <w:jc w:val="left"/>
        <w:rPr>
          <w:sz w:val="24"/>
        </w:rPr>
      </w:pPr>
      <w:r>
        <w:rPr>
          <w:sz w:val="24"/>
        </w:rPr>
        <w:t>Annual inflation in retail prices excluding mortgage interest payments (RPIX) was close to target at 2.6% in December, following four months when inflation had been exactly at the target rate of 2.5%. RPIY, which also excludes indirect and local authorities’ taxes, rose to 2.0%. The headline RPI inflation rate fell to 2.8% (see Chart 4.6).</w:t>
      </w:r>
    </w:p>
    <w:p>
      <w:pPr>
        <w:pStyle w:val="BodyText"/>
        <w:spacing w:before="1"/>
        <w:rPr>
          <w:sz w:val="25"/>
        </w:rPr>
      </w:pPr>
    </w:p>
    <w:p>
      <w:pPr>
        <w:spacing w:line="242" w:lineRule="auto" w:before="0"/>
        <w:ind w:left="180" w:right="328" w:firstLine="0"/>
        <w:jc w:val="left"/>
        <w:rPr>
          <w:sz w:val="24"/>
        </w:rPr>
      </w:pPr>
      <w:r>
        <w:rPr>
          <w:sz w:val="24"/>
        </w:rPr>
        <w:t>The small increase in RPIX inflation in December was the result of a sharp rise in seasonal food prices, caused</w:t>
      </w:r>
    </w:p>
    <w:p>
      <w:pPr>
        <w:spacing w:after="0" w:line="242" w:lineRule="auto"/>
        <w:jc w:val="left"/>
        <w:rPr>
          <w:sz w:val="24"/>
        </w:rPr>
        <w:sectPr>
          <w:type w:val="continuous"/>
          <w:pgSz w:w="11900" w:h="16840"/>
          <w:pgMar w:top="1220" w:bottom="280" w:left="640" w:right="600"/>
          <w:cols w:num="3" w:equalWidth="0">
            <w:col w:w="1098" w:space="455"/>
            <w:col w:w="2184" w:space="1070"/>
            <w:col w:w="5853"/>
          </w:cols>
        </w:sectPr>
      </w:pPr>
    </w:p>
    <w:p>
      <w:pPr>
        <w:tabs>
          <w:tab w:pos="1339" w:val="left" w:leader="none"/>
          <w:tab w:pos="2099" w:val="left" w:leader="none"/>
          <w:tab w:pos="2879" w:val="left" w:leader="none"/>
        </w:tabs>
        <w:spacing w:line="114" w:lineRule="exact" w:before="0"/>
        <w:ind w:left="559" w:right="0" w:firstLine="0"/>
        <w:jc w:val="left"/>
        <w:rPr>
          <w:sz w:val="12"/>
        </w:rPr>
      </w:pPr>
      <w:r>
        <w:rPr>
          <w:sz w:val="12"/>
        </w:rPr>
        <w:t>1995</w:t>
        <w:tab/>
        <w:t>96</w:t>
        <w:tab/>
        <w:t>97</w:t>
        <w:tab/>
        <w:t>98</w:t>
      </w:r>
    </w:p>
    <w:p>
      <w:pPr>
        <w:spacing w:line="208" w:lineRule="auto" w:before="80"/>
        <w:ind w:left="175" w:right="369" w:firstLine="0"/>
        <w:jc w:val="left"/>
        <w:rPr>
          <w:sz w:val="12"/>
        </w:rPr>
      </w:pPr>
      <w:r>
        <w:rPr>
          <w:sz w:val="12"/>
        </w:rPr>
        <w:t>RPIX = Retail price index excluding mortgage interest payments. RPIY = RPIX excluding VAT, local authority taxes and excise duty.</w:t>
      </w:r>
    </w:p>
    <w:p>
      <w:pPr>
        <w:pStyle w:val="BodyText"/>
        <w:spacing w:before="5"/>
        <w:rPr>
          <w:sz w:val="10"/>
        </w:rPr>
      </w:pPr>
    </w:p>
    <w:p>
      <w:pPr>
        <w:spacing w:line="208" w:lineRule="auto" w:before="0"/>
        <w:ind w:left="415" w:right="0" w:hanging="240"/>
        <w:jc w:val="left"/>
        <w:rPr>
          <w:sz w:val="12"/>
        </w:rPr>
      </w:pPr>
      <w:r>
        <w:rPr>
          <w:sz w:val="12"/>
        </w:rPr>
        <w:t>(a) Adjusted by the Bank of England for ONS error in under-recording aggregate price indices between February and May 1995. Other charts and tables in this </w:t>
      </w:r>
      <w:r>
        <w:rPr>
          <w:i/>
          <w:sz w:val="12"/>
        </w:rPr>
        <w:t>Report </w:t>
      </w:r>
      <w:r>
        <w:rPr>
          <w:sz w:val="12"/>
        </w:rPr>
        <w:t>that include measures of retail price inflation are similarly adjusted.</w:t>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6"/>
        <w:rPr>
          <w:sz w:val="13"/>
        </w:rPr>
      </w:pPr>
    </w:p>
    <w:p>
      <w:pPr>
        <w:pStyle w:val="Heading7"/>
        <w:spacing w:before="0"/>
        <w:ind w:left="200"/>
      </w:pPr>
      <w:r>
        <w:rPr>
          <w:color w:val="0093C1"/>
        </w:rPr>
        <w:t>Chart 4.7</w:t>
      </w:r>
    </w:p>
    <w:p>
      <w:pPr>
        <w:spacing w:line="249" w:lineRule="auto" w:before="10"/>
        <w:ind w:left="200" w:right="148" w:firstLine="0"/>
        <w:jc w:val="left"/>
        <w:rPr>
          <w:sz w:val="12"/>
        </w:rPr>
      </w:pPr>
      <w:r>
        <w:rPr>
          <w:b/>
          <w:color w:val="0093C1"/>
          <w:sz w:val="20"/>
        </w:rPr>
        <w:t>Distribution of weighted annual inflation rates of RPIX goods and services</w:t>
      </w:r>
      <w:r>
        <w:rPr>
          <w:position w:val="4"/>
          <w:sz w:val="12"/>
        </w:rPr>
        <w:t>(a)</w:t>
      </w:r>
    </w:p>
    <w:p>
      <w:pPr>
        <w:spacing w:before="73"/>
        <w:ind w:left="400" w:right="0" w:firstLine="0"/>
        <w:jc w:val="left"/>
        <w:rPr>
          <w:sz w:val="12"/>
        </w:rPr>
      </w:pPr>
      <w:r>
        <w:rPr/>
        <w:pict>
          <v:group style="position:absolute;margin-left:41.25pt;margin-top:3.251361pt;width:8pt;height:19.45pt;mso-position-horizontal-relative:page;mso-position-vertical-relative:paragraph;z-index:16035328" coordorigin="825,65" coordsize="160,389">
            <v:line style="position:absolute" from="930,449" to="830,449" stroked="true" strokeweight=".5pt" strokecolor="#000000">
              <v:stroke dashstyle="solid"/>
            </v:line>
            <v:shape style="position:absolute;left:825;top:65;width:160;height:312" type="#_x0000_t75" stroked="false">
              <v:imagedata r:id="rId98" o:title=""/>
            </v:shape>
            <w10:wrap type="none"/>
          </v:group>
        </w:pict>
      </w:r>
      <w:r>
        <w:rPr>
          <w:sz w:val="12"/>
        </w:rPr>
        <w:t>Services</w:t>
      </w:r>
    </w:p>
    <w:p>
      <w:pPr>
        <w:pStyle w:val="Heading4"/>
        <w:spacing w:line="242" w:lineRule="auto" w:before="3"/>
        <w:ind w:left="175" w:right="222"/>
      </w:pPr>
      <w:r>
        <w:rPr/>
        <w:br w:type="column"/>
      </w:r>
      <w:r>
        <w:rPr/>
        <w:t>by bad weather, and a bigger increase in household goods prices than the previous December—prices often rise in this sector in advance of discounting for the January ‘sales’. Neither of these upward influences on inflation is expected to persist.</w:t>
      </w:r>
    </w:p>
    <w:p>
      <w:pPr>
        <w:pStyle w:val="BodyText"/>
        <w:spacing w:before="10"/>
        <w:rPr>
          <w:sz w:val="24"/>
        </w:rPr>
      </w:pPr>
    </w:p>
    <w:p>
      <w:pPr>
        <w:spacing w:line="242" w:lineRule="auto" w:before="0"/>
        <w:ind w:left="175" w:right="222" w:firstLine="0"/>
        <w:jc w:val="left"/>
        <w:rPr>
          <w:sz w:val="24"/>
        </w:rPr>
      </w:pPr>
      <w:r>
        <w:rPr>
          <w:sz w:val="24"/>
        </w:rPr>
        <w:t>The average RPIX inflation rate was 2.6% in 1998, and it has been between 2% and 3% in every year since 1993. The November </w:t>
      </w:r>
      <w:r>
        <w:rPr>
          <w:i/>
          <w:sz w:val="24"/>
        </w:rPr>
        <w:t>Report </w:t>
      </w:r>
      <w:r>
        <w:rPr>
          <w:sz w:val="24"/>
        </w:rPr>
        <w:t>noted that RPIX inflation has been very stable recently. It is also useful to look at the distribution of inflation rates within RPIX, to see whether stable inflation rates have been accompanied by</w:t>
      </w:r>
    </w:p>
    <w:p>
      <w:pPr>
        <w:spacing w:after="0" w:line="242" w:lineRule="auto"/>
        <w:jc w:val="left"/>
        <w:rPr>
          <w:sz w:val="24"/>
        </w:rPr>
        <w:sectPr>
          <w:type w:val="continuous"/>
          <w:pgSz w:w="11900" w:h="16840"/>
          <w:pgMar w:top="1220" w:bottom="280" w:left="640" w:right="600"/>
          <w:cols w:num="2" w:equalWidth="0">
            <w:col w:w="3858" w:space="953"/>
            <w:col w:w="5849"/>
          </w:cols>
        </w:sectPr>
      </w:pPr>
    </w:p>
    <w:p>
      <w:pPr>
        <w:spacing w:before="7"/>
        <w:ind w:left="400" w:right="0" w:firstLine="0"/>
        <w:jc w:val="left"/>
        <w:rPr>
          <w:sz w:val="12"/>
        </w:rPr>
      </w:pPr>
      <w:r>
        <w:rPr>
          <w:sz w:val="12"/>
        </w:rPr>
        <w:t>Goods</w:t>
      </w:r>
    </w:p>
    <w:p>
      <w:pPr>
        <w:pStyle w:val="BodyText"/>
        <w:spacing w:before="4" w:after="40"/>
        <w:rPr>
          <w:sz w:val="23"/>
        </w:rPr>
      </w:pPr>
    </w:p>
    <w:p>
      <w:pPr>
        <w:pStyle w:val="BodyText"/>
        <w:spacing w:line="20" w:lineRule="exact"/>
        <w:ind w:left="185"/>
        <w:rPr>
          <w:sz w:val="2"/>
        </w:rPr>
      </w:pPr>
      <w:r>
        <w:rPr>
          <w:sz w:val="2"/>
        </w:rPr>
        <w:pict>
          <v:group style="width:5pt;height:.5pt;mso-position-horizontal-relative:char;mso-position-vertical-relative:line" coordorigin="0,0" coordsize="100,10">
            <v:line style="position:absolute" from="100,5" to="0,5" stroked="true" strokeweight=".5pt" strokecolor="#000000">
              <v:stroke dashstyle="solid"/>
            </v:line>
          </v:group>
        </w:pict>
      </w:r>
      <w:r>
        <w:rPr>
          <w:sz w:val="2"/>
        </w:rPr>
      </w:r>
    </w:p>
    <w:p>
      <w:pPr>
        <w:pStyle w:val="BodyText"/>
        <w:rPr>
          <w:sz w:val="14"/>
        </w:rPr>
      </w:pPr>
      <w:r>
        <w:rPr/>
        <w:pict>
          <v:shape style="position:absolute;margin-left:41.5pt;margin-top:10.25pt;width:5pt;height:.1pt;mso-position-horizontal-relative:page;mso-position-vertical-relative:paragraph;z-index:-15437824;mso-wrap-distance-left:0;mso-wrap-distance-right:0" coordorigin="830,205" coordsize="100,0" path="m930,205l830,205e" filled="false" stroked="true" strokeweight=".5pt" strokecolor="#000000">
            <v:path arrowok="t"/>
            <v:stroke dashstyle="solid"/>
            <w10:wrap type="topAndBottom"/>
          </v:shape>
        </w:pict>
      </w:r>
      <w:r>
        <w:rPr/>
        <w:pict>
          <v:shape style="position:absolute;margin-left:41.5pt;margin-top:21.25pt;width:5pt;height:.1pt;mso-position-horizontal-relative:page;mso-position-vertical-relative:paragraph;z-index:-15437312;mso-wrap-distance-left:0;mso-wrap-distance-right:0" coordorigin="830,425" coordsize="100,0" path="m930,425l830,425e" filled="false" stroked="true" strokeweight=".5pt" strokecolor="#000000">
            <v:path arrowok="t"/>
            <v:stroke dashstyle="solid"/>
            <w10:wrap type="topAndBottom"/>
          </v:shape>
        </w:pict>
      </w:r>
      <w:r>
        <w:rPr/>
        <w:pict>
          <v:shape style="position:absolute;margin-left:41.5pt;margin-top:31.25pt;width:5pt;height:.1pt;mso-position-horizontal-relative:page;mso-position-vertical-relative:paragraph;z-index:-15436800;mso-wrap-distance-left:0;mso-wrap-distance-right:0" coordorigin="830,625" coordsize="100,0" path="m930,625l830,625e" filled="false" stroked="true" strokeweight=".5pt" strokecolor="#000000">
            <v:path arrowok="t"/>
            <v:stroke dashstyle="solid"/>
            <w10:wrap type="topAndBottom"/>
          </v:shape>
        </w:pict>
      </w:r>
      <w:r>
        <w:rPr/>
        <w:pict>
          <v:shape style="position:absolute;margin-left:41.5pt;margin-top:42.25pt;width:5pt;height:.1pt;mso-position-horizontal-relative:page;mso-position-vertical-relative:paragraph;z-index:-15436288;mso-wrap-distance-left:0;mso-wrap-distance-right:0" coordorigin="830,845" coordsize="100,0" path="m930,845l830,845e" filled="false" stroked="true" strokeweight=".5pt" strokecolor="#000000">
            <v:path arrowok="t"/>
            <v:stroke dashstyle="solid"/>
            <w10:wrap type="topAndBottom"/>
          </v:shape>
        </w:pict>
      </w:r>
      <w:r>
        <w:rPr/>
        <w:pict>
          <v:shape style="position:absolute;margin-left:41.5pt;margin-top:53.25pt;width:5pt;height:.1pt;mso-position-horizontal-relative:page;mso-position-vertical-relative:paragraph;z-index:-15435776;mso-wrap-distance-left:0;mso-wrap-distance-right:0" coordorigin="830,1065" coordsize="100,0" path="m930,1065l830,1065e" filled="false" stroked="true" strokeweight=".5pt" strokecolor="#000000">
            <v:path arrowok="t"/>
            <v:stroke dashstyle="solid"/>
            <w10:wrap type="topAndBottom"/>
          </v:shape>
        </w:pict>
      </w:r>
      <w:r>
        <w:rPr/>
        <w:pict>
          <v:shape style="position:absolute;margin-left:41.5pt;margin-top:64.25pt;width:5pt;height:.1pt;mso-position-horizontal-relative:page;mso-position-vertical-relative:paragraph;z-index:-15435264;mso-wrap-distance-left:0;mso-wrap-distance-right:0" coordorigin="830,1285" coordsize="100,0" path="m930,1285l830,1285e" filled="false" stroked="true" strokeweight=".5pt" strokecolor="#000000">
            <v:path arrowok="t"/>
            <v:stroke dashstyle="solid"/>
            <w10:wrap type="topAndBottom"/>
          </v:shape>
        </w:pict>
      </w:r>
      <w:r>
        <w:rPr/>
        <w:pict>
          <v:shape style="position:absolute;margin-left:41.5pt;margin-top:72.25pt;width:5pt;height:.1pt;mso-position-horizontal-relative:page;mso-position-vertical-relative:paragraph;z-index:-15434752;mso-wrap-distance-left:0;mso-wrap-distance-right:0" coordorigin="830,1445" coordsize="100,0" path="m930,1445l830,1445e" filled="false" stroked="true" strokeweight=".5pt" strokecolor="#000000">
            <v:path arrowok="t"/>
            <v:stroke dashstyle="solid"/>
            <w10:wrap type="topAndBottom"/>
          </v:shape>
        </w:pict>
      </w:r>
      <w:r>
        <w:rPr/>
        <w:pict>
          <v:shape style="position:absolute;margin-left:41.5pt;margin-top:82.25pt;width:5pt;height:.1pt;mso-position-horizontal-relative:page;mso-position-vertical-relative:paragraph;z-index:-15434240;mso-wrap-distance-left:0;mso-wrap-distance-right:0" coordorigin="830,1645" coordsize="100,0" path="m930,1645l830,1645e" filled="false" stroked="true" strokeweight=".5pt" strokecolor="#000000">
            <v:path arrowok="t"/>
            <v:stroke dashstyle="solid"/>
            <w10:wrap type="topAndBottom"/>
          </v:shape>
        </w:pict>
      </w:r>
      <w:r>
        <w:rPr/>
        <w:pict>
          <v:shape style="position:absolute;margin-left:41.5pt;margin-top:93.25pt;width:5pt;height:.1pt;mso-position-horizontal-relative:page;mso-position-vertical-relative:paragraph;z-index:-15433728;mso-wrap-distance-left:0;mso-wrap-distance-right:0" coordorigin="830,1865" coordsize="100,0" path="m930,1865l830,1865e" filled="false" stroked="true" strokeweight=".5pt" strokecolor="#000000">
            <v:path arrowok="t"/>
            <v:stroke dashstyle="solid"/>
            <w10:wrap type="topAndBottom"/>
          </v:shape>
        </w:pict>
      </w:r>
      <w:r>
        <w:rPr/>
        <w:pict>
          <v:shape style="position:absolute;margin-left:41.5pt;margin-top:104.25pt;width:5pt;height:.1pt;mso-position-horizontal-relative:page;mso-position-vertical-relative:paragraph;z-index:-15433216;mso-wrap-distance-left:0;mso-wrap-distance-right:0" coordorigin="830,2085" coordsize="100,0" path="m930,2085l830,2085e" filled="false" stroked="true" strokeweight=".5pt" strokecolor="#000000">
            <v:path arrowok="t"/>
            <v:stroke dashstyle="solid"/>
            <w10:wrap type="topAndBottom"/>
          </v:shape>
        </w:pict>
      </w:r>
      <w:r>
        <w:rPr/>
        <w:pict>
          <v:shape style="position:absolute;margin-left:41.5pt;margin-top:115.25pt;width:5pt;height:.1pt;mso-position-horizontal-relative:page;mso-position-vertical-relative:paragraph;z-index:-15432704;mso-wrap-distance-left:0;mso-wrap-distance-right:0" coordorigin="830,2305" coordsize="100,0" path="m930,2305l830,2305e" filled="false" stroked="true" strokeweight=".5pt" strokecolor="#000000">
            <v:path arrowok="t"/>
            <v:stroke dashstyle="solid"/>
            <w10:wrap type="topAndBottom"/>
          </v:shape>
        </w:pict>
      </w:r>
      <w:r>
        <w:rPr/>
        <w:pict>
          <v:shape style="position:absolute;margin-left:41.5pt;margin-top:125.25pt;width:5pt;height:.1pt;mso-position-horizontal-relative:page;mso-position-vertical-relative:paragraph;z-index:-15432192;mso-wrap-distance-left:0;mso-wrap-distance-right:0" coordorigin="830,2505" coordsize="100,0" path="m930,2505l830,2505e" filled="false" stroked="true" strokeweight=".5pt" strokecolor="#000000">
            <v:path arrowok="t"/>
            <v:stroke dashstyle="solid"/>
            <w10:wrap type="topAndBottom"/>
          </v:shape>
        </w:pict>
      </w:r>
      <w:r>
        <w:rPr/>
        <w:pict>
          <v:shape style="position:absolute;margin-left:41.5pt;margin-top:136.25pt;width:5pt;height:.1pt;mso-position-horizontal-relative:page;mso-position-vertical-relative:paragraph;z-index:-15431680;mso-wrap-distance-left:0;mso-wrap-distance-right:0" coordorigin="830,2725" coordsize="100,0" path="m930,2725l830,2725e" filled="false" stroked="true" strokeweight=".5pt" strokecolor="#000000">
            <v:path arrowok="t"/>
            <v:stroke dashstyle="solid"/>
            <w10:wrap type="topAndBottom"/>
          </v:shape>
        </w:pict>
      </w:r>
      <w:r>
        <w:rPr/>
        <w:pict>
          <v:shape style="position:absolute;margin-left:41.5pt;margin-top:147.25pt;width:5pt;height:.1pt;mso-position-horizontal-relative:page;mso-position-vertical-relative:paragraph;z-index:-15431168;mso-wrap-distance-left:0;mso-wrap-distance-right:0" coordorigin="830,2945" coordsize="100,0" path="m930,2945l830,2945e" filled="false" stroked="true" strokeweight=".5pt" strokecolor="#000000">
            <v:path arrowok="t"/>
            <v:stroke dashstyle="solid"/>
            <w10:wrap type="topAndBottom"/>
          </v:shape>
        </w:pict>
      </w:r>
      <w:r>
        <w:rPr/>
        <w:pict>
          <v:shape style="position:absolute;margin-left:41.5pt;margin-top:155.75pt;width:5pt;height:.1pt;mso-position-horizontal-relative:page;mso-position-vertical-relative:paragraph;z-index:-15430656;mso-wrap-distance-left:0;mso-wrap-distance-right:0" coordorigin="830,3115" coordsize="100,0" path="m930,3115l830,3115e" filled="false" stroked="true" strokeweight=".5pt" strokecolor="#000000">
            <v:path arrowok="t"/>
            <v:stroke dashstyle="solid"/>
            <w10:wrap type="topAndBottom"/>
          </v:shape>
        </w:pict>
      </w:r>
      <w:r>
        <w:rPr/>
        <w:pict>
          <v:shape style="position:absolute;margin-left:41.5pt;margin-top:166.75pt;width:5pt;height:.1pt;mso-position-horizontal-relative:page;mso-position-vertical-relative:paragraph;z-index:-15430144;mso-wrap-distance-left:0;mso-wrap-distance-right:0" coordorigin="830,3335" coordsize="100,0" path="m930,3335l830,3335e" filled="false" stroked="true" strokeweight=".5pt" strokecolor="#000000">
            <v:path arrowok="t"/>
            <v:stroke dashstyle="solid"/>
            <w10:wrap type="topAndBottom"/>
          </v:shape>
        </w:pict>
      </w:r>
      <w:r>
        <w:rPr/>
        <w:pict>
          <v:shape style="position:absolute;margin-left:41.5pt;margin-top:177.75pt;width:5pt;height:.1pt;mso-position-horizontal-relative:page;mso-position-vertical-relative:paragraph;z-index:-15429632;mso-wrap-distance-left:0;mso-wrap-distance-right:0" coordorigin="830,3555" coordsize="100,0" path="m930,3555l830,3555e" filled="false" stroked="true" strokeweight=".5pt" strokecolor="#000000">
            <v:path arrowok="t"/>
            <v:stroke dashstyle="solid"/>
            <w10:wrap type="topAndBottom"/>
          </v:shape>
        </w:pict>
      </w:r>
      <w:r>
        <w:rPr/>
        <w:pict>
          <v:shape style="position:absolute;margin-left:41.5pt;margin-top:188.75pt;width:5pt;height:.1pt;mso-position-horizontal-relative:page;mso-position-vertical-relative:paragraph;z-index:-15429120;mso-wrap-distance-left:0;mso-wrap-distance-right:0" coordorigin="830,3775" coordsize="100,0" path="m930,3775l830,3775e" filled="false" stroked="true" strokeweight=".5pt" strokecolor="#000000">
            <v:path arrowok="t"/>
            <v:stroke dashstyle="solid"/>
            <w10:wrap type="topAndBottom"/>
          </v:shape>
        </w:pict>
      </w:r>
      <w:r>
        <w:rPr/>
        <w:pict>
          <v:shape style="position:absolute;margin-left:41.5pt;margin-top:198.75pt;width:5pt;height:.1pt;mso-position-horizontal-relative:page;mso-position-vertical-relative:paragraph;z-index:-15428608;mso-wrap-distance-left:0;mso-wrap-distance-right:0" coordorigin="830,3975" coordsize="100,0" path="m930,3975l830,3975e" filled="false" stroked="true" strokeweight=".5pt" strokecolor="#000000">
            <v:path arrowok="t"/>
            <v:stroke dashstyle="solid"/>
            <w10:wrap type="topAndBottom"/>
          </v:shape>
        </w:pict>
      </w:r>
      <w:r>
        <w:rPr/>
        <w:pict>
          <v:shape style="position:absolute;margin-left:41.5pt;margin-top:209.75pt;width:5pt;height:.1pt;mso-position-horizontal-relative:page;mso-position-vertical-relative:paragraph;z-index:-15428096;mso-wrap-distance-left:0;mso-wrap-distance-right:0" coordorigin="830,4195" coordsize="100,0" path="m930,4195l830,4195e" filled="false" stroked="true" strokeweight=".5pt" strokecolor="#000000">
            <v:path arrowok="t"/>
            <v:stroke dashstyle="solid"/>
            <w10:wrap type="topAndBottom"/>
          </v:shape>
        </w:pict>
      </w:r>
      <w:r>
        <w:rPr/>
        <w:pict>
          <v:shape style="position:absolute;margin-left:41.5pt;margin-top:220.75pt;width:5pt;height:.1pt;mso-position-horizontal-relative:page;mso-position-vertical-relative:paragraph;z-index:-15427584;mso-wrap-distance-left:0;mso-wrap-distance-right:0" coordorigin="830,4415" coordsize="100,0" path="m930,4415l830,4415e" filled="false" stroked="true" strokeweight=".5pt" strokecolor="#000000">
            <v:path arrowok="t"/>
            <v:stroke dashstyle="solid"/>
            <w10:wrap type="topAndBottom"/>
          </v:shape>
        </w:pict>
      </w:r>
      <w:r>
        <w:rPr/>
        <w:pict>
          <v:shape style="position:absolute;margin-left:41.5pt;margin-top:231.75pt;width:5pt;height:.1pt;mso-position-horizontal-relative:page;mso-position-vertical-relative:paragraph;z-index:-15427072;mso-wrap-distance-left:0;mso-wrap-distance-right:0" coordorigin="830,4635" coordsize="100,0" path="m930,4635l830,4635e" filled="false" stroked="true" strokeweight=".5pt" strokecolor="#000000">
            <v:path arrowok="t"/>
            <v:stroke dashstyle="solid"/>
            <w10:wrap type="topAndBottom"/>
          </v:shape>
        </w:pict>
      </w:r>
    </w:p>
    <w:p>
      <w:pPr>
        <w:pStyle w:val="BodyText"/>
        <w:spacing w:before="4"/>
        <w:rPr>
          <w:sz w:val="12"/>
        </w:rPr>
      </w:pPr>
    </w:p>
    <w:p>
      <w:pPr>
        <w:pStyle w:val="BodyText"/>
        <w:spacing w:before="7"/>
        <w:rPr>
          <w:sz w:val="10"/>
        </w:rPr>
      </w:pPr>
    </w:p>
    <w:p>
      <w:pPr>
        <w:pStyle w:val="BodyText"/>
        <w:spacing w:before="4"/>
        <w:rPr>
          <w:sz w:val="12"/>
        </w:rPr>
      </w:pPr>
    </w:p>
    <w:p>
      <w:pPr>
        <w:pStyle w:val="BodyText"/>
        <w:spacing w:before="4"/>
        <w:rPr>
          <w:sz w:val="12"/>
        </w:rPr>
      </w:pPr>
    </w:p>
    <w:p>
      <w:pPr>
        <w:pStyle w:val="BodyText"/>
        <w:spacing w:before="4"/>
        <w:rPr>
          <w:sz w:val="12"/>
        </w:rPr>
      </w:pPr>
    </w:p>
    <w:p>
      <w:pPr>
        <w:pStyle w:val="BodyText"/>
        <w:spacing w:before="1"/>
        <w:rPr>
          <w:sz w:val="7"/>
        </w:rPr>
      </w:pPr>
    </w:p>
    <w:p>
      <w:pPr>
        <w:pStyle w:val="BodyText"/>
        <w:spacing w:before="7"/>
        <w:rPr>
          <w:sz w:val="10"/>
        </w:rPr>
      </w:pPr>
    </w:p>
    <w:p>
      <w:pPr>
        <w:pStyle w:val="BodyText"/>
        <w:spacing w:before="4"/>
        <w:rPr>
          <w:sz w:val="12"/>
        </w:rPr>
      </w:pPr>
    </w:p>
    <w:p>
      <w:pPr>
        <w:pStyle w:val="BodyText"/>
        <w:spacing w:before="4"/>
        <w:rPr>
          <w:sz w:val="12"/>
        </w:rPr>
      </w:pPr>
    </w:p>
    <w:p>
      <w:pPr>
        <w:pStyle w:val="BodyText"/>
        <w:spacing w:before="4"/>
        <w:rPr>
          <w:sz w:val="12"/>
        </w:rPr>
      </w:pPr>
    </w:p>
    <w:p>
      <w:pPr>
        <w:pStyle w:val="BodyText"/>
        <w:spacing w:before="7"/>
        <w:rPr>
          <w:sz w:val="10"/>
        </w:rPr>
      </w:pPr>
    </w:p>
    <w:p>
      <w:pPr>
        <w:pStyle w:val="BodyText"/>
        <w:spacing w:before="4"/>
        <w:rPr>
          <w:sz w:val="12"/>
        </w:rPr>
      </w:pPr>
    </w:p>
    <w:p>
      <w:pPr>
        <w:pStyle w:val="BodyText"/>
        <w:spacing w:before="4"/>
        <w:rPr>
          <w:sz w:val="12"/>
        </w:rPr>
      </w:pPr>
    </w:p>
    <w:p>
      <w:pPr>
        <w:pStyle w:val="BodyText"/>
        <w:rPr>
          <w:sz w:val="8"/>
        </w:rPr>
      </w:pPr>
    </w:p>
    <w:p>
      <w:pPr>
        <w:pStyle w:val="BodyText"/>
        <w:spacing w:before="4"/>
        <w:rPr>
          <w:sz w:val="12"/>
        </w:rPr>
      </w:pPr>
    </w:p>
    <w:p>
      <w:pPr>
        <w:pStyle w:val="BodyText"/>
        <w:spacing w:before="4"/>
        <w:rPr>
          <w:sz w:val="12"/>
        </w:rPr>
      </w:pPr>
    </w:p>
    <w:p>
      <w:pPr>
        <w:pStyle w:val="BodyText"/>
        <w:spacing w:before="4"/>
        <w:rPr>
          <w:sz w:val="12"/>
        </w:rPr>
      </w:pPr>
    </w:p>
    <w:p>
      <w:pPr>
        <w:pStyle w:val="BodyText"/>
        <w:spacing w:before="7"/>
        <w:rPr>
          <w:sz w:val="10"/>
        </w:rPr>
      </w:pPr>
    </w:p>
    <w:p>
      <w:pPr>
        <w:pStyle w:val="BodyText"/>
        <w:spacing w:before="4"/>
        <w:rPr>
          <w:sz w:val="12"/>
        </w:rPr>
      </w:pPr>
    </w:p>
    <w:p>
      <w:pPr>
        <w:pStyle w:val="BodyText"/>
        <w:spacing w:before="4"/>
        <w:rPr>
          <w:sz w:val="12"/>
        </w:rPr>
      </w:pPr>
    </w:p>
    <w:p>
      <w:pPr>
        <w:pStyle w:val="BodyText"/>
        <w:spacing w:before="4"/>
        <w:rPr>
          <w:sz w:val="12"/>
        </w:rPr>
      </w:pPr>
    </w:p>
    <w:p>
      <w:pPr>
        <w:pStyle w:val="BodyText"/>
        <w:rPr>
          <w:sz w:val="12"/>
        </w:rPr>
      </w:pPr>
      <w:r>
        <w:rPr/>
        <w:br w:type="column"/>
      </w:r>
      <w:r>
        <w:rPr>
          <w:sz w:val="12"/>
        </w:rPr>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5"/>
        <w:rPr>
          <w:sz w:val="17"/>
        </w:rPr>
      </w:pPr>
    </w:p>
    <w:p>
      <w:pPr>
        <w:spacing w:before="0"/>
        <w:ind w:left="400" w:right="0" w:firstLine="0"/>
        <w:jc w:val="left"/>
        <w:rPr>
          <w:sz w:val="12"/>
        </w:rPr>
      </w:pPr>
      <w:r>
        <w:rPr>
          <w:sz w:val="12"/>
        </w:rPr>
        <w:t>Annual inflation rates</w:t>
      </w:r>
    </w:p>
    <w:p>
      <w:pPr>
        <w:spacing w:before="96"/>
        <w:ind w:left="400" w:right="0" w:firstLine="0"/>
        <w:jc w:val="left"/>
        <w:rPr>
          <w:sz w:val="12"/>
        </w:rPr>
      </w:pPr>
      <w:r>
        <w:rPr/>
        <w:br w:type="column"/>
      </w:r>
      <w:r>
        <w:rPr>
          <w:sz w:val="12"/>
        </w:rPr>
        <w:t>Per ce</w:t>
      </w:r>
      <w:r>
        <w:rPr>
          <w:sz w:val="12"/>
          <w:u w:val="single"/>
        </w:rPr>
        <w:t>n</w:t>
      </w:r>
      <w:r>
        <w:rPr>
          <w:sz w:val="12"/>
        </w:rPr>
        <w:t>t</w:t>
      </w:r>
      <w:r>
        <w:rPr>
          <w:spacing w:val="15"/>
          <w:sz w:val="12"/>
        </w:rPr>
        <w:t> </w:t>
      </w:r>
      <w:r>
        <w:rPr>
          <w:position w:val="-5"/>
          <w:sz w:val="12"/>
        </w:rPr>
        <w:t>35</w:t>
      </w:r>
    </w:p>
    <w:p>
      <w:pPr>
        <w:spacing w:before="82"/>
        <w:ind w:left="834" w:right="0" w:firstLine="0"/>
        <w:jc w:val="left"/>
        <w:rPr>
          <w:sz w:val="12"/>
        </w:rPr>
      </w:pPr>
      <w:r>
        <w:rPr/>
        <w:pict>
          <v:group style="position:absolute;margin-left:50.5pt;margin-top:-2.645117pt;width:158pt;height:251.8pt;mso-position-horizontal-relative:page;mso-position-vertical-relative:paragraph;z-index:-20978688" coordorigin="1010,-53" coordsize="3160,5036">
            <v:rect style="position:absolute;left:1042;top:1444;width:139;height:20" filled="true" fillcolor="#ed1b2d" stroked="false">
              <v:fill type="solid"/>
            </v:rect>
            <v:rect style="position:absolute;left:1042;top:1444;width:139;height:20" filled="false" stroked="true" strokeweight=".5pt" strokecolor="#000000">
              <v:stroke dashstyle="solid"/>
            </v:rect>
            <v:rect style="position:absolute;left:1228;top:1444;width:143;height:20" filled="true" fillcolor="#ed1b2d" stroked="false">
              <v:fill type="solid"/>
            </v:rect>
            <v:rect style="position:absolute;left:1228;top:1444;width:143;height:20" filled="false" stroked="true" strokeweight=".5pt" strokecolor="#000000">
              <v:stroke dashstyle="solid"/>
            </v:rect>
            <v:rect style="position:absolute;left:1421;top:1444;width:140;height:20" filled="true" fillcolor="#ed1b2d" stroked="false">
              <v:fill type="solid"/>
            </v:rect>
            <v:shape style="position:absolute;left:1421;top:1444;width:289;height:20" coordorigin="1421,1444" coordsize="289,20" path="m1421,1464l1561,1464,1561,1444,1421,1444,1421,1464m1630,1464l1710,1464,1630,1464e" filled="false" stroked="true" strokeweight=".5pt" strokecolor="#000000">
              <v:path arrowok="t"/>
              <v:stroke dashstyle="solid"/>
            </v:shape>
            <v:line style="position:absolute" from="1710,1464" to="1710,1464" stroked="true" strokeweight=".5pt" strokecolor="#000000">
              <v:stroke dashstyle="solid"/>
            </v:line>
            <v:shape style="position:absolute;left:1630;top:1464;width:80;height:2" coordorigin="1630,1464" coordsize="80,0" path="m1630,1464l1710,1464,1630,1464e" filled="false" stroked="true" strokeweight=".5pt" strokecolor="#000000">
              <v:path arrowok="t"/>
              <v:stroke dashstyle="solid"/>
            </v:shape>
            <v:line style="position:absolute" from="1710,1464" to="1710,1464" stroked="true" strokeweight=".5pt" strokecolor="#000000">
              <v:stroke dashstyle="solid"/>
            </v:line>
            <v:rect style="position:absolute;left:1967;top:1364;width:142;height:100" filled="true" fillcolor="#ed1b2d" stroked="false">
              <v:fill type="solid"/>
            </v:rect>
            <v:shape style="position:absolute;left:1967;top:1364;width:142;height:100" coordorigin="1968,1364" coordsize="142,100" path="m1968,1464l2109,1464,2109,1364,1968,1364,1968,1464m1990,1364l2090,1364,1990,1364e" filled="false" stroked="true" strokeweight=".5pt" strokecolor="#000000">
              <v:path arrowok="t"/>
              <v:stroke dashstyle="solid"/>
            </v:shape>
            <v:rect style="position:absolute;left:2163;top:1344;width:144;height:120" filled="true" fillcolor="#ed1b2d" stroked="false">
              <v:fill type="solid"/>
            </v:rect>
            <v:rect style="position:absolute;left:2163;top:1344;width:144;height:120" filled="false" stroked="true" strokeweight=".5pt" strokecolor="#000000">
              <v:stroke dashstyle="solid"/>
            </v:rect>
            <v:line style="position:absolute" from="2164,1464" to="2164,1344" stroked="true" strokeweight=".5pt" strokecolor="#000000">
              <v:stroke dashstyle="solid"/>
            </v:line>
            <v:rect style="position:absolute;left:2163;top:1144;width:144;height:200" filled="true" fillcolor="#0066a5" stroked="false">
              <v:fill type="solid"/>
            </v:rect>
            <v:rect style="position:absolute;left:2163;top:1144;width:144;height:200" filled="false" stroked="true" strokeweight=".5pt" strokecolor="#000000">
              <v:stroke dashstyle="solid"/>
            </v:rect>
            <v:rect style="position:absolute;left:2348;top:1244;width:139;height:220" filled="true" fillcolor="#ed1b2d" stroked="false">
              <v:fill type="solid"/>
            </v:rect>
            <v:rect style="position:absolute;left:2348;top:1244;width:139;height:220" filled="false" stroked="true" strokeweight=".5pt" strokecolor="#000000">
              <v:stroke dashstyle="solid"/>
            </v:rect>
            <v:rect style="position:absolute;left:2348;top:1224;width:139;height:20" filled="true" fillcolor="#0066a5" stroked="false">
              <v:fill type="solid"/>
            </v:rect>
            <v:rect style="position:absolute;left:2348;top:1224;width:139;height:20" filled="false" stroked="true" strokeweight=".5pt" strokecolor="#000000">
              <v:stroke dashstyle="solid"/>
            </v:rect>
            <v:line style="position:absolute" from="2470,1244" to="2470,1244" stroked="true" strokeweight=".5pt" strokecolor="#000000">
              <v:stroke dashstyle="solid"/>
            </v:line>
            <v:rect style="position:absolute;left:2547;top:784;width:140;height:680" filled="true" fillcolor="#ed1b2d" stroked="false">
              <v:fill type="solid"/>
            </v:rect>
            <v:rect style="position:absolute;left:2547;top:784;width:140;height:680" filled="false" stroked="true" strokeweight=".5pt" strokecolor="#000000">
              <v:stroke dashstyle="solid"/>
            </v:rect>
            <v:rect style="position:absolute;left:2547;top:644;width:140;height:140" filled="true" fillcolor="#0066a5" stroked="false">
              <v:fill type="solid"/>
            </v:rect>
            <v:rect style="position:absolute;left:2547;top:644;width:140;height:140" filled="false" stroked="true" strokeweight=".5pt" strokecolor="#000000">
              <v:stroke dashstyle="solid"/>
            </v:rect>
            <v:rect style="position:absolute;left:2735;top:844;width:141;height:620" filled="true" fillcolor="#ed1b2d" stroked="false">
              <v:fill type="solid"/>
            </v:rect>
            <v:rect style="position:absolute;left:2735;top:844;width:141;height:620" filled="false" stroked="true" strokeweight=".5pt" strokecolor="#000000">
              <v:stroke dashstyle="solid"/>
            </v:rect>
            <v:rect style="position:absolute;left:2735;top:444;width:141;height:400" filled="true" fillcolor="#0066a5" stroked="false">
              <v:fill type="solid"/>
            </v:rect>
            <v:rect style="position:absolute;left:2735;top:444;width:141;height:400" filled="false" stroked="true" strokeweight=".5pt" strokecolor="#000000">
              <v:stroke dashstyle="solid"/>
            </v:rect>
            <v:rect style="position:absolute;left:2911;top:1104;width:138;height:360" filled="true" fillcolor="#ed1b2d" stroked="false">
              <v:fill type="solid"/>
            </v:rect>
            <v:rect style="position:absolute;left:2911;top:1104;width:138;height:360" filled="false" stroked="true" strokeweight=".5pt" strokecolor="#000000">
              <v:stroke dashstyle="solid"/>
            </v:rect>
            <v:rect style="position:absolute;left:2911;top:684;width:138;height:420" filled="true" fillcolor="#0066a5" stroked="false">
              <v:fill type="solid"/>
            </v:rect>
            <v:rect style="position:absolute;left:2911;top:684;width:138;height:420" filled="false" stroked="true" strokeweight=".5pt" strokecolor="#000000">
              <v:stroke dashstyle="solid"/>
            </v:rect>
            <v:rect style="position:absolute;left:3095;top:1304;width:144;height:160" filled="true" fillcolor="#ed1b2d" stroked="false">
              <v:fill type="solid"/>
            </v:rect>
            <v:rect style="position:absolute;left:3095;top:1304;width:144;height:160" filled="false" stroked="true" strokeweight=".5pt" strokecolor="#000000">
              <v:stroke dashstyle="solid"/>
            </v:rect>
            <v:rect style="position:absolute;left:3095;top:1084;width:144;height:220" filled="true" fillcolor="#0066a5" stroked="false">
              <v:fill type="solid"/>
            </v:rect>
            <v:rect style="position:absolute;left:3095;top:1084;width:144;height:220" filled="false" stroked="true" strokeweight=".5pt" strokecolor="#000000">
              <v:stroke dashstyle="solid"/>
            </v:rect>
            <v:rect style="position:absolute;left:3287;top:1404;width:143;height:60" filled="true" fillcolor="#ed1b2d" stroked="false">
              <v:fill type="solid"/>
            </v:rect>
            <v:line style="position:absolute" from="3510,1464" to="3510,1424" stroked="true" strokeweight=".5pt" strokecolor="#000000">
              <v:stroke dashstyle="solid"/>
            </v:line>
            <v:rect style="position:absolute;left:3287;top:1404;width:143;height:60" filled="false" stroked="true" strokeweight=".5pt" strokecolor="#000000">
              <v:stroke dashstyle="solid"/>
            </v:rect>
            <v:rect style="position:absolute;left:3287;top:1304;width:143;height:100" filled="true" fillcolor="#0066a5" stroked="false">
              <v:fill type="solid"/>
            </v:rect>
            <v:rect style="position:absolute;left:3287;top:1304;width:143;height:100" filled="false" stroked="true" strokeweight=".5pt" strokecolor="#000000">
              <v:stroke dashstyle="solid"/>
            </v:rect>
            <v:rect style="position:absolute;left:3670;top:1444;width:148;height:20" filled="true" fillcolor="#ed1b2d" stroked="false">
              <v:fill type="solid"/>
            </v:rect>
            <v:rect style="position:absolute;left:3670;top:1444;width:148;height:20" filled="false" stroked="true" strokeweight=".5pt" strokecolor="#000000">
              <v:stroke dashstyle="solid"/>
            </v:rect>
            <v:rect style="position:absolute;left:3476;top:1424;width:143;height:40" filled="true" fillcolor="#ed1b2d" stroked="false">
              <v:fill type="solid"/>
            </v:rect>
            <v:rect style="position:absolute;left:3476;top:1424;width:143;height:40" filled="false" stroked="true" strokeweight=".5pt" strokecolor="#000000">
              <v:stroke dashstyle="solid"/>
            </v:rect>
            <v:rect style="position:absolute;left:3476;top:1384;width:143;height:40" filled="true" fillcolor="#0066a5" stroked="false">
              <v:fill type="solid"/>
            </v:rect>
            <v:shape style="position:absolute;left:3476;top:1384;width:314;height:60" coordorigin="3476,1384" coordsize="314,60" path="m3476,1424l3619,1424,3619,1384,3476,1384,3476,1424m3690,1444l3790,1444,3690,1444e" filled="false" stroked="true" strokeweight=".5pt" strokecolor="#000000">
              <v:path arrowok="t"/>
              <v:stroke dashstyle="solid"/>
            </v:shape>
            <v:rect style="position:absolute;left:3856;top:1444;width:145;height:20" filled="true" fillcolor="#ed1b2d" stroked="false">
              <v:fill type="solid"/>
            </v:rect>
            <v:rect style="position:absolute;left:3856;top:1444;width:145;height:20" filled="false" stroked="true" strokeweight=".5pt" strokecolor="#000000">
              <v:stroke dashstyle="solid"/>
            </v:rect>
            <v:rect style="position:absolute;left:3856;top:1424;width:145;height:20" filled="true" fillcolor="#0066a5" stroked="false">
              <v:fill type="solid"/>
            </v:rect>
            <v:rect style="position:absolute;left:3856;top:1424;width:145;height:20" filled="false" stroked="true" strokeweight=".5pt" strokecolor="#000000">
              <v:stroke dashstyle="solid"/>
            </v:rect>
            <v:shape style="position:absolute;left:1010;top:384;width:3160;height:1080" coordorigin="1010,384" coordsize="3160,1080" path="m4170,1464l4070,1464m4170,1244l4070,1244m4170,1024l4070,1024m4170,804l4070,804m4170,604l4070,604m4170,384l4070,384m1010,1464l4010,1464e" filled="false" stroked="true" strokeweight=".5pt" strokecolor="#000000">
              <v:path arrowok="t"/>
              <v:stroke dashstyle="solid"/>
            </v:shape>
            <v:rect style="position:absolute;left:1041;top:3104;width:145;height:20" filled="true" fillcolor="#ed1b2d" stroked="false">
              <v:fill type="solid"/>
            </v:rect>
            <v:shape style="position:absolute;left:1041;top:3104;width:289;height:20" coordorigin="1041,3104" coordsize="289,20" path="m1041,3124l1186,3124,1186,3104,1041,3104,1041,3124m1250,3124l1330,3124,1250,3124e" filled="false" stroked="true" strokeweight=".5pt" strokecolor="#000000">
              <v:path arrowok="t"/>
              <v:stroke dashstyle="solid"/>
            </v:shape>
            <v:rect style="position:absolute;left:1230;top:3104;width:147;height:20" filled="true" fillcolor="#0066a5" stroked="false">
              <v:fill type="solid"/>
            </v:rect>
            <v:rect style="position:absolute;left:1230;top:3104;width:147;height:20" filled="false" stroked="true" strokeweight=".5pt" strokecolor="#000000">
              <v:stroke dashstyle="solid"/>
            </v:rect>
            <v:line style="position:absolute" from="1630,3127" to="1710,3127" stroked="true" strokeweight=".25pt" strokecolor="#000000">
              <v:stroke dashstyle="solid"/>
            </v:line>
            <v:rect style="position:absolute;left:1422;top:3084;width:144;height:40" filled="true" fillcolor="#ed1b2d" stroked="false">
              <v:fill type="solid"/>
            </v:rect>
            <v:rect style="position:absolute;left:1422;top:3084;width:144;height:40" filled="false" stroked="true" strokeweight=".5pt" strokecolor="#000000">
              <v:stroke dashstyle="solid"/>
            </v:rect>
            <v:rect style="position:absolute;left:1422;top:3044;width:144;height:40" filled="true" fillcolor="#0066a5" stroked="false">
              <v:fill type="solid"/>
            </v:rect>
            <v:rect style="position:absolute;left:1422;top:3044;width:144;height:40" filled="false" stroked="true" strokeweight=".5pt" strokecolor="#000000">
              <v:stroke dashstyle="solid"/>
            </v:rect>
            <v:line style="position:absolute" from="1630,3127" to="1710,3127" stroked="true" strokeweight=".25pt" strokecolor="#000000">
              <v:stroke dashstyle="solid"/>
            </v:line>
            <v:line style="position:absolute" from="1010,3122" to="1789,3122" stroked="true" strokeweight=".25pt" strokecolor="#000000">
              <v:stroke dashstyle="solid"/>
            </v:line>
            <v:rect style="position:absolute;left:3095;top:3084;width:150;height:40" filled="true" fillcolor="#ed1b2d" stroked="false">
              <v:fill type="solid"/>
            </v:rect>
            <v:rect style="position:absolute;left:3095;top:3084;width:150;height:40" filled="false" stroked="true" strokeweight=".5pt" strokecolor="#000000">
              <v:stroke dashstyle="solid"/>
            </v:rect>
            <v:rect style="position:absolute;left:1965;top:2924;width:143;height:200" filled="true" fillcolor="#ed1b2d" stroked="false">
              <v:fill type="solid"/>
            </v:rect>
            <v:rect style="position:absolute;left:1965;top:2924;width:143;height:200" filled="false" stroked="true" strokeweight=".5pt" strokecolor="#000000">
              <v:stroke dashstyle="solid"/>
            </v:rect>
            <v:rect style="position:absolute;left:1967;top:2844;width:140;height:80" filled="true" fillcolor="#0066a5" stroked="false">
              <v:fill type="solid"/>
            </v:rect>
            <v:rect style="position:absolute;left:1967;top:2844;width:140;height:80" filled="false" stroked="true" strokeweight=".5pt" strokecolor="#000000">
              <v:stroke dashstyle="solid"/>
            </v:rect>
            <v:rect style="position:absolute;left:2160;top:2824;width:148;height:300" filled="true" fillcolor="#ed1b2d" stroked="false">
              <v:fill type="solid"/>
            </v:rect>
            <v:rect style="position:absolute;left:2160;top:2824;width:148;height:300" filled="false" stroked="true" strokeweight=".5pt" strokecolor="#000000">
              <v:stroke dashstyle="solid"/>
            </v:rect>
            <v:rect style="position:absolute;left:2160;top:2724;width:148;height:100" filled="true" fillcolor="#0066a5" stroked="false">
              <v:fill type="solid"/>
            </v:rect>
            <v:rect style="position:absolute;left:2160;top:2724;width:148;height:100" filled="false" stroked="true" strokeweight=".5pt" strokecolor="#000000">
              <v:stroke dashstyle="solid"/>
            </v:rect>
            <v:rect style="position:absolute;left:2350;top:2644;width:143;height:480" filled="true" fillcolor="#ed1b2d" stroked="false">
              <v:fill type="solid"/>
            </v:rect>
            <v:rect style="position:absolute;left:2350;top:2644;width:143;height:480" filled="false" stroked="true" strokeweight=".5pt" strokecolor="#000000">
              <v:stroke dashstyle="solid"/>
            </v:rect>
            <v:rect style="position:absolute;left:2350;top:2441;width:143;height:200" filled="true" fillcolor="#0066a5" stroked="false">
              <v:fill type="solid"/>
            </v:rect>
            <v:rect style="position:absolute;left:2350;top:2441;width:143;height:200" filled="false" stroked="true" strokeweight=".5pt" strokecolor="#000000">
              <v:stroke dashstyle="solid"/>
            </v:rect>
            <v:rect style="position:absolute;left:2535;top:2404;width:153;height:720" filled="true" fillcolor="#ed1b2d" stroked="false">
              <v:fill type="solid"/>
            </v:rect>
            <v:rect style="position:absolute;left:2535;top:2404;width:153;height:720" filled="false" stroked="true" strokeweight=".5pt" strokecolor="#000000">
              <v:stroke dashstyle="solid"/>
            </v:rect>
            <v:rect style="position:absolute;left:2535;top:1824;width:153;height:580" filled="true" fillcolor="#0066a5" stroked="false">
              <v:fill type="solid"/>
            </v:rect>
            <v:rect style="position:absolute;left:2535;top:1824;width:153;height:580" filled="false" stroked="true" strokeweight=".5pt" strokecolor="#000000">
              <v:stroke dashstyle="solid"/>
            </v:rect>
            <v:rect style="position:absolute;left:2732;top:2824;width:144;height:300" filled="true" fillcolor="#ed1b2d" stroked="false">
              <v:fill type="solid"/>
            </v:rect>
            <v:rect style="position:absolute;left:2732;top:2824;width:144;height:300" filled="false" stroked="true" strokeweight=".5pt" strokecolor="#000000">
              <v:stroke dashstyle="solid"/>
            </v:rect>
            <v:rect style="position:absolute;left:2732;top:2484;width:144;height:340" filled="true" fillcolor="#0066a5" stroked="false">
              <v:fill type="solid"/>
            </v:rect>
            <v:rect style="position:absolute;left:2732;top:2484;width:144;height:340" filled="false" stroked="true" strokeweight=".5pt" strokecolor="#000000">
              <v:stroke dashstyle="solid"/>
            </v:rect>
            <v:rect style="position:absolute;left:2912;top:2984;width:144;height:140" filled="true" fillcolor="#ed1b2d" stroked="false">
              <v:fill type="solid"/>
            </v:rect>
            <v:rect style="position:absolute;left:2912;top:2984;width:144;height:140" filled="false" stroked="true" strokeweight=".5pt" strokecolor="#000000">
              <v:stroke dashstyle="solid"/>
            </v:rect>
            <v:rect style="position:absolute;left:2912;top:2904;width:144;height:80" filled="true" fillcolor="#0066a5" stroked="false">
              <v:fill type="solid"/>
            </v:rect>
            <v:shape style="position:absolute;left:2912;top:2904;width:298;height:180" coordorigin="2913,2904" coordsize="298,180" path="m2913,2984l3056,2984,3056,2904,2913,2904,2913,2984m3130,3084l3210,3084,3130,3084e" filled="false" stroked="true" strokeweight=".5pt" strokecolor="#000000">
              <v:path arrowok="t"/>
              <v:stroke dashstyle="solid"/>
            </v:shape>
            <v:rect style="position:absolute;left:3287;top:3104;width:145;height:20" filled="true" fillcolor="#ed1b2d" stroked="false">
              <v:fill type="solid"/>
            </v:rect>
            <v:rect style="position:absolute;left:3287;top:3104;width:145;height:20" filled="false" stroked="true" strokeweight=".5pt" strokecolor="#000000">
              <v:stroke dashstyle="solid"/>
            </v:rect>
            <v:rect style="position:absolute;left:3287;top:3084;width:145;height:20" filled="true" fillcolor="#0066a5" stroked="false">
              <v:fill type="solid"/>
            </v:rect>
            <v:shape style="position:absolute;left:3287;top:3084;width:503;height:40" coordorigin="3288,3084" coordsize="503,40" path="m3288,3104l3433,3104,3433,3084,3288,3084,3288,3104m3510,3124l3590,3124,3510,3124m3510,3124l3590,3124,3510,3124m3690,3124l3790,3124,3690,3124e" filled="false" stroked="true" strokeweight=".5pt" strokecolor="#000000">
              <v:path arrowok="t"/>
              <v:stroke dashstyle="solid"/>
            </v:shape>
            <v:line style="position:absolute" from="3690,3124" to="3690,3124" stroked="true" strokeweight=".5pt" strokecolor="#000000">
              <v:stroke dashstyle="solid"/>
            </v:line>
            <v:rect style="position:absolute;left:3856;top:3104;width:139;height:20" filled="true" fillcolor="#ed1b2d" stroked="false">
              <v:fill type="solid"/>
            </v:rect>
            <v:shape style="position:absolute;left:3690;top:3104;width:305;height:20" coordorigin="3690,3104" coordsize="305,20" path="m3856,3124l3995,3124,3995,3104,3856,3104,3856,3124m3690,3124l3790,3124,3690,3124e" filled="false" stroked="true" strokeweight=".5pt" strokecolor="#000000">
              <v:path arrowok="t"/>
              <v:stroke dashstyle="solid"/>
            </v:shape>
            <v:line style="position:absolute" from="3690,3124" to="3690,3124" stroked="true" strokeweight=".5pt" strokecolor="#000000">
              <v:stroke dashstyle="solid"/>
            </v:line>
            <v:shape style="position:absolute;left:3870;top:3124;width:100;height:2" coordorigin="3870,3124" coordsize="100,0" path="m3870,3124l3970,3124,3870,3124e" filled="false" stroked="true" strokeweight=".5pt" strokecolor="#000000">
              <v:path arrowok="t"/>
              <v:stroke dashstyle="solid"/>
            </v:shape>
            <v:line style="position:absolute" from="4170,3124" to="4070,3124" stroked="true" strokeweight=".5pt" strokecolor="#000000">
              <v:stroke dashstyle="solid"/>
            </v:line>
            <v:shape style="position:absolute;left:1010;top:3121;width:3000;height:5" coordorigin="1010,3122" coordsize="3000,5" path="m1936,3122l4010,3122m1010,3127l4010,3127e" filled="false" stroked="true" strokeweight=".25pt" strokecolor="#000000">
              <v:path arrowok="t"/>
              <v:stroke dashstyle="solid"/>
            </v:shape>
            <v:shape style="position:absolute;left:1010;top:4810;width:780;height:3" coordorigin="1010,4811" coordsize="780,3" path="m1010,4811l1790,4811m1010,4813l1790,4813e" filled="false" stroked="true" strokeweight=".156pt" strokecolor="#000000">
              <v:path arrowok="t"/>
              <v:stroke dashstyle="solid"/>
            </v:shape>
            <v:shape style="position:absolute;left:1010;top:4811;width:3000;height:5" coordorigin="1010,4812" coordsize="3000,5" path="m1930,4812l2161,4812m2307,4812l2353,4812m2493,4812l2548,4812m2688,4812l2733,4812m2876,4812l2913,4812m3056,4812l4010,4812m1010,4817l4010,4817e" filled="false" stroked="true" strokeweight=".25pt" strokecolor="#000000">
              <v:path arrowok="t"/>
              <v:stroke dashstyle="solid"/>
            </v:shape>
            <v:rect style="position:absolute;left:1050;top:4754;width:144;height:60" filled="true" fillcolor="#ed1b2d" stroked="false">
              <v:fill type="solid"/>
            </v:rect>
            <v:rect style="position:absolute;left:1050;top:4754;width:144;height:60" filled="false" stroked="true" strokeweight=".5pt" strokecolor="#000000">
              <v:stroke dashstyle="solid"/>
            </v:rect>
            <v:rect style="position:absolute;left:1232;top:4794;width:144;height:20" filled="true" fillcolor="#ed1b2d" stroked="false">
              <v:fill type="solid"/>
            </v:rect>
            <v:rect style="position:absolute;left:1232;top:4794;width:144;height:20" filled="false" stroked="true" strokeweight=".5pt" strokecolor="#000000">
              <v:stroke dashstyle="solid"/>
            </v:rect>
            <v:line style="position:absolute" from="1630,4816" to="1710,4816" stroked="true" strokeweight=".344pt" strokecolor="#000000">
              <v:stroke dashstyle="solid"/>
            </v:line>
            <v:line style="position:absolute" from="1610,4814" to="1610,4814" stroked="true" strokeweight=".5pt" strokecolor="#000000">
              <v:stroke dashstyle="solid"/>
            </v:line>
            <v:shape style="position:absolute;left:1650;top:4812;width:60;height:7" coordorigin="1650,4812" coordsize="60,7" path="m1650,4812l1650,4819m1670,4812l1670,4819m1710,4812l1710,4819e" filled="false" stroked="true" strokeweight="0pt" strokecolor="#000000">
              <v:path arrowok="t"/>
              <v:stroke dashstyle="solid"/>
            </v:shape>
            <v:rect style="position:absolute;left:3292;top:4794;width:140;height:20" filled="true" fillcolor="#ed1b2d" stroked="false">
              <v:fill type="solid"/>
            </v:rect>
            <v:shape style="position:absolute;left:3292;top:4794;width:498;height:20" coordorigin="3293,4794" coordsize="498,20" path="m3293,4814l3433,4814,3433,4794,3293,4794,3293,4814m3510,4814l3590,4814,3510,4814m3690,4814l3790,4814,3690,4814e" filled="false" stroked="true" strokeweight=".5pt" strokecolor="#000000">
              <v:path arrowok="t"/>
              <v:stroke dashstyle="solid"/>
            </v:shape>
            <v:shape style="position:absolute;left:3690;top:4814;width:80;height:2" coordorigin="3690,4814" coordsize="80,0" path="m3690,4814l3690,4814m3710,4814l3710,4814m3750,4814l3750,4814m3770,4814l3770,4814e" filled="false" stroked="true" strokeweight=".5pt" strokecolor="#000000">
              <v:path arrowok="t"/>
              <v:stroke dashstyle="solid"/>
            </v:shape>
            <v:rect style="position:absolute;left:3852;top:4789;width:145;height:20" filled="true" fillcolor="#ed1b2d" stroked="false">
              <v:fill type="solid"/>
            </v:rect>
            <v:shape style="position:absolute;left:1050;top:4789;width:2948;height:25" coordorigin="1050,4789" coordsize="2948,25" path="m3853,4809l3998,4809,3998,4789,3853,4789,3853,4809m1050,4814l1150,4814,1050,4814m1250,4814l1330,4814,1250,4814e" filled="false" stroked="true" strokeweight=".5pt" strokecolor="#000000">
              <v:path arrowok="t"/>
              <v:stroke dashstyle="solid"/>
            </v:shape>
            <v:rect style="position:absolute;left:1418;top:4794;width:147;height:20" filled="true" fillcolor="#ed1b2d" stroked="false">
              <v:fill type="solid"/>
            </v:rect>
            <v:rect style="position:absolute;left:1418;top:4794;width:147;height:20" filled="false" stroked="true" strokeweight=".5pt" strokecolor="#000000">
              <v:stroke dashstyle="solid"/>
            </v:rect>
            <v:rect style="position:absolute;left:1418;top:4734;width:145;height:60" filled="true" fillcolor="#0066a5" stroked="false">
              <v:fill type="solid"/>
            </v:rect>
            <v:rect style="position:absolute;left:1418;top:4734;width:145;height:60" filled="false" stroked="true" strokeweight=".5pt" strokecolor="#000000">
              <v:stroke dashstyle="solid"/>
            </v:rect>
            <v:line style="position:absolute" from="1630,4816" to="1710,4816" stroked="true" strokeweight=".344pt" strokecolor="#000000">
              <v:stroke dashstyle="solid"/>
            </v:line>
            <v:line style="position:absolute" from="1610,4814" to="1610,4814" stroked="true" strokeweight=".5pt" strokecolor="#000000">
              <v:stroke dashstyle="solid"/>
            </v:line>
            <v:shape style="position:absolute;left:1650;top:4812;width:60;height:7" coordorigin="1650,4812" coordsize="60,7" path="m1650,4812l1650,4819m1670,4812l1670,4819m1710,4812l1710,4819e" filled="false" stroked="true" strokeweight="0pt" strokecolor="#000000">
              <v:path arrowok="t"/>
              <v:stroke dashstyle="solid"/>
            </v:shape>
            <v:rect style="position:absolute;left:1967;top:4674;width:139;height:140" filled="true" fillcolor="#ed1b2d" stroked="false">
              <v:fill type="solid"/>
            </v:rect>
            <v:rect style="position:absolute;left:1967;top:4674;width:139;height:140" filled="false" stroked="true" strokeweight=".5pt" strokecolor="#000000">
              <v:stroke dashstyle="solid"/>
            </v:rect>
            <v:rect style="position:absolute;left:1967;top:4634;width:139;height:40" filled="true" fillcolor="#0066a5" stroked="false">
              <v:fill type="solid"/>
            </v:rect>
            <v:rect style="position:absolute;left:1967;top:4634;width:139;height:40" filled="false" stroked="true" strokeweight=".5pt" strokecolor="#000000">
              <v:stroke dashstyle="solid"/>
            </v:rect>
            <v:rect style="position:absolute;left:2161;top:4494;width:147;height:320" filled="true" fillcolor="#ed1b2d" stroked="false">
              <v:fill type="solid"/>
            </v:rect>
            <v:rect style="position:absolute;left:2161;top:4494;width:147;height:320" filled="false" stroked="true" strokeweight=".5pt" strokecolor="#000000">
              <v:stroke dashstyle="solid"/>
            </v:rect>
            <v:rect style="position:absolute;left:2161;top:4434;width:147;height:60" filled="true" fillcolor="#0066a5" stroked="false">
              <v:fill type="solid"/>
            </v:rect>
            <v:rect style="position:absolute;left:2161;top:4434;width:147;height:60" filled="false" stroked="true" strokeweight=".5pt" strokecolor="#000000">
              <v:stroke dashstyle="solid"/>
            </v:rect>
            <v:rect style="position:absolute;left:2352;top:4234;width:140;height:580" filled="true" fillcolor="#ed1b2d" stroked="false">
              <v:fill type="solid"/>
            </v:rect>
            <v:rect style="position:absolute;left:2352;top:4234;width:140;height:580" filled="false" stroked="true" strokeweight=".5pt" strokecolor="#000000">
              <v:stroke dashstyle="solid"/>
            </v:rect>
            <v:rect style="position:absolute;left:2352;top:4174;width:140;height:60" filled="true" fillcolor="#0066a5" stroked="false">
              <v:fill type="solid"/>
            </v:rect>
            <v:rect style="position:absolute;left:2352;top:4174;width:140;height:60" filled="false" stroked="true" strokeweight=".5pt" strokecolor="#000000">
              <v:stroke dashstyle="solid"/>
            </v:rect>
            <v:rect style="position:absolute;left:2547;top:4274;width:140;height:540" filled="true" fillcolor="#ed1b2d" stroked="false">
              <v:fill type="solid"/>
            </v:rect>
            <v:rect style="position:absolute;left:2547;top:4274;width:140;height:540" filled="false" stroked="true" strokeweight=".5pt" strokecolor="#000000">
              <v:stroke dashstyle="solid"/>
            </v:rect>
            <v:rect style="position:absolute;left:2547;top:3394;width:140;height:880" filled="true" fillcolor="#0066a5" stroked="false">
              <v:fill type="solid"/>
            </v:rect>
            <v:rect style="position:absolute;left:2547;top:3394;width:140;height:880" filled="false" stroked="true" strokeweight=".5pt" strokecolor="#000000">
              <v:stroke dashstyle="solid"/>
            </v:rect>
            <v:rect style="position:absolute;left:2732;top:4694;width:144;height:120" filled="true" fillcolor="#ed1b2d" stroked="false">
              <v:fill type="solid"/>
            </v:rect>
            <v:rect style="position:absolute;left:2732;top:4694;width:144;height:120" filled="false" stroked="true" strokeweight=".5pt" strokecolor="#000000">
              <v:stroke dashstyle="solid"/>
            </v:rect>
            <v:rect style="position:absolute;left:2732;top:4394;width:144;height:300" filled="true" fillcolor="#0066a5" stroked="false">
              <v:fill type="solid"/>
            </v:rect>
            <v:rect style="position:absolute;left:2732;top:4394;width:144;height:300" filled="false" stroked="true" strokeweight=".5pt" strokecolor="#000000">
              <v:stroke dashstyle="solid"/>
            </v:rect>
            <v:rect style="position:absolute;left:2912;top:4634;width:144;height:180" filled="true" fillcolor="#ed1b2d" stroked="false">
              <v:fill type="solid"/>
            </v:rect>
            <v:rect style="position:absolute;left:2912;top:4634;width:144;height:180" filled="false" stroked="true" strokeweight=".5pt" strokecolor="#000000">
              <v:stroke dashstyle="solid"/>
            </v:rect>
            <v:rect style="position:absolute;left:2912;top:4594;width:144;height:40" filled="true" fillcolor="#0066a5" stroked="false">
              <v:fill type="solid"/>
            </v:rect>
            <v:rect style="position:absolute;left:2912;top:4594;width:144;height:40" filled="false" stroked="true" strokeweight=".5pt" strokecolor="#000000">
              <v:stroke dashstyle="solid"/>
            </v:rect>
            <v:rect style="position:absolute;left:3095;top:4754;width:153;height:60" filled="true" fillcolor="#ed1b2d" stroked="false">
              <v:fill type="solid"/>
            </v:rect>
            <v:rect style="position:absolute;left:3095;top:4754;width:153;height:60" filled="false" stroked="true" strokeweight=".5pt" strokecolor="#000000">
              <v:stroke dashstyle="solid"/>
            </v:rect>
            <v:rect style="position:absolute;left:3095;top:4734;width:153;height:20" filled="true" fillcolor="#0066a5" stroked="false">
              <v:fill type="solid"/>
            </v:rect>
            <v:shape style="position:absolute;left:3095;top:4734;width:695;height:80" coordorigin="3095,4734" coordsize="695,80" path="m3095,4754l3248,4754,3248,4734,3095,4734,3095,4754m3310,4814l3410,4814,3310,4814m3510,4814l3590,4814,3510,4814m3690,4814l3790,4814,3690,4814e" filled="false" stroked="true" strokeweight=".5pt" strokecolor="#000000">
              <v:path arrowok="t"/>
              <v:stroke dashstyle="solid"/>
            </v:shape>
            <v:shape style="position:absolute;left:3690;top:4814;width:100;height:2" coordorigin="3690,4814" coordsize="100,0" path="m3690,4814l3690,4814m3710,4814l3710,4814m3750,4814l3750,4814m3770,4814l3770,4814m3790,4814l3790,4814e" filled="false" stroked="true" strokeweight=".5pt" strokecolor="#000000">
              <v:path arrowok="t"/>
              <v:stroke dashstyle="solid"/>
            </v:shape>
            <v:shape style="position:absolute;left:3870;top:4814;width:100;height:2" coordorigin="3870,4814" coordsize="100,0" path="m3870,4814l3970,4814,3870,4814e" filled="false" stroked="true" strokeweight=".5pt" strokecolor="#000000">
              <v:path arrowok="t"/>
              <v:stroke dashstyle="solid"/>
            </v:shape>
            <v:shape style="position:absolute;left:2325;top:4824;width:1510;height:2" coordorigin="2325,4824" coordsize="1510,0" path="m2325,4824l2335,4824m2505,4824l2515,4824m2705,4824l2715,4824m2885,4824l2895,4824m3065,4824l3075,4824m3265,4824l3275,4824m3445,4824l3455,4824m3645,4824l3655,4824m3825,4824l3835,4824e" filled="false" stroked="true" strokeweight="1pt" strokecolor="#000000">
              <v:path arrowok="t"/>
              <v:stroke dashstyle="solid"/>
            </v:shape>
            <v:shape style="position:absolute;left:4070;top:3514;width:100;height:1300" coordorigin="4070,3514" coordsize="100,1300" path="m4170,4814l4070,4814m4170,4594l4070,4594m4170,4374l4070,4374m4170,4154l4070,4154m4170,3954l4070,3954m4170,3734l4070,3734m4170,3514l4070,3514e" filled="false" stroked="true" strokeweight=".5pt" strokecolor="#000000">
              <v:path arrowok="t"/>
              <v:stroke dashstyle="solid"/>
            </v:shape>
            <v:shape style="position:absolute;left:1205;top:4824;width:750;height:2" coordorigin="1205,4824" coordsize="750,0" path="m1385,4824l1395,4824m1765,4824l1775,4824m1945,4824l1955,4824m1205,4824l1215,4824m1585,4824l1595,4824e" filled="false" stroked="true" strokeweight="1pt" strokecolor="#000000">
              <v:path arrowok="t"/>
              <v:stroke dashstyle="solid"/>
            </v:shape>
            <v:line style="position:absolute" from="2130,-6" to="2130,4834" stroked="true" strokeweight=".5pt" strokecolor="#000000">
              <v:stroke dashstyle="solid"/>
            </v:line>
            <v:rect style="position:absolute;left:1608;top:1404;width:145;height:60" filled="true" fillcolor="#ed1b2d" stroked="false">
              <v:fill type="solid"/>
            </v:rect>
            <v:rect style="position:absolute;left:1608;top:1404;width:145;height:60" filled="false" stroked="true" strokeweight=".5pt" strokecolor="#000000">
              <v:stroke dashstyle="solid"/>
            </v:rect>
            <v:shape style="position:absolute;left:1630;top:1404;width:80;height:2" coordorigin="1630,1404" coordsize="80,0" path="m1710,1404l1630,1404,1710,1404xe" filled="true" fillcolor="#0066a5" stroked="false">
              <v:path arrowok="t"/>
              <v:fill type="solid"/>
            </v:shape>
            <v:shape style="position:absolute;left:1630;top:1404;width:80;height:2" coordorigin="1630,1404" coordsize="80,0" path="m1630,1404l1710,1404,1630,1404e" filled="false" stroked="true" strokeweight=".5pt" strokecolor="#000000">
              <v:path arrowok="t"/>
              <v:stroke dashstyle="solid"/>
            </v:shape>
            <v:rect style="position:absolute;left:1792;top:1384;width:142;height:80" filled="true" fillcolor="#ed1b2d" stroked="false">
              <v:fill type="solid"/>
            </v:rect>
            <v:rect style="position:absolute;left:1792;top:1384;width:142;height:80" filled="false" stroked="true" strokeweight=".5pt" strokecolor="#000000">
              <v:stroke dashstyle="solid"/>
            </v:rect>
            <v:shape style="position:absolute;left:1810;top:1384;width:100;height:2" coordorigin="1810,1384" coordsize="100,0" path="m1910,1384l1810,1384,1910,1384xe" filled="true" fillcolor="#0066a5" stroked="false">
              <v:path arrowok="t"/>
              <v:fill type="solid"/>
            </v:shape>
            <v:shape style="position:absolute;left:1810;top:1384;width:100;height:2" coordorigin="1810,1384" coordsize="100,0" path="m1810,1384l1910,1384,1810,1384e" filled="false" stroked="true" strokeweight=".5pt" strokecolor="#000000">
              <v:path arrowok="t"/>
              <v:stroke dashstyle="solid"/>
            </v:shape>
            <v:rect style="position:absolute;left:1608;top:3024;width:145;height:100" filled="true" fillcolor="#ed1b2d" stroked="false">
              <v:fill type="solid"/>
            </v:rect>
            <v:rect style="position:absolute;left:1608;top:3024;width:145;height:100" filled="false" stroked="true" strokeweight=".5pt" strokecolor="#000000">
              <v:stroke dashstyle="solid"/>
            </v:rect>
            <v:rect style="position:absolute;left:1608;top:2964;width:145;height:60" filled="true" fillcolor="#0066a5" stroked="false">
              <v:fill type="solid"/>
            </v:rect>
            <v:rect style="position:absolute;left:1608;top:2964;width:145;height:60" filled="false" stroked="true" strokeweight=".5pt" strokecolor="#000000">
              <v:stroke dashstyle="solid"/>
            </v:rect>
            <v:rect style="position:absolute;left:1788;top:2984;width:148;height:140" filled="true" fillcolor="#ed1b2d" stroked="false">
              <v:fill type="solid"/>
            </v:rect>
            <v:rect style="position:absolute;left:1788;top:2984;width:148;height:140" filled="false" stroked="true" strokeweight=".5pt" strokecolor="#000000">
              <v:stroke dashstyle="solid"/>
            </v:rect>
            <v:rect style="position:absolute;left:1788;top:2924;width:148;height:60" filled="true" fillcolor="#0066a5" stroked="false">
              <v:fill type="solid"/>
            </v:rect>
            <v:rect style="position:absolute;left:1788;top:2924;width:148;height:60" filled="false" stroked="true" strokeweight=".5pt" strokecolor="#000000">
              <v:stroke dashstyle="solid"/>
            </v:rect>
            <v:rect style="position:absolute;left:1790;top:4474;width:140;height:340" filled="true" fillcolor="#ed1b2d" stroked="false">
              <v:fill type="solid"/>
            </v:rect>
            <v:rect style="position:absolute;left:1790;top:4474;width:140;height:340" filled="false" stroked="true" strokeweight=".5pt" strokecolor="#000000">
              <v:stroke dashstyle="solid"/>
            </v:rect>
            <v:rect style="position:absolute;left:1790;top:4434;width:140;height:40" filled="true" fillcolor="#0066a5" stroked="false">
              <v:fill type="solid"/>
            </v:rect>
            <v:rect style="position:absolute;left:1790;top:4434;width:140;height:40" filled="false" stroked="true" strokeweight=".5pt" strokecolor="#000000">
              <v:stroke dashstyle="solid"/>
            </v:rect>
            <v:rect style="position:absolute;left:1611;top:4692;width:142;height:120" filled="true" fillcolor="#ed1b2d" stroked="false">
              <v:fill type="solid"/>
            </v:rect>
            <v:rect style="position:absolute;left:1611;top:4692;width:142;height:120" filled="false" stroked="true" strokeweight=".5pt" strokecolor="#000000">
              <v:stroke dashstyle="solid"/>
            </v:rect>
            <v:rect style="position:absolute;left:1611;top:4592;width:142;height:100" filled="true" fillcolor="#0066a5" stroked="false">
              <v:fill type="solid"/>
            </v:rect>
            <v:rect style="position:absolute;left:1611;top:4592;width:142;height:100" filled="false" stroked="true" strokeweight=".5pt" strokecolor="#000000">
              <v:stroke dashstyle="solid"/>
            </v:rect>
            <v:rect style="position:absolute;left:3480;top:3112;width:145;height:9" filled="true" fillcolor="#ed1b2d" stroked="false">
              <v:fill type="solid"/>
            </v:rect>
            <v:rect style="position:absolute;left:3480;top:3112;width:145;height:9" filled="false" stroked="true" strokeweight=".5pt" strokecolor="#000000">
              <v:stroke dashstyle="solid"/>
            </v:rect>
            <v:rect style="position:absolute;left:3675;top:3114;width:142;height:9" filled="true" fillcolor="#ed1b2d" stroked="false">
              <v:fill type="solid"/>
            </v:rect>
            <v:rect style="position:absolute;left:3675;top:3114;width:142;height:9" filled="false" stroked="true" strokeweight=".5pt" strokecolor="#000000">
              <v:stroke dashstyle="solid"/>
            </v:rect>
            <v:rect style="position:absolute;left:3480;top:4805;width:145;height:6" filled="true" fillcolor="#ed1b2d" stroked="false">
              <v:fill type="solid"/>
            </v:rect>
            <v:shape style="position:absolute;left:3480;top:4805;width:145;height:11" coordorigin="3480,4805" coordsize="145,11" path="m3480,4811l3625,4811,3625,4805,3480,4805,3480,4816e" filled="false" stroked="true" strokeweight=".5pt" strokecolor="#000000">
              <v:path arrowok="t"/>
              <v:stroke dashstyle="solid"/>
            </v:shape>
            <v:shape style="position:absolute;left:1040;top:-53;width:440;height:133" type="#_x0000_t202" filled="false" stroked="false">
              <v:textbox inset="0,0,0,0">
                <w:txbxContent>
                  <w:p>
                    <w:pPr>
                      <w:spacing w:line="133" w:lineRule="exact" w:before="0"/>
                      <w:ind w:left="0" w:right="0" w:firstLine="0"/>
                      <w:jc w:val="left"/>
                      <w:rPr>
                        <w:b/>
                        <w:sz w:val="12"/>
                      </w:rPr>
                    </w:pPr>
                    <w:r>
                      <w:rPr>
                        <w:b/>
                        <w:sz w:val="12"/>
                      </w:rPr>
                      <w:t>1988–92</w:t>
                    </w:r>
                  </w:p>
                </w:txbxContent>
              </v:textbox>
              <w10:wrap type="none"/>
            </v:shape>
            <v:shape style="position:absolute;left:3785;top:1497;width:377;height:133" type="#_x0000_t202" filled="false" stroked="false">
              <v:textbox inset="0,0,0,0">
                <w:txbxContent>
                  <w:p>
                    <w:pPr>
                      <w:spacing w:line="133" w:lineRule="exact" w:before="0"/>
                      <w:ind w:left="0" w:right="0" w:firstLine="0"/>
                      <w:jc w:val="left"/>
                      <w:rPr>
                        <w:sz w:val="12"/>
                      </w:rPr>
                    </w:pPr>
                    <w:r>
                      <w:rPr>
                        <w:sz w:val="12"/>
                      </w:rPr>
                      <w:t>Per ce</w:t>
                    </w:r>
                    <w:r>
                      <w:rPr>
                        <w:sz w:val="12"/>
                        <w:u w:val="single"/>
                      </w:rPr>
                      <w:t>n</w:t>
                    </w:r>
                  </w:p>
                </w:txbxContent>
              </v:textbox>
              <w10:wrap type="none"/>
            </v:shape>
            <v:shape style="position:absolute;left:1040;top:1607;width:440;height:133" type="#_x0000_t202" filled="false" stroked="false">
              <v:textbox inset="0,0,0,0">
                <w:txbxContent>
                  <w:p>
                    <w:pPr>
                      <w:spacing w:line="133" w:lineRule="exact" w:before="0"/>
                      <w:ind w:left="0" w:right="0" w:firstLine="0"/>
                      <w:jc w:val="left"/>
                      <w:rPr>
                        <w:b/>
                        <w:sz w:val="12"/>
                      </w:rPr>
                    </w:pPr>
                    <w:r>
                      <w:rPr>
                        <w:b/>
                        <w:sz w:val="12"/>
                      </w:rPr>
                      <w:t>1993–97</w:t>
                    </w:r>
                  </w:p>
                </w:txbxContent>
              </v:textbox>
              <w10:wrap type="none"/>
            </v:shape>
            <v:shape style="position:absolute;left:3785;top:3157;width:377;height:133" type="#_x0000_t202" filled="false" stroked="false">
              <v:textbox inset="0,0,0,0">
                <w:txbxContent>
                  <w:p>
                    <w:pPr>
                      <w:spacing w:line="133" w:lineRule="exact" w:before="0"/>
                      <w:ind w:left="0" w:right="0" w:firstLine="0"/>
                      <w:jc w:val="left"/>
                      <w:rPr>
                        <w:sz w:val="12"/>
                      </w:rPr>
                    </w:pPr>
                    <w:r>
                      <w:rPr>
                        <w:sz w:val="12"/>
                      </w:rPr>
                      <w:t>Per ce</w:t>
                    </w:r>
                    <w:r>
                      <w:rPr>
                        <w:sz w:val="12"/>
                        <w:u w:val="single"/>
                      </w:rPr>
                      <w:t>n</w:t>
                    </w:r>
                  </w:p>
                </w:txbxContent>
              </v:textbox>
              <w10:wrap type="none"/>
            </v:shape>
            <v:shape style="position:absolute;left:1100;top:3317;width:260;height:133" type="#_x0000_t202" filled="false" stroked="false">
              <v:textbox inset="0,0,0,0">
                <w:txbxContent>
                  <w:p>
                    <w:pPr>
                      <w:spacing w:line="133" w:lineRule="exact" w:before="0"/>
                      <w:ind w:left="0" w:right="0" w:firstLine="0"/>
                      <w:jc w:val="left"/>
                      <w:rPr>
                        <w:b/>
                        <w:sz w:val="12"/>
                      </w:rPr>
                    </w:pPr>
                    <w:r>
                      <w:rPr>
                        <w:b/>
                        <w:sz w:val="12"/>
                      </w:rPr>
                      <w:t>1998</w:t>
                    </w:r>
                  </w:p>
                </w:txbxContent>
              </v:textbox>
              <w10:wrap type="none"/>
            </v:shape>
            <v:shape style="position:absolute;left:1160;top:4801;width:2750;height:182" type="#_x0000_t202" filled="false" stroked="false">
              <v:textbox inset="0,0,0,0">
                <w:txbxContent>
                  <w:p>
                    <w:pPr>
                      <w:spacing w:line="181" w:lineRule="exact" w:before="0"/>
                      <w:ind w:left="0" w:right="0" w:firstLine="0"/>
                      <w:jc w:val="left"/>
                      <w:rPr>
                        <w:sz w:val="11"/>
                      </w:rPr>
                    </w:pPr>
                    <w:r>
                      <w:rPr>
                        <w:sz w:val="11"/>
                      </w:rPr>
                      <w:t>10 7.5 5 2.5 1 0 </w:t>
                    </w:r>
                    <w:r>
                      <w:rPr>
                        <w:position w:val="1"/>
                        <w:sz w:val="16"/>
                      </w:rPr>
                      <w:t>+ </w:t>
                    </w:r>
                    <w:r>
                      <w:rPr>
                        <w:sz w:val="11"/>
                      </w:rPr>
                      <w:t>1 2.5 5 7.5 10 12.5 15 17.5 20</w:t>
                    </w:r>
                  </w:p>
                </w:txbxContent>
              </v:textbox>
              <w10:wrap type="none"/>
            </v:shape>
            <v:shape style="position:absolute;left:2000;top:4741;width:100;height:178" type="#_x0000_t202" filled="false" stroked="false">
              <v:textbox inset="0,0,0,0">
                <w:txbxContent>
                  <w:p>
                    <w:pPr>
                      <w:spacing w:line="177" w:lineRule="exact" w:before="0"/>
                      <w:ind w:left="0" w:right="0" w:firstLine="0"/>
                      <w:jc w:val="left"/>
                      <w:rPr>
                        <w:sz w:val="16"/>
                      </w:rPr>
                    </w:pPr>
                    <w:r>
                      <w:rPr>
                        <w:sz w:val="16"/>
                      </w:rPr>
                      <w:t>_</w:t>
                    </w:r>
                  </w:p>
                </w:txbxContent>
              </v:textbox>
              <w10:wrap type="none"/>
            </v:shape>
            <w10:wrap type="none"/>
          </v:group>
        </w:pict>
      </w:r>
      <w:r>
        <w:rPr/>
        <w:pict>
          <v:line style="position:absolute;mso-position-horizontal-relative:page;mso-position-vertical-relative:paragraph;z-index:16039936" from="208.5pt,8.201563pt" to="203.5pt,8.201563pt" stroked="true" strokeweight=".5pt" strokecolor="#000000">
            <v:stroke dashstyle="solid"/>
            <w10:wrap type="none"/>
          </v:line>
        </w:pict>
      </w:r>
      <w:r>
        <w:rPr>
          <w:sz w:val="12"/>
        </w:rPr>
        <w:t>30</w:t>
      </w:r>
    </w:p>
    <w:p>
      <w:pPr>
        <w:spacing w:before="82"/>
        <w:ind w:left="834" w:right="0" w:firstLine="0"/>
        <w:jc w:val="left"/>
        <w:rPr>
          <w:sz w:val="12"/>
        </w:rPr>
      </w:pPr>
      <w:r>
        <w:rPr>
          <w:sz w:val="12"/>
        </w:rPr>
        <w:t>25</w:t>
      </w:r>
    </w:p>
    <w:p>
      <w:pPr>
        <w:spacing w:before="82"/>
        <w:ind w:left="834" w:right="0" w:firstLine="0"/>
        <w:jc w:val="left"/>
        <w:rPr>
          <w:sz w:val="12"/>
        </w:rPr>
      </w:pPr>
      <w:r>
        <w:rPr>
          <w:sz w:val="12"/>
        </w:rPr>
        <w:t>20</w:t>
      </w:r>
    </w:p>
    <w:p>
      <w:pPr>
        <w:spacing w:before="62"/>
        <w:ind w:left="834" w:right="0" w:firstLine="0"/>
        <w:jc w:val="left"/>
        <w:rPr>
          <w:sz w:val="12"/>
        </w:rPr>
      </w:pPr>
      <w:r>
        <w:rPr>
          <w:sz w:val="12"/>
        </w:rPr>
        <w:t>15</w:t>
      </w:r>
    </w:p>
    <w:p>
      <w:pPr>
        <w:spacing w:before="82"/>
        <w:ind w:left="834" w:right="0" w:firstLine="0"/>
        <w:jc w:val="left"/>
        <w:rPr>
          <w:sz w:val="12"/>
        </w:rPr>
      </w:pPr>
      <w:r>
        <w:rPr>
          <w:sz w:val="12"/>
        </w:rPr>
        <w:t>10</w:t>
      </w:r>
    </w:p>
    <w:p>
      <w:pPr>
        <w:spacing w:before="82"/>
        <w:ind w:left="894" w:right="0" w:firstLine="0"/>
        <w:jc w:val="left"/>
        <w:rPr>
          <w:sz w:val="12"/>
        </w:rPr>
      </w:pPr>
      <w:r>
        <w:rPr>
          <w:sz w:val="12"/>
        </w:rPr>
        <w:t>5</w:t>
      </w:r>
    </w:p>
    <w:p>
      <w:pPr>
        <w:spacing w:line="124" w:lineRule="exact" w:before="82"/>
        <w:ind w:left="894" w:right="0" w:firstLine="0"/>
        <w:jc w:val="left"/>
        <w:rPr>
          <w:sz w:val="12"/>
        </w:rPr>
      </w:pPr>
      <w:r>
        <w:rPr>
          <w:sz w:val="12"/>
        </w:rPr>
        <w:t>0</w:t>
      </w:r>
    </w:p>
    <w:p>
      <w:pPr>
        <w:spacing w:line="154" w:lineRule="exact" w:before="0"/>
        <w:ind w:left="756" w:right="0" w:firstLine="0"/>
        <w:jc w:val="left"/>
        <w:rPr>
          <w:sz w:val="12"/>
        </w:rPr>
      </w:pPr>
      <w:r>
        <w:rPr>
          <w:position w:val="3"/>
          <w:sz w:val="12"/>
        </w:rPr>
        <w:t>t</w:t>
      </w:r>
      <w:r>
        <w:rPr>
          <w:spacing w:val="15"/>
          <w:position w:val="3"/>
          <w:sz w:val="12"/>
        </w:rPr>
        <w:t> </w:t>
      </w:r>
      <w:r>
        <w:rPr>
          <w:sz w:val="12"/>
        </w:rPr>
        <w:t>35</w:t>
      </w:r>
    </w:p>
    <w:p>
      <w:pPr>
        <w:spacing w:before="82"/>
        <w:ind w:left="834" w:right="0" w:firstLine="0"/>
        <w:jc w:val="left"/>
        <w:rPr>
          <w:sz w:val="12"/>
        </w:rPr>
      </w:pPr>
      <w:r>
        <w:rPr/>
        <w:pict>
          <v:line style="position:absolute;mso-position-horizontal-relative:page;mso-position-vertical-relative:paragraph;z-index:16043008" from="208.5pt,8.201563pt" to="203.5pt,8.201563pt" stroked="true" strokeweight=".5pt" strokecolor="#000000">
            <v:stroke dashstyle="solid"/>
            <w10:wrap type="none"/>
          </v:line>
        </w:pict>
      </w:r>
      <w:r>
        <w:rPr>
          <w:sz w:val="12"/>
        </w:rPr>
        <w:t>30</w:t>
      </w:r>
    </w:p>
    <w:p>
      <w:pPr>
        <w:spacing w:before="82"/>
        <w:ind w:left="834" w:right="0" w:firstLine="0"/>
        <w:jc w:val="left"/>
        <w:rPr>
          <w:sz w:val="12"/>
        </w:rPr>
      </w:pPr>
      <w:r>
        <w:rPr/>
        <w:pict>
          <v:line style="position:absolute;mso-position-horizontal-relative:page;mso-position-vertical-relative:paragraph;z-index:16042496" from="208.5pt,8.201563pt" to="203.5pt,8.201563pt" stroked="true" strokeweight=".5pt" strokecolor="#000000">
            <v:stroke dashstyle="solid"/>
            <w10:wrap type="none"/>
          </v:line>
        </w:pict>
      </w:r>
      <w:r>
        <w:rPr>
          <w:sz w:val="12"/>
        </w:rPr>
        <w:t>25</w:t>
      </w:r>
    </w:p>
    <w:p>
      <w:pPr>
        <w:spacing w:before="82"/>
        <w:ind w:left="834" w:right="0" w:firstLine="0"/>
        <w:jc w:val="left"/>
        <w:rPr>
          <w:sz w:val="12"/>
        </w:rPr>
      </w:pPr>
      <w:r>
        <w:rPr/>
        <w:pict>
          <v:line style="position:absolute;mso-position-horizontal-relative:page;mso-position-vertical-relative:paragraph;z-index:16041984" from="208.5pt,8.201563pt" to="203.5pt,8.201563pt" stroked="true" strokeweight=".5pt" strokecolor="#000000">
            <v:stroke dashstyle="solid"/>
            <w10:wrap type="none"/>
          </v:line>
        </w:pict>
      </w:r>
      <w:r>
        <w:rPr>
          <w:sz w:val="12"/>
        </w:rPr>
        <w:t>20</w:t>
      </w:r>
    </w:p>
    <w:p>
      <w:pPr>
        <w:spacing w:before="62"/>
        <w:ind w:left="834" w:right="0" w:firstLine="0"/>
        <w:jc w:val="left"/>
        <w:rPr>
          <w:sz w:val="12"/>
        </w:rPr>
      </w:pPr>
      <w:r>
        <w:rPr/>
        <w:pict>
          <v:line style="position:absolute;mso-position-horizontal-relative:page;mso-position-vertical-relative:paragraph;z-index:16041472" from="208.5pt,8.201563pt" to="203.5pt,8.201563pt" stroked="true" strokeweight=".5pt" strokecolor="#000000">
            <v:stroke dashstyle="solid"/>
            <w10:wrap type="none"/>
          </v:line>
        </w:pict>
      </w:r>
      <w:r>
        <w:rPr>
          <w:sz w:val="12"/>
        </w:rPr>
        <w:t>15</w:t>
      </w:r>
    </w:p>
    <w:p>
      <w:pPr>
        <w:spacing w:before="82"/>
        <w:ind w:left="834" w:right="0" w:firstLine="0"/>
        <w:jc w:val="left"/>
        <w:rPr>
          <w:sz w:val="12"/>
        </w:rPr>
      </w:pPr>
      <w:r>
        <w:rPr/>
        <w:pict>
          <v:line style="position:absolute;mso-position-horizontal-relative:page;mso-position-vertical-relative:paragraph;z-index:16040960" from="208.5pt,8.201563pt" to="203.5pt,8.201563pt" stroked="true" strokeweight=".5pt" strokecolor="#000000">
            <v:stroke dashstyle="solid"/>
            <w10:wrap type="none"/>
          </v:line>
        </w:pict>
      </w:r>
      <w:r>
        <w:rPr>
          <w:sz w:val="12"/>
        </w:rPr>
        <w:t>10</w:t>
      </w:r>
    </w:p>
    <w:p>
      <w:pPr>
        <w:spacing w:before="82"/>
        <w:ind w:left="894" w:right="0" w:firstLine="0"/>
        <w:jc w:val="left"/>
        <w:rPr>
          <w:sz w:val="12"/>
        </w:rPr>
      </w:pPr>
      <w:r>
        <w:rPr/>
        <w:pict>
          <v:line style="position:absolute;mso-position-horizontal-relative:page;mso-position-vertical-relative:paragraph;z-index:16040448" from="208.5pt,8.201563pt" to="203.5pt,8.201563pt" stroked="true" strokeweight=".5pt" strokecolor="#000000">
            <v:stroke dashstyle="solid"/>
            <w10:wrap type="none"/>
          </v:line>
        </w:pict>
      </w:r>
      <w:r>
        <w:rPr>
          <w:sz w:val="12"/>
        </w:rPr>
        <w:t>5</w:t>
      </w:r>
    </w:p>
    <w:p>
      <w:pPr>
        <w:spacing w:line="124" w:lineRule="exact" w:before="82"/>
        <w:ind w:left="894" w:right="0" w:firstLine="0"/>
        <w:jc w:val="left"/>
        <w:rPr>
          <w:sz w:val="12"/>
        </w:rPr>
      </w:pPr>
      <w:r>
        <w:rPr>
          <w:sz w:val="12"/>
        </w:rPr>
        <w:t>0</w:t>
      </w:r>
    </w:p>
    <w:p>
      <w:pPr>
        <w:spacing w:line="184" w:lineRule="exact" w:before="0"/>
        <w:ind w:left="756" w:right="0" w:firstLine="0"/>
        <w:jc w:val="left"/>
        <w:rPr>
          <w:sz w:val="12"/>
        </w:rPr>
      </w:pPr>
      <w:r>
        <w:rPr>
          <w:position w:val="6"/>
          <w:sz w:val="12"/>
        </w:rPr>
        <w:t>t</w:t>
      </w:r>
      <w:r>
        <w:rPr>
          <w:spacing w:val="15"/>
          <w:position w:val="6"/>
          <w:sz w:val="12"/>
        </w:rPr>
        <w:t> </w:t>
      </w:r>
      <w:r>
        <w:rPr>
          <w:sz w:val="12"/>
        </w:rPr>
        <w:t>35</w:t>
      </w:r>
    </w:p>
    <w:p>
      <w:pPr>
        <w:spacing w:before="82"/>
        <w:ind w:left="834" w:right="0" w:firstLine="0"/>
        <w:jc w:val="left"/>
        <w:rPr>
          <w:sz w:val="12"/>
        </w:rPr>
      </w:pPr>
      <w:r>
        <w:rPr>
          <w:sz w:val="12"/>
        </w:rPr>
        <w:t>30</w:t>
      </w:r>
    </w:p>
    <w:p>
      <w:pPr>
        <w:spacing w:before="82"/>
        <w:ind w:left="834" w:right="0" w:firstLine="0"/>
        <w:jc w:val="left"/>
        <w:rPr>
          <w:sz w:val="12"/>
        </w:rPr>
      </w:pPr>
      <w:r>
        <w:rPr>
          <w:sz w:val="12"/>
        </w:rPr>
        <w:t>25</w:t>
      </w:r>
    </w:p>
    <w:p>
      <w:pPr>
        <w:spacing w:before="82"/>
        <w:ind w:left="834" w:right="0" w:firstLine="0"/>
        <w:jc w:val="left"/>
        <w:rPr>
          <w:sz w:val="12"/>
        </w:rPr>
      </w:pPr>
      <w:r>
        <w:rPr>
          <w:sz w:val="12"/>
        </w:rPr>
        <w:t>20</w:t>
      </w:r>
    </w:p>
    <w:p>
      <w:pPr>
        <w:spacing w:before="62"/>
        <w:ind w:left="834" w:right="0" w:firstLine="0"/>
        <w:jc w:val="left"/>
        <w:rPr>
          <w:sz w:val="12"/>
        </w:rPr>
      </w:pPr>
      <w:r>
        <w:rPr>
          <w:sz w:val="12"/>
        </w:rPr>
        <w:t>15</w:t>
      </w:r>
    </w:p>
    <w:p>
      <w:pPr>
        <w:spacing w:before="82"/>
        <w:ind w:left="834" w:right="0" w:firstLine="0"/>
        <w:jc w:val="left"/>
        <w:rPr>
          <w:sz w:val="12"/>
        </w:rPr>
      </w:pPr>
      <w:r>
        <w:rPr>
          <w:sz w:val="12"/>
        </w:rPr>
        <w:t>10</w:t>
      </w:r>
    </w:p>
    <w:p>
      <w:pPr>
        <w:spacing w:before="82"/>
        <w:ind w:left="894" w:right="0" w:firstLine="0"/>
        <w:jc w:val="left"/>
        <w:rPr>
          <w:sz w:val="12"/>
        </w:rPr>
      </w:pPr>
      <w:r>
        <w:rPr>
          <w:sz w:val="12"/>
        </w:rPr>
        <w:t>5</w:t>
      </w:r>
    </w:p>
    <w:p>
      <w:pPr>
        <w:spacing w:before="82"/>
        <w:ind w:left="894" w:right="0" w:firstLine="0"/>
        <w:jc w:val="left"/>
        <w:rPr>
          <w:sz w:val="12"/>
        </w:rPr>
      </w:pPr>
      <w:r>
        <w:rPr>
          <w:sz w:val="12"/>
        </w:rPr>
        <w:t>0</w:t>
      </w:r>
    </w:p>
    <w:p>
      <w:pPr>
        <w:pStyle w:val="Heading4"/>
        <w:spacing w:line="242" w:lineRule="auto" w:before="2"/>
        <w:ind w:left="400" w:right="254"/>
      </w:pPr>
      <w:r>
        <w:rPr/>
        <w:br w:type="column"/>
      </w:r>
      <w:r>
        <w:rPr/>
        <w:t>smaller relative price changes. Chart 4.7 shows the distribution of weighted twelve-month price changes in the 77 categories of goods and services included in RPIX inflation. As well as moving down with lower inflation since the late 1980s, the distribution of prices has also narrowed slightly, which means that the variance of relative price movements has been a little lower. Price cuts have become more common: in 1998, 20% of prices in RPIX were lower than a year earlier, compared with around 6% in 1988–92. This is particularly true for goods prices—27% fell in 1998, compared with 14% of services prices.</w:t>
      </w:r>
    </w:p>
    <w:p>
      <w:pPr>
        <w:pStyle w:val="BodyText"/>
        <w:spacing w:before="3"/>
        <w:rPr>
          <w:sz w:val="25"/>
        </w:rPr>
      </w:pPr>
    </w:p>
    <w:p>
      <w:pPr>
        <w:spacing w:line="280" w:lineRule="atLeast" w:before="1"/>
        <w:ind w:left="400" w:right="254" w:firstLine="0"/>
        <w:jc w:val="left"/>
        <w:rPr>
          <w:sz w:val="24"/>
        </w:rPr>
      </w:pPr>
      <w:r>
        <w:rPr>
          <w:sz w:val="24"/>
        </w:rPr>
        <w:t>Services price inflation has been above that of goods since December 1996. The gap between RPIX services and goods price inflation narrowed a little in December; services price inflation remained at 3.5%, whereas that for goods rose to 1.4%. But the gap between services and goods price inflation was even wider when measured by RPIY, as petrol prices excluding excise</w:t>
      </w:r>
    </w:p>
    <w:p>
      <w:pPr>
        <w:spacing w:after="0" w:line="280" w:lineRule="atLeast"/>
        <w:jc w:val="left"/>
        <w:rPr>
          <w:sz w:val="24"/>
        </w:rPr>
        <w:sectPr>
          <w:type w:val="continuous"/>
          <w:pgSz w:w="11900" w:h="16840"/>
          <w:pgMar w:top="1220" w:bottom="280" w:left="640" w:right="600"/>
          <w:cols w:num="4" w:equalWidth="0">
            <w:col w:w="754" w:space="216"/>
            <w:col w:w="1487" w:space="288"/>
            <w:col w:w="995" w:space="847"/>
            <w:col w:w="6073"/>
          </w:cols>
        </w:sectPr>
      </w:pPr>
    </w:p>
    <w:p>
      <w:pPr>
        <w:spacing w:line="13" w:lineRule="exact" w:before="0"/>
        <w:ind w:left="190" w:right="0" w:firstLine="0"/>
        <w:jc w:val="left"/>
        <w:rPr>
          <w:sz w:val="12"/>
        </w:rPr>
      </w:pPr>
      <w:r>
        <w:rPr>
          <w:color w:val="231F20"/>
          <w:sz w:val="12"/>
        </w:rPr>
        <w:t>(a) Weighted share of inflation rates, for the 77 categories of goods and</w:t>
      </w:r>
    </w:p>
    <w:p>
      <w:pPr>
        <w:spacing w:line="129" w:lineRule="exact" w:before="0"/>
        <w:ind w:left="430" w:right="0" w:firstLine="0"/>
        <w:jc w:val="left"/>
        <w:rPr>
          <w:sz w:val="12"/>
        </w:rPr>
      </w:pPr>
      <w:r>
        <w:rPr>
          <w:color w:val="231F20"/>
          <w:sz w:val="12"/>
        </w:rPr>
        <w:t>services within RPIX, falling within a given range.</w:t>
      </w:r>
    </w:p>
    <w:p>
      <w:pPr>
        <w:pStyle w:val="Heading4"/>
        <w:spacing w:before="4"/>
        <w:ind w:left="190"/>
      </w:pPr>
      <w:r>
        <w:rPr/>
        <w:br w:type="column"/>
      </w:r>
      <w:r>
        <w:rPr/>
        <w:t>duties were lower than a year earlier.</w:t>
      </w:r>
    </w:p>
    <w:p>
      <w:pPr>
        <w:pStyle w:val="BodyText"/>
        <w:spacing w:before="7"/>
        <w:rPr>
          <w:sz w:val="24"/>
        </w:rPr>
      </w:pPr>
    </w:p>
    <w:p>
      <w:pPr>
        <w:spacing w:line="242" w:lineRule="auto" w:before="1"/>
        <w:ind w:left="190" w:right="328" w:firstLine="0"/>
        <w:jc w:val="left"/>
        <w:rPr>
          <w:sz w:val="24"/>
        </w:rPr>
      </w:pPr>
      <w:r>
        <w:rPr>
          <w:sz w:val="24"/>
        </w:rPr>
        <w:t>The current size of the gap is partly due to goods prices having a higher import content than services, so an</w:t>
      </w:r>
    </w:p>
    <w:p>
      <w:pPr>
        <w:spacing w:after="0" w:line="242" w:lineRule="auto"/>
        <w:jc w:val="left"/>
        <w:rPr>
          <w:sz w:val="24"/>
        </w:rPr>
        <w:sectPr>
          <w:type w:val="continuous"/>
          <w:pgSz w:w="11900" w:h="16840"/>
          <w:pgMar w:top="1220" w:bottom="280" w:left="640" w:right="600"/>
          <w:cols w:num="2" w:equalWidth="0">
            <w:col w:w="3736" w:space="1061"/>
            <w:col w:w="5863"/>
          </w:cols>
        </w:sectPr>
      </w:pPr>
    </w:p>
    <w:p>
      <w:pPr>
        <w:pStyle w:val="BodyText"/>
        <w:rPr>
          <w:sz w:val="20"/>
        </w:rPr>
      </w:pPr>
    </w:p>
    <w:p>
      <w:pPr>
        <w:spacing w:after="0"/>
        <w:rPr>
          <w:sz w:val="20"/>
        </w:rPr>
        <w:sectPr>
          <w:pgSz w:w="11900" w:h="16840"/>
          <w:pgMar w:header="586" w:footer="617" w:top="780" w:bottom="800" w:left="640" w:right="600"/>
        </w:sect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Heading7"/>
        <w:spacing w:before="153"/>
        <w:ind w:left="195"/>
      </w:pPr>
      <w:bookmarkStart w:name="Other price indices" w:id="68"/>
      <w:bookmarkEnd w:id="68"/>
      <w:r>
        <w:rPr>
          <w:b w:val="0"/>
        </w:rPr>
      </w:r>
      <w:bookmarkStart w:name="_bookmark26" w:id="69"/>
      <w:bookmarkEnd w:id="69"/>
      <w:r>
        <w:rPr>
          <w:b w:val="0"/>
        </w:rPr>
      </w:r>
      <w:r>
        <w:rPr>
          <w:color w:val="0093C1"/>
        </w:rPr>
        <w:t>Chart 4.8</w:t>
      </w:r>
    </w:p>
    <w:p>
      <w:pPr>
        <w:spacing w:line="249" w:lineRule="auto" w:before="10"/>
        <w:ind w:left="195" w:right="870" w:firstLine="0"/>
        <w:jc w:val="left"/>
        <w:rPr>
          <w:sz w:val="12"/>
        </w:rPr>
      </w:pPr>
      <w:r>
        <w:rPr>
          <w:b/>
          <w:color w:val="0093C1"/>
          <w:sz w:val="20"/>
        </w:rPr>
        <w:t>Measures of domestically generated inflation</w:t>
      </w:r>
      <w:r>
        <w:rPr>
          <w:position w:val="4"/>
          <w:sz w:val="12"/>
        </w:rPr>
        <w:t>(a)</w:t>
      </w:r>
    </w:p>
    <w:p>
      <w:pPr>
        <w:spacing w:before="59"/>
        <w:ind w:left="1754" w:right="0" w:firstLine="0"/>
        <w:jc w:val="left"/>
        <w:rPr>
          <w:sz w:val="12"/>
        </w:rPr>
      </w:pPr>
      <w:r>
        <w:rPr/>
        <w:pict>
          <v:line style="position:absolute;mso-position-horizontal-relative:page;mso-position-vertical-relative:paragraph;z-index:16047616" from="46.946999pt,11.051753pt" to="41.946999pt,11.051753pt" stroked="true" strokeweight=".5pt" strokecolor="#000000">
            <v:stroke dashstyle="solid"/>
            <w10:wrap type="none"/>
          </v:line>
        </w:pict>
      </w:r>
      <w:r>
        <w:rPr/>
        <w:pict>
          <v:line style="position:absolute;mso-position-horizontal-relative:page;mso-position-vertical-relative:paragraph;z-index:-20969984" from="206.947006pt,11.051753pt" to="201.947006pt,11.051753pt" stroked="true" strokeweight=".5pt" strokecolor="#000000">
            <v:stroke dashstyle="solid"/>
            <w10:wrap type="none"/>
          </v:line>
        </w:pict>
      </w:r>
      <w:r>
        <w:rPr>
          <w:sz w:val="12"/>
        </w:rPr>
        <w:t>Percentage changes on a year earlier </w:t>
      </w:r>
      <w:r>
        <w:rPr>
          <w:position w:val="-7"/>
          <w:sz w:val="12"/>
        </w:rPr>
        <w:t>6</w:t>
      </w:r>
    </w:p>
    <w:p>
      <w:pPr>
        <w:pStyle w:val="BodyText"/>
        <w:spacing w:before="10"/>
        <w:rPr>
          <w:sz w:val="19"/>
        </w:rPr>
      </w:pPr>
    </w:p>
    <w:p>
      <w:pPr>
        <w:spacing w:line="136" w:lineRule="exact" w:before="1"/>
        <w:ind w:left="1068" w:right="0" w:firstLine="0"/>
        <w:jc w:val="left"/>
        <w:rPr>
          <w:sz w:val="12"/>
        </w:rPr>
      </w:pPr>
      <w:r>
        <w:rPr/>
        <w:pict>
          <v:group style="position:absolute;margin-left:41.946999pt;margin-top:-2.681437pt;width:165pt;height:121pt;mso-position-horizontal-relative:page;mso-position-vertical-relative:paragraph;z-index:-20971008" coordorigin="839,-54" coordsize="3300,2420">
            <v:shape style="position:absolute;left:838;top:216;width:100;height:2000" coordorigin="839,216" coordsize="100,2000" path="m939,2216l839,2216m939,1716l839,1716m939,1216l839,1216m939,716l839,716m939,216l839,216e" filled="false" stroked="true" strokeweight=".5pt" strokecolor="#000000">
              <v:path arrowok="t"/>
              <v:stroke dashstyle="solid"/>
            </v:shape>
            <v:shape style="position:absolute;left:978;top:-44;width:3020;height:2240" coordorigin="979,-44" coordsize="3020,2240" path="m979,1676l1119,2196,1259,1996,1379,1636,1519,1196,1659,1456,1799,1936,1939,1836,2079,1776,2219,1836,2339,1636,2479,1596,2619,1396,2759,1236,2899,676,3039,256,3159,136,3299,-44,3439,16,3579,36,3719,176,3859,196,3999,316e" filled="false" stroked="true" strokeweight="1pt" strokecolor="#ed1b2d">
              <v:path arrowok="t"/>
              <v:stroke dashstyle="solid"/>
            </v:shape>
            <v:shape style="position:absolute;left:978;top:556;width:3020;height:1800" coordorigin="979,556" coordsize="3020,1800" path="m979,1836l1119,2116,1259,1756,1379,1536,1519,1396,1659,1856,1799,2356,1939,1796,2079,1936,2219,1436,2339,1056,2479,1436,2619,1056,2759,996,2899,776,3039,856,3159,896,3299,896,3439,556,3579,816,3719,1016,3859,876,3999,1316e" filled="false" stroked="true" strokeweight="1pt" strokecolor="#008256">
              <v:path arrowok="t"/>
              <v:stroke dashstyle="solid"/>
            </v:shape>
            <v:shape style="position:absolute;left:4038;top:216;width:100;height:2000" coordorigin="4039,216" coordsize="100,2000" path="m4139,2216l4039,2216m4139,1716l4039,1716m4139,1216l4039,1216m4139,716l4039,716m4139,216l4039,216e" filled="false" stroked="true" strokeweight=".5pt" strokecolor="#000000">
              <v:path arrowok="t"/>
              <v:stroke dashstyle="solid"/>
            </v:shape>
            <w10:wrap type="none"/>
          </v:group>
        </w:pict>
      </w:r>
      <w:r>
        <w:rPr>
          <w:sz w:val="12"/>
        </w:rPr>
        <w:t>RPIX excluding import prices</w:t>
      </w:r>
    </w:p>
    <w:p>
      <w:pPr>
        <w:spacing w:line="136" w:lineRule="exact" w:before="0"/>
        <w:ind w:left="3568" w:right="0" w:firstLine="0"/>
        <w:jc w:val="left"/>
        <w:rPr>
          <w:sz w:val="12"/>
        </w:rPr>
      </w:pPr>
      <w:r>
        <w:rPr>
          <w:sz w:val="12"/>
        </w:rPr>
        <w:t>5</w:t>
      </w:r>
    </w:p>
    <w:p>
      <w:pPr>
        <w:pStyle w:val="BodyText"/>
        <w:rPr>
          <w:sz w:val="12"/>
        </w:rPr>
      </w:pPr>
    </w:p>
    <w:p>
      <w:pPr>
        <w:pStyle w:val="BodyText"/>
        <w:rPr>
          <w:sz w:val="12"/>
        </w:rPr>
      </w:pPr>
    </w:p>
    <w:p>
      <w:pPr>
        <w:spacing w:before="86"/>
        <w:ind w:left="0" w:right="503" w:firstLine="0"/>
        <w:jc w:val="right"/>
        <w:rPr>
          <w:sz w:val="12"/>
        </w:rPr>
      </w:pPr>
      <w:r>
        <w:rPr>
          <w:sz w:val="12"/>
        </w:rPr>
        <w:t>4</w:t>
      </w:r>
    </w:p>
    <w:p>
      <w:pPr>
        <w:pStyle w:val="BodyText"/>
        <w:rPr>
          <w:sz w:val="12"/>
        </w:rPr>
      </w:pPr>
    </w:p>
    <w:p>
      <w:pPr>
        <w:pStyle w:val="BodyText"/>
        <w:rPr>
          <w:sz w:val="12"/>
        </w:rPr>
      </w:pPr>
    </w:p>
    <w:p>
      <w:pPr>
        <w:spacing w:before="86"/>
        <w:ind w:left="0" w:right="503" w:firstLine="0"/>
        <w:jc w:val="right"/>
        <w:rPr>
          <w:sz w:val="12"/>
        </w:rPr>
      </w:pPr>
      <w:r>
        <w:rPr>
          <w:sz w:val="12"/>
        </w:rPr>
        <w:t>3</w:t>
      </w:r>
    </w:p>
    <w:p>
      <w:pPr>
        <w:pStyle w:val="BodyText"/>
        <w:rPr>
          <w:sz w:val="12"/>
        </w:rPr>
      </w:pPr>
    </w:p>
    <w:p>
      <w:pPr>
        <w:pStyle w:val="BodyText"/>
        <w:rPr>
          <w:sz w:val="12"/>
        </w:rPr>
      </w:pPr>
    </w:p>
    <w:p>
      <w:pPr>
        <w:spacing w:before="86"/>
        <w:ind w:left="0" w:right="503" w:firstLine="0"/>
        <w:jc w:val="right"/>
        <w:rPr>
          <w:sz w:val="12"/>
        </w:rPr>
      </w:pPr>
      <w:r>
        <w:rPr>
          <w:sz w:val="12"/>
        </w:rPr>
        <w:t>2</w:t>
      </w:r>
    </w:p>
    <w:p>
      <w:pPr>
        <w:pStyle w:val="BodyText"/>
        <w:rPr>
          <w:sz w:val="12"/>
        </w:rPr>
      </w:pPr>
    </w:p>
    <w:p>
      <w:pPr>
        <w:pStyle w:val="BodyText"/>
        <w:rPr>
          <w:sz w:val="12"/>
        </w:rPr>
      </w:pPr>
    </w:p>
    <w:p>
      <w:pPr>
        <w:spacing w:line="129" w:lineRule="exact" w:before="86"/>
        <w:ind w:left="3568" w:right="0" w:firstLine="0"/>
        <w:jc w:val="left"/>
        <w:rPr>
          <w:sz w:val="12"/>
        </w:rPr>
      </w:pPr>
      <w:r>
        <w:rPr>
          <w:sz w:val="12"/>
        </w:rPr>
        <w:t>1</w:t>
      </w:r>
    </w:p>
    <w:p>
      <w:pPr>
        <w:spacing w:line="208" w:lineRule="auto" w:before="5"/>
        <w:ind w:left="1268" w:right="1760" w:hanging="60"/>
        <w:jc w:val="left"/>
        <w:rPr>
          <w:sz w:val="12"/>
        </w:rPr>
      </w:pPr>
      <w:r>
        <w:rPr>
          <w:sz w:val="12"/>
        </w:rPr>
        <w:t>GDP deflator excluding export prices (b)</w:t>
      </w:r>
    </w:p>
    <w:p>
      <w:pPr>
        <w:pStyle w:val="BodyText"/>
        <w:spacing w:before="11"/>
        <w:rPr>
          <w:sz w:val="10"/>
        </w:rPr>
      </w:pPr>
    </w:p>
    <w:p>
      <w:pPr>
        <w:spacing w:line="122" w:lineRule="exact" w:before="0"/>
        <w:ind w:left="3568" w:right="0" w:firstLine="0"/>
        <w:jc w:val="left"/>
        <w:rPr>
          <w:sz w:val="12"/>
        </w:rPr>
      </w:pPr>
      <w:r>
        <w:rPr/>
        <w:pict>
          <v:shape style="position:absolute;margin-left:41.946999pt;margin-top:.10157pt;width:165pt;height:4pt;mso-position-horizontal-relative:page;mso-position-vertical-relative:paragraph;z-index:16046592" coordorigin="839,2" coordsize="3300,80" path="m939,82l839,82m4139,82l4039,82m979,82l3979,82m979,82l979,42m1119,82l1119,42m1259,82l1259,42m1379,82l1379,42m1519,82l1519,42m1659,82l1659,42m1799,82l1799,42m1939,82l1939,42m2079,82l2079,42m2219,82l2219,42m2339,82l2339,42m2479,82l2479,42m2619,82l2619,42m2759,82l2759,42m2899,82l2899,42m3019,82l3019,42m3159,82l3159,42m3299,82l3299,42m3439,82l3439,42m3579,82l3579,42m3719,82l3719,42m3859,82l3859,42m3979,82l3979,42m979,82l979,2m1519,82l1519,2m2079,82l2079,2m2619,82l2619,2m3159,82l3159,2m3719,82l3719,2e" filled="false" stroked="true" strokeweight=".5pt" strokecolor="#000000">
            <v:path arrowok="t"/>
            <v:stroke dashstyle="solid"/>
            <w10:wrap type="none"/>
          </v:shape>
        </w:pict>
      </w:r>
      <w:r>
        <w:rPr>
          <w:sz w:val="12"/>
        </w:rPr>
        <w:t>0</w:t>
      </w:r>
    </w:p>
    <w:p>
      <w:pPr>
        <w:tabs>
          <w:tab w:pos="1095" w:val="left" w:leader="none"/>
          <w:tab w:pos="1642" w:val="left" w:leader="none"/>
          <w:tab w:pos="2202" w:val="left" w:leader="none"/>
          <w:tab w:pos="2735" w:val="left" w:leader="none"/>
          <w:tab w:pos="3188" w:val="left" w:leader="none"/>
        </w:tabs>
        <w:spacing w:line="122" w:lineRule="exact" w:before="0"/>
        <w:ind w:left="528" w:right="0" w:firstLine="0"/>
        <w:jc w:val="left"/>
        <w:rPr>
          <w:sz w:val="12"/>
        </w:rPr>
      </w:pPr>
      <w:r>
        <w:rPr>
          <w:sz w:val="12"/>
        </w:rPr>
        <w:t>1993</w:t>
        <w:tab/>
        <w:t>94</w:t>
        <w:tab/>
        <w:t>95</w:t>
        <w:tab/>
        <w:t>96</w:t>
        <w:tab/>
        <w:t>97</w:t>
        <w:tab/>
        <w:t>98</w:t>
      </w:r>
    </w:p>
    <w:p>
      <w:pPr>
        <w:pStyle w:val="ListParagraph"/>
        <w:numPr>
          <w:ilvl w:val="0"/>
          <w:numId w:val="26"/>
        </w:numPr>
        <w:tabs>
          <w:tab w:pos="406" w:val="left" w:leader="none"/>
        </w:tabs>
        <w:spacing w:line="129" w:lineRule="exact" w:before="96" w:after="0"/>
        <w:ind w:left="405" w:right="0" w:hanging="241"/>
        <w:jc w:val="left"/>
        <w:rPr>
          <w:sz w:val="12"/>
        </w:rPr>
      </w:pPr>
      <w:r>
        <w:rPr>
          <w:sz w:val="12"/>
        </w:rPr>
        <w:t>Unit labour costs measure suspended on account of Average Earnings Index.</w:t>
      </w:r>
    </w:p>
    <w:p>
      <w:pPr>
        <w:pStyle w:val="ListParagraph"/>
        <w:numPr>
          <w:ilvl w:val="0"/>
          <w:numId w:val="26"/>
        </w:numPr>
        <w:tabs>
          <w:tab w:pos="406" w:val="left" w:leader="none"/>
        </w:tabs>
        <w:spacing w:line="129" w:lineRule="exact" w:before="0" w:after="0"/>
        <w:ind w:left="405" w:right="0" w:hanging="241"/>
        <w:jc w:val="left"/>
        <w:rPr>
          <w:sz w:val="12"/>
        </w:rPr>
      </w:pPr>
      <w:r>
        <w:rPr>
          <w:sz w:val="12"/>
        </w:rPr>
        <w:t>Using GDP measured at basic prices.</w:t>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8"/>
        <w:rPr>
          <w:sz w:val="10"/>
        </w:rPr>
      </w:pPr>
    </w:p>
    <w:p>
      <w:pPr>
        <w:pStyle w:val="Heading7"/>
        <w:spacing w:before="0"/>
        <w:ind w:left="160"/>
      </w:pPr>
      <w:r>
        <w:rPr>
          <w:color w:val="0093C1"/>
        </w:rPr>
        <w:t>Chart 4.9</w:t>
      </w:r>
    </w:p>
    <w:p>
      <w:pPr>
        <w:spacing w:line="249" w:lineRule="auto" w:before="10"/>
        <w:ind w:left="160" w:right="210" w:firstLine="0"/>
        <w:jc w:val="left"/>
        <w:rPr>
          <w:b/>
          <w:sz w:val="20"/>
        </w:rPr>
      </w:pPr>
      <w:r>
        <w:rPr>
          <w:b/>
          <w:color w:val="0093C1"/>
          <w:sz w:val="20"/>
        </w:rPr>
        <w:t>The difference between headline RPI and RPIX inflation and changes in interest rates</w:t>
      </w:r>
    </w:p>
    <w:p>
      <w:pPr>
        <w:spacing w:line="242" w:lineRule="auto" w:before="217"/>
        <w:ind w:left="160" w:right="145" w:firstLine="0"/>
        <w:jc w:val="left"/>
        <w:rPr>
          <w:sz w:val="16"/>
        </w:rPr>
      </w:pPr>
      <w:r>
        <w:rPr/>
        <w:br w:type="column"/>
      </w:r>
      <w:r>
        <w:rPr>
          <w:sz w:val="24"/>
        </w:rPr>
        <w:t>exchange rate appreciation lowers goods prices relative</w:t>
      </w:r>
      <w:r>
        <w:rPr>
          <w:spacing w:val="-20"/>
          <w:sz w:val="24"/>
        </w:rPr>
        <w:t> </w:t>
      </w:r>
      <w:r>
        <w:rPr>
          <w:spacing w:val="-8"/>
          <w:sz w:val="24"/>
        </w:rPr>
        <w:t>to </w:t>
      </w:r>
      <w:r>
        <w:rPr>
          <w:sz w:val="24"/>
        </w:rPr>
        <w:t>services. But that difference should diminish once an exchange rate appreciation ends or reverses. </w:t>
      </w:r>
      <w:r>
        <w:rPr>
          <w:spacing w:val="-4"/>
          <w:sz w:val="24"/>
        </w:rPr>
        <w:t>However, </w:t>
      </w:r>
      <w:r>
        <w:rPr>
          <w:sz w:val="24"/>
        </w:rPr>
        <w:t>since 1977 there </w:t>
      </w:r>
      <w:r>
        <w:rPr>
          <w:spacing w:val="-3"/>
          <w:sz w:val="24"/>
        </w:rPr>
        <w:t>have </w:t>
      </w:r>
      <w:r>
        <w:rPr>
          <w:sz w:val="24"/>
        </w:rPr>
        <w:t>only been short periods when UK services price inflation has not exceeded that of goods, and the empirical evidence is similar for other countries. That is likely to be the result of lower productivity growth in the service sector than for goods, though it is difficult to measure the quality, and therefore productivity growth, of services</w:t>
      </w:r>
      <w:r>
        <w:rPr>
          <w:spacing w:val="-5"/>
          <w:sz w:val="24"/>
        </w:rPr>
        <w:t> </w:t>
      </w:r>
      <w:r>
        <w:rPr>
          <w:sz w:val="24"/>
        </w:rPr>
        <w:t>precisely.</w:t>
      </w:r>
      <w:r>
        <w:rPr>
          <w:position w:val="5"/>
          <w:sz w:val="16"/>
        </w:rPr>
        <w:t>(1)</w:t>
      </w:r>
    </w:p>
    <w:p>
      <w:pPr>
        <w:pStyle w:val="BodyText"/>
        <w:spacing w:before="2"/>
        <w:rPr>
          <w:sz w:val="27"/>
        </w:rPr>
      </w:pPr>
    </w:p>
    <w:p>
      <w:pPr>
        <w:spacing w:line="242" w:lineRule="auto" w:before="0"/>
        <w:ind w:left="160" w:right="165" w:firstLine="0"/>
        <w:jc w:val="left"/>
        <w:rPr>
          <w:sz w:val="24"/>
        </w:rPr>
      </w:pPr>
      <w:r>
        <w:rPr>
          <w:sz w:val="24"/>
        </w:rPr>
        <w:t>The lower import content of services than goods means that the inflation rate of services has been closer to domestically generated inflation (DGI) than that of </w:t>
      </w:r>
      <w:r>
        <w:rPr>
          <w:spacing w:val="-4"/>
          <w:sz w:val="24"/>
        </w:rPr>
        <w:t>goods </w:t>
      </w:r>
      <w:r>
        <w:rPr>
          <w:sz w:val="24"/>
        </w:rPr>
        <w:t>in the past two years. DGI inflation measures </w:t>
      </w:r>
      <w:r>
        <w:rPr>
          <w:spacing w:val="-3"/>
          <w:sz w:val="24"/>
        </w:rPr>
        <w:t>have </w:t>
      </w:r>
      <w:r>
        <w:rPr>
          <w:sz w:val="24"/>
        </w:rPr>
        <w:t>fallen back in recent quarters (see Chart 4.8). One measure of DGI, the GDP deflator excluding export price inflation, fell to 2.8% in Q3. A second measure, RPIX inflation excluding import prices, fell below 5% for the first time since 1997. A third measure, an estimate of unit labour cost growth, is derived from data based on the AEI, </w:t>
      </w:r>
      <w:hyperlink w:history="true" w:anchor="_bookmark17">
        <w:r>
          <w:rPr>
            <w:sz w:val="24"/>
          </w:rPr>
          <w:t>which has been suspended (see Section 3).</w:t>
        </w:r>
      </w:hyperlink>
      <w:r>
        <w:rPr>
          <w:sz w:val="24"/>
        </w:rPr>
        <w:t> Unit labour cost estimates are therefore less firmly based than usual. Upward revisions to employment, and small revisions to wages and salaries, mean that labour costs per unit of output appear to </w:t>
      </w:r>
      <w:r>
        <w:rPr>
          <w:spacing w:val="-3"/>
          <w:sz w:val="24"/>
        </w:rPr>
        <w:t>have </w:t>
      </w:r>
      <w:r>
        <w:rPr>
          <w:sz w:val="24"/>
        </w:rPr>
        <w:t>been higher in 1997 than previously thought. But recent estimates suggest that wage pressures eased in 1998 Q3: annual unit wage cost growth fell from 3.5% in Q2 to 2.8% in</w:t>
      </w:r>
      <w:r>
        <w:rPr>
          <w:spacing w:val="-2"/>
          <w:sz w:val="24"/>
        </w:rPr>
        <w:t> </w:t>
      </w:r>
      <w:r>
        <w:rPr>
          <w:sz w:val="24"/>
        </w:rPr>
        <w:t>Q3.</w:t>
      </w:r>
    </w:p>
    <w:p>
      <w:pPr>
        <w:pStyle w:val="BodyText"/>
        <w:spacing w:before="1"/>
        <w:rPr>
          <w:sz w:val="28"/>
        </w:rPr>
      </w:pPr>
    </w:p>
    <w:p>
      <w:pPr>
        <w:spacing w:line="242" w:lineRule="auto" w:before="0"/>
        <w:ind w:left="160" w:right="247" w:firstLine="0"/>
        <w:jc w:val="left"/>
        <w:rPr>
          <w:sz w:val="24"/>
        </w:rPr>
      </w:pPr>
      <w:r>
        <w:rPr>
          <w:sz w:val="24"/>
        </w:rPr>
        <w:t>Since 1997, headline RPI inflation has been above </w:t>
      </w:r>
      <w:r>
        <w:rPr>
          <w:spacing w:val="-5"/>
          <w:sz w:val="24"/>
        </w:rPr>
        <w:t>RPIX </w:t>
      </w:r>
      <w:r>
        <w:rPr>
          <w:sz w:val="24"/>
        </w:rPr>
        <w:t>inflation, because of the interest rate rises between</w:t>
      </w:r>
    </w:p>
    <w:p>
      <w:pPr>
        <w:spacing w:before="3"/>
        <w:ind w:left="160" w:right="0" w:firstLine="0"/>
        <w:jc w:val="left"/>
        <w:rPr>
          <w:sz w:val="24"/>
        </w:rPr>
      </w:pPr>
      <w:r>
        <w:rPr>
          <w:sz w:val="24"/>
        </w:rPr>
        <w:t>May 1997 and June 1998 (see Chart 4.9).  Between</w:t>
      </w:r>
    </w:p>
    <w:p>
      <w:pPr>
        <w:spacing w:after="0"/>
        <w:jc w:val="left"/>
        <w:rPr>
          <w:sz w:val="24"/>
        </w:rPr>
        <w:sectPr>
          <w:type w:val="continuous"/>
          <w:pgSz w:w="11900" w:h="16840"/>
          <w:pgMar w:top="1220" w:bottom="280" w:left="640" w:right="600"/>
          <w:cols w:num="2" w:equalWidth="0">
            <w:col w:w="4135" w:space="672"/>
            <w:col w:w="5853"/>
          </w:cols>
        </w:sectPr>
      </w:pPr>
    </w:p>
    <w:p>
      <w:pPr>
        <w:pStyle w:val="BodyText"/>
        <w:spacing w:before="1"/>
        <w:rPr>
          <w:sz w:val="17"/>
        </w:rPr>
      </w:pPr>
    </w:p>
    <w:p>
      <w:pPr>
        <w:spacing w:before="0"/>
        <w:ind w:left="180" w:right="0" w:firstLine="0"/>
        <w:jc w:val="left"/>
        <w:rPr>
          <w:sz w:val="12"/>
        </w:rPr>
      </w:pPr>
      <w:r>
        <w:rPr>
          <w:sz w:val="12"/>
        </w:rPr>
        <w:t>1.25</w:t>
      </w:r>
    </w:p>
    <w:p>
      <w:pPr>
        <w:pStyle w:val="BodyText"/>
        <w:rPr>
          <w:sz w:val="17"/>
        </w:rPr>
      </w:pPr>
    </w:p>
    <w:p>
      <w:pPr>
        <w:spacing w:before="0"/>
        <w:ind w:left="180" w:right="0" w:firstLine="0"/>
        <w:jc w:val="left"/>
        <w:rPr>
          <w:sz w:val="12"/>
        </w:rPr>
      </w:pPr>
      <w:r>
        <w:rPr>
          <w:sz w:val="12"/>
        </w:rPr>
        <w:t>1.00</w:t>
      </w:r>
    </w:p>
    <w:p>
      <w:pPr>
        <w:pStyle w:val="BodyText"/>
        <w:rPr>
          <w:sz w:val="17"/>
        </w:rPr>
      </w:pPr>
    </w:p>
    <w:p>
      <w:pPr>
        <w:spacing w:before="0"/>
        <w:ind w:left="180" w:right="0" w:firstLine="0"/>
        <w:jc w:val="left"/>
        <w:rPr>
          <w:sz w:val="12"/>
        </w:rPr>
      </w:pPr>
      <w:r>
        <w:rPr>
          <w:sz w:val="12"/>
        </w:rPr>
        <w:t>0.75</w:t>
      </w:r>
    </w:p>
    <w:p>
      <w:pPr>
        <w:pStyle w:val="BodyText"/>
        <w:spacing w:before="11"/>
        <w:rPr>
          <w:sz w:val="16"/>
        </w:rPr>
      </w:pPr>
    </w:p>
    <w:p>
      <w:pPr>
        <w:spacing w:before="0"/>
        <w:ind w:left="180" w:right="0" w:firstLine="0"/>
        <w:jc w:val="left"/>
        <w:rPr>
          <w:sz w:val="12"/>
        </w:rPr>
      </w:pPr>
      <w:r>
        <w:rPr>
          <w:sz w:val="12"/>
        </w:rPr>
        <w:t>0.50</w:t>
      </w:r>
    </w:p>
    <w:p>
      <w:pPr>
        <w:pStyle w:val="BodyText"/>
        <w:rPr>
          <w:sz w:val="17"/>
        </w:rPr>
      </w:pPr>
    </w:p>
    <w:p>
      <w:pPr>
        <w:spacing w:line="113" w:lineRule="exact" w:before="0"/>
        <w:ind w:left="180" w:right="0" w:firstLine="0"/>
        <w:jc w:val="left"/>
        <w:rPr>
          <w:sz w:val="12"/>
        </w:rPr>
      </w:pPr>
      <w:r>
        <w:rPr>
          <w:sz w:val="12"/>
        </w:rPr>
        <w:t>0.25</w:t>
      </w:r>
    </w:p>
    <w:p>
      <w:pPr>
        <w:spacing w:before="97"/>
        <w:ind w:left="-11" w:right="0" w:firstLine="0"/>
        <w:jc w:val="left"/>
        <w:rPr>
          <w:sz w:val="12"/>
        </w:rPr>
      </w:pPr>
      <w:r>
        <w:rPr/>
        <w:br w:type="column"/>
      </w:r>
      <w:r>
        <w:rPr>
          <w:sz w:val="12"/>
        </w:rPr>
        <w:t>Percentage points</w:t>
      </w:r>
    </w:p>
    <w:p>
      <w:pPr>
        <w:pStyle w:val="BodyText"/>
        <w:spacing w:before="4"/>
        <w:rPr>
          <w:sz w:val="3"/>
        </w:rPr>
      </w:pPr>
    </w:p>
    <w:p>
      <w:pPr>
        <w:pStyle w:val="BodyText"/>
        <w:spacing w:line="20" w:lineRule="exact"/>
        <w:ind w:left="-5"/>
        <w:rPr>
          <w:sz w:val="2"/>
        </w:rPr>
      </w:pPr>
      <w:r>
        <w:rPr>
          <w:sz w:val="2"/>
        </w:rPr>
        <w:pict>
          <v:group style="width:5pt;height:.5pt;mso-position-horizontal-relative:char;mso-position-vertical-relative:line" coordorigin="0,0" coordsize="100,10">
            <v:line style="position:absolute" from="100,5" to="0,5" stroked="true" strokeweight=".5pt" strokecolor="#000000">
              <v:stroke dashstyle="solid"/>
            </v:line>
          </v:group>
        </w:pict>
      </w:r>
      <w:r>
        <w:rPr>
          <w:sz w:val="2"/>
        </w:rPr>
      </w:r>
    </w:p>
    <w:p>
      <w:pPr>
        <w:spacing w:before="97"/>
        <w:ind w:left="180" w:right="0" w:firstLine="0"/>
        <w:jc w:val="left"/>
        <w:rPr>
          <w:sz w:val="12"/>
        </w:rPr>
      </w:pPr>
      <w:r>
        <w:rPr/>
        <w:br w:type="column"/>
      </w:r>
      <w:r>
        <w:rPr>
          <w:sz w:val="12"/>
        </w:rPr>
        <w:t>Basis points changes on a year earlier</w:t>
      </w:r>
    </w:p>
    <w:p>
      <w:pPr>
        <w:pStyle w:val="BodyText"/>
        <w:spacing w:before="4"/>
        <w:rPr>
          <w:sz w:val="3"/>
        </w:rPr>
      </w:pPr>
    </w:p>
    <w:p>
      <w:pPr>
        <w:pStyle w:val="BodyText"/>
        <w:spacing w:line="20" w:lineRule="exact"/>
        <w:ind w:left="1876" w:right="-72"/>
        <w:rPr>
          <w:sz w:val="2"/>
        </w:rPr>
      </w:pPr>
      <w:r>
        <w:rPr>
          <w:sz w:val="2"/>
        </w:rPr>
        <w:pict>
          <v:group style="width:5pt;height:.5pt;mso-position-horizontal-relative:char;mso-position-vertical-relative:line" coordorigin="0,0" coordsize="100,10">
            <v:line style="position:absolute" from="0,5" to="100,5" stroked="true" strokeweight=".5pt" strokecolor="#000000">
              <v:stroke dashstyle="solid"/>
            </v:line>
          </v:group>
        </w:pict>
      </w:r>
      <w:r>
        <w:rPr>
          <w:sz w:val="2"/>
        </w:rPr>
      </w:r>
    </w:p>
    <w:p>
      <w:pPr>
        <w:pStyle w:val="BodyText"/>
        <w:spacing w:before="8"/>
        <w:rPr>
          <w:sz w:val="13"/>
        </w:rPr>
      </w:pPr>
    </w:p>
    <w:p>
      <w:pPr>
        <w:spacing w:line="208" w:lineRule="auto" w:before="0"/>
        <w:ind w:left="251" w:right="506" w:hanging="60"/>
        <w:jc w:val="left"/>
        <w:rPr>
          <w:sz w:val="12"/>
        </w:rPr>
      </w:pPr>
      <w:r>
        <w:rPr/>
        <w:pict>
          <v:group style="position:absolute;margin-left:53.5pt;margin-top:6.873573pt;width:166pt;height:134.75pt;mso-position-horizontal-relative:page;mso-position-vertical-relative:paragraph;z-index:-20969472" coordorigin="1070,137" coordsize="3320,2695">
            <v:shape style="position:absolute;left:1070;top:1147;width:3320;height:1680" coordorigin="1070,1147" coordsize="3320,1680" path="m1170,1827l1070,1827m1170,2147l1070,2147m1170,2487l1070,2487m1170,2827l1070,2827m4290,2827l4390,2827m1210,2827l4230,2827m1230,2827l1230,2787m1410,2827l1410,2787m1610,2827l1610,2787m1770,2827l1770,2787m1950,2827l1950,2787m2150,2827l2150,2787m2330,2827l2330,2787m2510,2827l2510,2787m2690,2827l2690,2787m2870,2827l2870,2787m3050,2827l3050,2787m3230,2827l3230,2787m3410,2827l3410,2787m3590,2827l3590,2787m3770,2827l3770,2787m3950,2827l3950,2787m4130,2827l4130,2787m1170,1487l1070,1487m4290,1487l4390,1487m1210,1487l4230,1487m1170,1147l1070,1147e" filled="false" stroked="true" strokeweight=".5pt" strokecolor="#000000">
              <v:path arrowok="t"/>
              <v:stroke dashstyle="solid"/>
            </v:shape>
            <v:rect style="position:absolute;left:1230;top:987;width:32;height:500" filled="true" fillcolor="#0066a5" stroked="false">
              <v:fill type="solid"/>
            </v:rect>
            <v:rect style="position:absolute;left:1230;top:987;width:32;height:500" filled="false" stroked="true" strokeweight=".5pt" strokecolor="#000000">
              <v:stroke dashstyle="solid"/>
            </v:rect>
            <v:rect style="position:absolute;left:1290;top:487;width:30;height:1000" filled="true" fillcolor="#0066a5" stroked="false">
              <v:fill type="solid"/>
            </v:rect>
            <v:rect style="position:absolute;left:1290;top:487;width:30;height:1000" filled="false" stroked="true" strokeweight=".5pt" strokecolor="#000000">
              <v:stroke dashstyle="solid"/>
            </v:rect>
            <v:rect style="position:absolute;left:1350;top:487;width:29;height:1000" filled="true" fillcolor="#0066a5" stroked="false">
              <v:fill type="solid"/>
            </v:rect>
            <v:rect style="position:absolute;left:1350;top:487;width:29;height:1000" filled="false" stroked="true" strokeweight=".5pt" strokecolor="#000000">
              <v:stroke dashstyle="solid"/>
            </v:rect>
            <v:shape style="position:absolute;left:1350;top:487;width:2;height:1000" coordorigin="1350,487" coordsize="0,1000" path="m1350,487l1350,1487e" filled="true" fillcolor="#0066a5" stroked="false">
              <v:path arrowok="t"/>
              <v:fill type="solid"/>
            </v:shape>
            <v:line style="position:absolute" from="1350,1487" to="1350,487" stroked="true" strokeweight=".5pt" strokecolor="#000000">
              <v:stroke dashstyle="solid"/>
            </v:line>
            <v:rect style="position:absolute;left:1410;top:487;width:30;height:1000" filled="true" fillcolor="#0066a5" stroked="false">
              <v:fill type="solid"/>
            </v:rect>
            <v:rect style="position:absolute;left:1410;top:487;width:30;height:1000" filled="false" stroked="true" strokeweight=".5pt" strokecolor="#000000">
              <v:stroke dashstyle="solid"/>
            </v:rect>
            <v:rect style="position:absolute;left:1470;top:487;width:30;height:1000" filled="true" fillcolor="#0066a5" stroked="false">
              <v:fill type="solid"/>
            </v:rect>
            <v:rect style="position:absolute;left:1470;top:487;width:30;height:1000" filled="false" stroked="true" strokeweight=".5pt" strokecolor="#000000">
              <v:stroke dashstyle="solid"/>
            </v:rect>
            <v:rect style="position:absolute;left:1530;top:487;width:32;height:1000" filled="true" fillcolor="#0066a5" stroked="false">
              <v:fill type="solid"/>
            </v:rect>
            <v:rect style="position:absolute;left:1530;top:487;width:32;height:1000" filled="false" stroked="true" strokeweight=".5pt" strokecolor="#000000">
              <v:stroke dashstyle="solid"/>
            </v:rect>
            <v:rect style="position:absolute;left:1590;top:487;width:34;height:1000" filled="true" fillcolor="#0066a5" stroked="false">
              <v:fill type="solid"/>
            </v:rect>
            <v:rect style="position:absolute;left:1590;top:487;width:34;height:1000" filled="false" stroked="true" strokeweight=".5pt" strokecolor="#000000">
              <v:stroke dashstyle="solid"/>
            </v:rect>
            <v:rect style="position:absolute;left:1650;top:487;width:29;height:1000" filled="true" fillcolor="#0066a5" stroked="false">
              <v:fill type="solid"/>
            </v:rect>
            <v:rect style="position:absolute;left:1650;top:487;width:29;height:1000" filled="false" stroked="true" strokeweight=".5pt" strokecolor="#000000">
              <v:stroke dashstyle="solid"/>
            </v:rect>
            <v:rect style="position:absolute;left:1710;top:827;width:29;height:660" filled="true" fillcolor="#0066a5" stroked="false">
              <v:fill type="solid"/>
            </v:rect>
            <v:rect style="position:absolute;left:1710;top:827;width:29;height:660" filled="false" stroked="true" strokeweight=".5pt" strokecolor="#000000">
              <v:stroke dashstyle="solid"/>
            </v:rect>
            <v:shape style="position:absolute;left:1710;top:827;width:2;height:660" coordorigin="1710,827" coordsize="0,660" path="m1710,827l1710,1487e" filled="true" fillcolor="#0066a5" stroked="false">
              <v:path arrowok="t"/>
              <v:fill type="solid"/>
            </v:shape>
            <v:line style="position:absolute" from="1710,1487" to="1710,827" stroked="true" strokeweight=".5pt" strokecolor="#000000">
              <v:stroke dashstyle="solid"/>
            </v:line>
            <v:rect style="position:absolute;left:1770;top:827;width:29;height:660" filled="true" fillcolor="#0066a5" stroked="false">
              <v:fill type="solid"/>
            </v:rect>
            <v:rect style="position:absolute;left:1770;top:827;width:29;height:660" filled="false" stroked="true" strokeweight=".5pt" strokecolor="#000000">
              <v:stroke dashstyle="solid"/>
            </v:rect>
            <v:line style="position:absolute" from="1770,1487" to="1770,827" stroked="true" strokeweight=".5pt" strokecolor="#000000">
              <v:stroke dashstyle="solid"/>
            </v:line>
            <v:rect style="position:absolute;left:1830;top:827;width:25;height:660" filled="true" fillcolor="#0066a5" stroked="false">
              <v:fill type="solid"/>
            </v:rect>
            <v:rect style="position:absolute;left:1830;top:827;width:25;height:660" filled="false" stroked="true" strokeweight=".5pt" strokecolor="#000000">
              <v:stroke dashstyle="solid"/>
            </v:rect>
            <v:shape style="position:absolute;left:1830;top:827;width:2;height:660" coordorigin="1830,827" coordsize="0,660" path="m1830,827l1830,1487e" filled="true" fillcolor="#0066a5" stroked="false">
              <v:path arrowok="t"/>
              <v:fill type="solid"/>
            </v:shape>
            <v:line style="position:absolute" from="1830,1487" to="1830,827" stroked="true" strokeweight=".5pt" strokecolor="#000000">
              <v:stroke dashstyle="solid"/>
            </v:line>
            <v:rect style="position:absolute;left:1890;top:1327;width:27;height:160" filled="true" fillcolor="#0066a5" stroked="false">
              <v:fill type="solid"/>
            </v:rect>
            <v:shape style="position:absolute;left:1890;top:1327;width:80;height:160" coordorigin="1890,1327" coordsize="80,160" path="m1890,1487l1917,1487,1917,1327,1890,1327,1890,1487m1950,1487l1970,1487,1950,1487e" filled="false" stroked="true" strokeweight=".5pt" strokecolor="#000000">
              <v:path arrowok="t"/>
              <v:stroke dashstyle="solid"/>
            </v:shape>
            <v:line style="position:absolute" from="1950,1487" to="1950,1487" stroked="true" strokeweight=".5pt" strokecolor="#000000">
              <v:stroke dashstyle="solid"/>
            </v:line>
            <v:rect style="position:absolute;left:2010;top:1487;width:29;height:340" filled="true" fillcolor="#0066a5" stroked="false">
              <v:fill type="solid"/>
            </v:rect>
            <v:rect style="position:absolute;left:2010;top:1487;width:29;height:340" filled="false" stroked="true" strokeweight=".5pt" strokecolor="#000000">
              <v:stroke dashstyle="solid"/>
            </v:rect>
            <v:rect style="position:absolute;left:2070;top:1487;width:29;height:500" filled="true" fillcolor="#0066a5" stroked="false">
              <v:fill type="solid"/>
            </v:rect>
            <v:rect style="position:absolute;left:2070;top:1487;width:29;height:500" filled="false" stroked="true" strokeweight=".5pt" strokecolor="#000000">
              <v:stroke dashstyle="solid"/>
            </v:rect>
            <v:rect style="position:absolute;left:2130;top:1487;width:29;height:500" filled="true" fillcolor="#0066a5" stroked="false">
              <v:fill type="solid"/>
            </v:rect>
            <v:rect style="position:absolute;left:2130;top:1487;width:29;height:500" filled="false" stroked="true" strokeweight=".5pt" strokecolor="#000000">
              <v:stroke dashstyle="solid"/>
            </v:rect>
            <v:rect style="position:absolute;left:2190;top:1487;width:29;height:500" filled="true" fillcolor="#0066a5" stroked="false">
              <v:fill type="solid"/>
            </v:rect>
            <v:rect style="position:absolute;left:2190;top:1487;width:29;height:500" filled="false" stroked="true" strokeweight=".5pt" strokecolor="#000000">
              <v:stroke dashstyle="solid"/>
            </v:rect>
            <v:rect style="position:absolute;left:2250;top:1487;width:30;height:680" filled="true" fillcolor="#0066a5" stroked="false">
              <v:fill type="solid"/>
            </v:rect>
            <v:rect style="position:absolute;left:2250;top:1487;width:30;height:680" filled="false" stroked="true" strokeweight=".5pt" strokecolor="#000000">
              <v:stroke dashstyle="solid"/>
            </v:rect>
            <v:rect style="position:absolute;left:2310;top:1487;width:29;height:680" filled="true" fillcolor="#0066a5" stroked="false">
              <v:fill type="solid"/>
            </v:rect>
            <v:rect style="position:absolute;left:2310;top:1487;width:29;height:680" filled="false" stroked="true" strokeweight=".5pt" strokecolor="#000000">
              <v:stroke dashstyle="solid"/>
            </v:rect>
            <v:shape style="position:absolute;left:2310;top:1487;width:2;height:680" coordorigin="2310,1487" coordsize="0,680" path="m2310,1487l2310,2167e" filled="true" fillcolor="#0066a5" stroked="false">
              <v:path arrowok="t"/>
              <v:fill type="solid"/>
            </v:shape>
            <v:line style="position:absolute" from="2310,2167" to="2310,1487" stroked="true" strokeweight=".5pt" strokecolor="#000000">
              <v:stroke dashstyle="solid"/>
            </v:line>
            <v:rect style="position:absolute;left:2370;top:1487;width:30;height:680" filled="true" fillcolor="#0066a5" stroked="false">
              <v:fill type="solid"/>
            </v:rect>
            <v:rect style="position:absolute;left:2370;top:1487;width:30;height:680" filled="false" stroked="true" strokeweight=".5pt" strokecolor="#000000">
              <v:stroke dashstyle="solid"/>
            </v:rect>
            <v:rect style="position:absolute;left:2430;top:1487;width:29;height:680" filled="true" fillcolor="#0066a5" stroked="false">
              <v:fill type="solid"/>
            </v:rect>
            <v:rect style="position:absolute;left:2430;top:1487;width:29;height:680" filled="false" stroked="true" strokeweight=".5pt" strokecolor="#000000">
              <v:stroke dashstyle="solid"/>
            </v:rect>
            <v:shape style="position:absolute;left:2430;top:1487;width:2;height:680" coordorigin="2430,1487" coordsize="0,680" path="m2430,1487l2430,2167e" filled="true" fillcolor="#0066a5" stroked="false">
              <v:path arrowok="t"/>
              <v:fill type="solid"/>
            </v:shape>
            <v:line style="position:absolute" from="2430,2167" to="2430,1487" stroked="true" strokeweight=".5pt" strokecolor="#000000">
              <v:stroke dashstyle="solid"/>
            </v:line>
            <v:rect style="position:absolute;left:2490;top:1487;width:34;height:500" filled="true" fillcolor="#0066a5" stroked="false">
              <v:fill type="solid"/>
            </v:rect>
            <v:rect style="position:absolute;left:2490;top:1487;width:34;height:500" filled="false" stroked="true" strokeweight=".5pt" strokecolor="#000000">
              <v:stroke dashstyle="solid"/>
            </v:rect>
            <v:rect style="position:absolute;left:2550;top:1487;width:30;height:500" filled="true" fillcolor="#0066a5" stroked="false">
              <v:fill type="solid"/>
            </v:rect>
            <v:rect style="position:absolute;left:2550;top:1487;width:30;height:500" filled="false" stroked="true" strokeweight=".5pt" strokecolor="#000000">
              <v:stroke dashstyle="solid"/>
            </v:rect>
            <v:shape style="position:absolute;left:2550;top:1487;width:2;height:500" coordorigin="2550,1487" coordsize="0,500" path="m2550,1487l2550,1987e" filled="true" fillcolor="#0066a5" stroked="false">
              <v:path arrowok="t"/>
              <v:fill type="solid"/>
            </v:shape>
            <v:line style="position:absolute" from="2550,1987" to="2550,1487" stroked="true" strokeweight=".5pt" strokecolor="#000000">
              <v:stroke dashstyle="solid"/>
            </v:line>
            <v:rect style="position:absolute;left:2610;top:1487;width:32;height:340" filled="true" fillcolor="#0066a5" stroked="false">
              <v:fill type="solid"/>
            </v:rect>
            <v:rect style="position:absolute;left:2610;top:1487;width:32;height:340" filled="false" stroked="true" strokeweight=".5pt" strokecolor="#000000">
              <v:stroke dashstyle="solid"/>
            </v:rect>
            <v:shape style="position:absolute;left:2610;top:1487;width:2;height:340" coordorigin="2610,1487" coordsize="0,340" path="m2610,1487l2610,1827e" filled="true" fillcolor="#0066a5" stroked="false">
              <v:path arrowok="t"/>
              <v:fill type="solid"/>
            </v:shape>
            <v:line style="position:absolute" from="2610,1827" to="2610,1487" stroked="true" strokeweight=".5pt" strokecolor="#000000">
              <v:stroke dashstyle="solid"/>
            </v:line>
            <v:rect style="position:absolute;left:2670;top:1487;width:25;height:160" filled="true" fillcolor="#0066a5" stroked="false">
              <v:fill type="solid"/>
            </v:rect>
            <v:rect style="position:absolute;left:2670;top:1487;width:25;height:160" filled="false" stroked="true" strokeweight=".5pt" strokecolor="#000000">
              <v:stroke dashstyle="solid"/>
            </v:rect>
            <v:rect style="position:absolute;left:2730;top:1487;width:34;height:160" filled="true" fillcolor="#0066a5" stroked="false">
              <v:fill type="solid"/>
            </v:rect>
            <v:shape style="position:absolute;left:2730;top:1487;width:100;height:160" coordorigin="2730,1487" coordsize="100,160" path="m2730,1647l2763,1647,2763,1487,2730,1487,2730,1647m2790,1487l2830,1487,2790,1487e" filled="false" stroked="true" strokeweight=".5pt" strokecolor="#000000">
              <v:path arrowok="t"/>
              <v:stroke dashstyle="solid"/>
            </v:shape>
            <v:line style="position:absolute" from="2790,1487" to="2790,1487" stroked="true" strokeweight=".5pt" strokecolor="#000000">
              <v:stroke dashstyle="solid"/>
            </v:line>
            <v:shape style="position:absolute;left:2850;top:1487;width:20;height:2" coordorigin="2850,1487" coordsize="20,0" path="m2850,1487l2870,1487,2850,1487e" filled="false" stroked="true" strokeweight=".5pt" strokecolor="#000000">
              <v:path arrowok="t"/>
              <v:stroke dashstyle="solid"/>
            </v:shape>
            <v:line style="position:absolute" from="2850,1487" to="2850,1487" stroked="true" strokeweight=".5pt" strokecolor="#000000">
              <v:stroke dashstyle="solid"/>
            </v:line>
            <v:rect style="position:absolute;left:2910;top:1327;width:33;height:160" filled="true" fillcolor="#0066a5" stroked="false">
              <v:fill type="solid"/>
            </v:rect>
            <v:rect style="position:absolute;left:2910;top:1327;width:33;height:160" filled="false" stroked="true" strokeweight=".5pt" strokecolor="#000000">
              <v:stroke dashstyle="solid"/>
            </v:rect>
            <v:rect style="position:absolute;left:2970;top:987;width:30;height:500" filled="true" fillcolor="#0066a5" stroked="false">
              <v:fill type="solid"/>
            </v:rect>
            <v:rect style="position:absolute;left:2970;top:987;width:30;height:500" filled="false" stroked="true" strokeweight=".5pt" strokecolor="#000000">
              <v:stroke dashstyle="solid"/>
            </v:rect>
            <v:rect style="position:absolute;left:3030;top:827;width:33;height:660" filled="true" fillcolor="#0066a5" stroked="false">
              <v:fill type="solid"/>
            </v:rect>
            <v:rect style="position:absolute;left:3030;top:827;width:33;height:660" filled="false" stroked="true" strokeweight=".5pt" strokecolor="#000000">
              <v:stroke dashstyle="solid"/>
            </v:rect>
            <v:rect style="position:absolute;left:3090;top:647;width:33;height:840" filled="true" fillcolor="#0066a5" stroked="false">
              <v:fill type="solid"/>
            </v:rect>
            <v:rect style="position:absolute;left:3090;top:647;width:33;height:840" filled="false" stroked="true" strokeweight=".5pt" strokecolor="#000000">
              <v:stroke dashstyle="solid"/>
            </v:rect>
            <v:rect style="position:absolute;left:3150;top:647;width:33;height:840" filled="true" fillcolor="#0066a5" stroked="false">
              <v:fill type="solid"/>
            </v:rect>
            <v:rect style="position:absolute;left:3150;top:647;width:33;height:840" filled="false" stroked="true" strokeweight=".5pt" strokecolor="#000000">
              <v:stroke dashstyle="solid"/>
            </v:rect>
            <v:rect style="position:absolute;left:3210;top:827;width:30;height:660" filled="true" fillcolor="#0066a5" stroked="false">
              <v:fill type="solid"/>
            </v:rect>
            <v:rect style="position:absolute;left:3210;top:827;width:30;height:660" filled="false" stroked="true" strokeweight=".5pt" strokecolor="#000000">
              <v:stroke dashstyle="solid"/>
            </v:rect>
            <v:rect style="position:absolute;left:3270;top:647;width:30;height:840" filled="true" fillcolor="#0066a5" stroked="false">
              <v:fill type="solid"/>
            </v:rect>
            <v:rect style="position:absolute;left:3270;top:647;width:30;height:840" filled="false" stroked="true" strokeweight=".5pt" strokecolor="#000000">
              <v:stroke dashstyle="solid"/>
            </v:rect>
            <v:shape style="position:absolute;left:3270;top:647;width:2;height:840" coordorigin="3270,647" coordsize="0,840" path="m3270,647l3270,1487e" filled="true" fillcolor="#0066a5" stroked="false">
              <v:path arrowok="t"/>
              <v:fill type="solid"/>
            </v:shape>
            <v:line style="position:absolute" from="3270,1487" to="3270,647" stroked="true" strokeweight=".5pt" strokecolor="#000000">
              <v:stroke dashstyle="solid"/>
            </v:line>
            <v:rect style="position:absolute;left:3330;top:647;width:33;height:840" filled="true" fillcolor="#0066a5" stroked="false">
              <v:fill type="solid"/>
            </v:rect>
            <v:rect style="position:absolute;left:3330;top:647;width:33;height:840" filled="false" stroked="true" strokeweight=".5pt" strokecolor="#000000">
              <v:stroke dashstyle="solid"/>
            </v:rect>
            <v:shape style="position:absolute;left:3330;top:647;width:2;height:840" coordorigin="3330,647" coordsize="0,840" path="m3330,647l3330,1487e" filled="true" fillcolor="#0066a5" stroked="false">
              <v:path arrowok="t"/>
              <v:fill type="solid"/>
            </v:shape>
            <v:line style="position:absolute" from="3330,1487" to="3330,647" stroked="true" strokeweight=".5pt" strokecolor="#000000">
              <v:stroke dashstyle="solid"/>
            </v:line>
            <v:rect style="position:absolute;left:3390;top:647;width:33;height:840" filled="true" fillcolor="#0066a5" stroked="false">
              <v:fill type="solid"/>
            </v:rect>
            <v:rect style="position:absolute;left:3390;top:647;width:33;height:840" filled="false" stroked="true" strokeweight=".5pt" strokecolor="#000000">
              <v:stroke dashstyle="solid"/>
            </v:rect>
            <v:rect style="position:absolute;left:3450;top:647;width:33;height:840" filled="true" fillcolor="#0066a5" stroked="false">
              <v:fill type="solid"/>
            </v:rect>
            <v:rect style="position:absolute;left:3450;top:647;width:33;height:840" filled="false" stroked="true" strokeweight=".5pt" strokecolor="#000000">
              <v:stroke dashstyle="solid"/>
            </v:rect>
            <v:shape style="position:absolute;left:3450;top:647;width:2;height:840" coordorigin="3450,647" coordsize="0,840" path="m3450,647l3450,1487e" filled="true" fillcolor="#0066a5" stroked="false">
              <v:path arrowok="t"/>
              <v:fill type="solid"/>
            </v:shape>
            <v:line style="position:absolute" from="3450,1487" to="3450,647" stroked="true" strokeweight=".5pt" strokecolor="#000000">
              <v:stroke dashstyle="solid"/>
            </v:line>
            <v:rect style="position:absolute;left:3510;top:647;width:38;height:840" filled="true" fillcolor="#0066a5" stroked="false">
              <v:fill type="solid"/>
            </v:rect>
            <v:rect style="position:absolute;left:3510;top:647;width:38;height:840" filled="false" stroked="true" strokeweight=".5pt" strokecolor="#000000">
              <v:stroke dashstyle="solid"/>
            </v:rect>
            <v:shape style="position:absolute;left:3510;top:647;width:2;height:840" coordorigin="3510,647" coordsize="0,840" path="m3510,647l3510,1487e" filled="true" fillcolor="#0066a5" stroked="false">
              <v:path arrowok="t"/>
              <v:fill type="solid"/>
            </v:shape>
            <v:line style="position:absolute" from="3510,1487" to="3510,647" stroked="true" strokeweight=".5pt" strokecolor="#000000">
              <v:stroke dashstyle="solid"/>
            </v:line>
            <v:rect style="position:absolute;left:3570;top:647;width:33;height:840" filled="true" fillcolor="#0066a5" stroked="false">
              <v:fill type="solid"/>
            </v:rect>
            <v:rect style="position:absolute;left:3570;top:647;width:33;height:840" filled="false" stroked="true" strokeweight=".5pt" strokecolor="#000000">
              <v:stroke dashstyle="solid"/>
            </v:rect>
            <v:rect style="position:absolute;left:3630;top:827;width:33;height:660" filled="true" fillcolor="#0066a5" stroked="false">
              <v:fill type="solid"/>
            </v:rect>
            <v:rect style="position:absolute;left:3630;top:827;width:33;height:660" filled="false" stroked="true" strokeweight=".5pt" strokecolor="#000000">
              <v:stroke dashstyle="solid"/>
            </v:rect>
            <v:rect style="position:absolute;left:3690;top:827;width:30;height:660" filled="true" fillcolor="#0066a5" stroked="false">
              <v:fill type="solid"/>
            </v:rect>
            <v:rect style="position:absolute;left:3690;top:827;width:30;height:660" filled="false" stroked="true" strokeweight=".5pt" strokecolor="#000000">
              <v:stroke dashstyle="solid"/>
            </v:rect>
            <v:shape style="position:absolute;left:3690;top:827;width:2;height:660" coordorigin="3690,827" coordsize="0,660" path="m3690,827l3690,1487e" filled="true" fillcolor="#0066a5" stroked="false">
              <v:path arrowok="t"/>
              <v:fill type="solid"/>
            </v:shape>
            <v:line style="position:absolute" from="3690,1487" to="3690,827" stroked="true" strokeweight=".5pt" strokecolor="#000000">
              <v:stroke dashstyle="solid"/>
            </v:line>
            <v:rect style="position:absolute;left:3750;top:987;width:30;height:500" filled="true" fillcolor="#0066a5" stroked="false">
              <v:fill type="solid"/>
            </v:rect>
            <v:rect style="position:absolute;left:3750;top:987;width:30;height:500" filled="false" stroked="true" strokeweight=".5pt" strokecolor="#000000">
              <v:stroke dashstyle="solid"/>
            </v:rect>
            <v:shape style="position:absolute;left:3750;top:987;width:2;height:500" coordorigin="3750,987" coordsize="0,500" path="m3750,987l3750,1487e" filled="true" fillcolor="#0066a5" stroked="false">
              <v:path arrowok="t"/>
              <v:fill type="solid"/>
            </v:shape>
            <v:line style="position:absolute" from="3750,1487" to="3750,987" stroked="true" strokeweight=".5pt" strokecolor="#000000">
              <v:stroke dashstyle="solid"/>
            </v:line>
            <v:rect style="position:absolute;left:3810;top:1147;width:33;height:340" filled="true" fillcolor="#0066a5" stroked="false">
              <v:fill type="solid"/>
            </v:rect>
            <v:rect style="position:absolute;left:3810;top:1147;width:33;height:340" filled="false" stroked="true" strokeweight=".5pt" strokecolor="#000000">
              <v:stroke dashstyle="solid"/>
            </v:rect>
            <v:rect style="position:absolute;left:3870;top:1147;width:33;height:340" filled="true" fillcolor="#0066a5" stroked="false">
              <v:fill type="solid"/>
            </v:rect>
            <v:rect style="position:absolute;left:3870;top:1147;width:33;height:340" filled="false" stroked="true" strokeweight=".5pt" strokecolor="#000000">
              <v:stroke dashstyle="solid"/>
            </v:rect>
            <v:rect style="position:absolute;left:3930;top:1327;width:33;height:160" filled="true" fillcolor="#0066a5" stroked="false">
              <v:fill type="solid"/>
            </v:rect>
            <v:rect style="position:absolute;left:3930;top:1327;width:33;height:160" filled="false" stroked="true" strokeweight=".5pt" strokecolor="#000000">
              <v:stroke dashstyle="solid"/>
            </v:rect>
            <v:rect style="position:absolute;left:3990;top:1487;width:40;height:340" filled="true" fillcolor="#0066a5" stroked="false">
              <v:fill type="solid"/>
            </v:rect>
            <v:rect style="position:absolute;left:3990;top:1487;width:40;height:340" filled="false" stroked="true" strokeweight=".5pt" strokecolor="#000000">
              <v:stroke dashstyle="solid"/>
            </v:rect>
            <v:rect style="position:absolute;left:4050;top:1487;width:40;height:680" filled="true" fillcolor="#0066a5" stroked="false">
              <v:fill type="solid"/>
            </v:rect>
            <v:rect style="position:absolute;left:4050;top:1487;width:40;height:680" filled="false" stroked="true" strokeweight=".5pt" strokecolor="#000000">
              <v:stroke dashstyle="solid"/>
            </v:rect>
            <v:rect style="position:absolute;left:4110;top:1487;width:40;height:840" filled="true" fillcolor="#0066a5" stroked="false">
              <v:fill type="solid"/>
            </v:rect>
            <v:rect style="position:absolute;left:4110;top:1487;width:40;height:840" filled="false" stroked="true" strokeweight=".5pt" strokecolor="#000000">
              <v:stroke dashstyle="solid"/>
            </v:rect>
            <v:rect style="position:absolute;left:4170;top:1487;width:40;height:1180" filled="true" fillcolor="#0066a5" stroked="false">
              <v:fill type="solid"/>
            </v:rect>
            <v:rect style="position:absolute;left:4170;top:1487;width:40;height:1180" filled="false" stroked="true" strokeweight=".5pt" strokecolor="#000000">
              <v:stroke dashstyle="solid"/>
            </v:rect>
            <v:shape style="position:absolute;left:1070;top:147;width:3060;height:2680" coordorigin="1070,147" coordsize="3060,2680" path="m1230,2827l1230,2727m1950,2827l1950,2727m2690,2827l2690,2727m3410,2827l3410,2727m4130,2827l4130,2727m1170,827l1070,827m1170,487l1070,487m1170,147l1070,147e" filled="false" stroked="true" strokeweight=".5pt" strokecolor="#000000">
              <v:path arrowok="t"/>
              <v:stroke dashstyle="solid"/>
            </v:shape>
            <v:shape style="position:absolute;left:1250;top:147;width:2820;height:2420" coordorigin="1250,147" coordsize="2820,2420" path="m1250,827l1290,547,1670,547,1730,427,1790,1087,1850,1227,1910,1227,1970,1367,2030,1747,2090,1747,2150,2147,2270,2427,2330,2287,2450,2567,2510,2287,2630,2287,2690,1887,2750,1747,2810,1627,2870,1627,2930,1367,3050,1087,3110,547,3170,287,3350,287,3410,427,3470,427,3590,147,3650,147,3710,287,3770,287,3830,427,3890,547,4010,827,4070,1227e" filled="false" stroked="true" strokeweight="1pt" strokecolor="#ed1b2d">
              <v:path arrowok="t"/>
              <v:stroke dashstyle="solid"/>
            </v:shape>
            <w10:wrap type="none"/>
          </v:group>
        </w:pict>
      </w:r>
      <w:r>
        <w:rPr/>
        <w:pict>
          <v:line style="position:absolute;mso-position-horizontal-relative:page;mso-position-vertical-relative:paragraph;z-index:16050688" from="214.5pt,7.373573pt" to="219.5pt,7.373573pt" stroked="true" strokeweight=".5pt" strokecolor="#000000">
            <v:stroke dashstyle="solid"/>
            <w10:wrap type="none"/>
          </v:line>
        </w:pict>
      </w:r>
      <w:r>
        <w:rPr>
          <w:sz w:val="12"/>
        </w:rPr>
        <w:t>RPI-RPIX annual inflation (left-hand scale)</w:t>
      </w:r>
    </w:p>
    <w:p>
      <w:pPr>
        <w:pStyle w:val="BodyText"/>
        <w:spacing w:before="8" w:after="39"/>
        <w:rPr>
          <w:sz w:val="17"/>
        </w:rPr>
      </w:pPr>
    </w:p>
    <w:p>
      <w:pPr>
        <w:pStyle w:val="BodyText"/>
        <w:spacing w:line="20" w:lineRule="exact"/>
        <w:ind w:left="1876" w:right="-72"/>
        <w:rPr>
          <w:sz w:val="2"/>
        </w:rPr>
      </w:pPr>
      <w:r>
        <w:rPr>
          <w:sz w:val="2"/>
        </w:rPr>
        <w:pict>
          <v:group style="width:5pt;height:.5pt;mso-position-horizontal-relative:char;mso-position-vertical-relative:line" coordorigin="0,0" coordsize="100,10">
            <v:line style="position:absolute" from="0,5" to="100,5" stroked="true" strokeweight=".5pt" strokecolor="#000000">
              <v:stroke dashstyle="solid"/>
            </v:line>
          </v:group>
        </w:pict>
      </w:r>
      <w:r>
        <w:rPr>
          <w:sz w:val="2"/>
        </w:rPr>
      </w:r>
    </w:p>
    <w:p>
      <w:pPr>
        <w:pStyle w:val="BodyText"/>
        <w:spacing w:before="5"/>
        <w:rPr>
          <w:sz w:val="24"/>
        </w:rPr>
      </w:pPr>
      <w:r>
        <w:rPr/>
        <w:pict>
          <v:shape style="position:absolute;margin-left:214.5pt;margin-top:16.25pt;width:5pt;height:.1pt;mso-position-horizontal-relative:page;mso-position-vertical-relative:paragraph;z-index:-15412224;mso-wrap-distance-left:0;mso-wrap-distance-right:0" coordorigin="4290,325" coordsize="100,0" path="m4290,325l4390,325e" filled="false" stroked="true" strokeweight=".5pt" strokecolor="#000000">
            <v:path arrowok="t"/>
            <v:stroke dashstyle="solid"/>
            <w10:wrap type="topAndBottom"/>
          </v:shape>
        </w:pict>
      </w:r>
      <w:r>
        <w:rPr/>
        <w:pict>
          <v:shape style="position:absolute;margin-left:214.5pt;margin-top:32.25pt;width:5pt;height:.1pt;mso-position-horizontal-relative:page;mso-position-vertical-relative:paragraph;z-index:-15411712;mso-wrap-distance-left:0;mso-wrap-distance-right:0" coordorigin="4290,645" coordsize="100,0" path="m4290,645l4390,645e" filled="false" stroked="true" strokeweight=".5pt" strokecolor="#000000">
            <v:path arrowok="t"/>
            <v:stroke dashstyle="solid"/>
            <w10:wrap type="topAndBottom"/>
          </v:shape>
        </w:pict>
      </w:r>
    </w:p>
    <w:p>
      <w:pPr>
        <w:pStyle w:val="BodyText"/>
        <w:rPr>
          <w:sz w:val="21"/>
        </w:rPr>
      </w:pPr>
    </w:p>
    <w:p>
      <w:pPr>
        <w:pStyle w:val="BodyText"/>
        <w:spacing w:before="8"/>
        <w:rPr>
          <w:sz w:val="17"/>
        </w:rPr>
      </w:pPr>
      <w:r>
        <w:rPr/>
        <w:br w:type="column"/>
      </w:r>
      <w:r>
        <w:rPr>
          <w:sz w:val="17"/>
        </w:rPr>
      </w:r>
    </w:p>
    <w:p>
      <w:pPr>
        <w:spacing w:before="0"/>
        <w:ind w:left="5" w:right="0" w:firstLine="0"/>
        <w:jc w:val="left"/>
        <w:rPr>
          <w:sz w:val="12"/>
        </w:rPr>
      </w:pPr>
      <w:r>
        <w:rPr>
          <w:sz w:val="12"/>
        </w:rPr>
        <w:t>250</w:t>
      </w:r>
    </w:p>
    <w:p>
      <w:pPr>
        <w:pStyle w:val="BodyText"/>
        <w:spacing w:before="1"/>
        <w:rPr>
          <w:sz w:val="17"/>
        </w:rPr>
      </w:pPr>
    </w:p>
    <w:p>
      <w:pPr>
        <w:spacing w:before="0"/>
        <w:ind w:left="5" w:right="0" w:firstLine="0"/>
        <w:jc w:val="left"/>
        <w:rPr>
          <w:sz w:val="12"/>
        </w:rPr>
      </w:pPr>
      <w:r>
        <w:rPr>
          <w:sz w:val="12"/>
        </w:rPr>
        <w:t>200</w:t>
      </w:r>
    </w:p>
    <w:p>
      <w:pPr>
        <w:pStyle w:val="BodyText"/>
        <w:spacing w:before="1"/>
        <w:rPr>
          <w:sz w:val="17"/>
        </w:rPr>
      </w:pPr>
    </w:p>
    <w:p>
      <w:pPr>
        <w:spacing w:before="0"/>
        <w:ind w:left="5" w:right="0" w:firstLine="0"/>
        <w:jc w:val="left"/>
        <w:rPr>
          <w:sz w:val="12"/>
        </w:rPr>
      </w:pPr>
      <w:r>
        <w:rPr>
          <w:sz w:val="12"/>
        </w:rPr>
        <w:t>150</w:t>
      </w:r>
    </w:p>
    <w:p>
      <w:pPr>
        <w:pStyle w:val="BodyText"/>
        <w:spacing w:before="2"/>
        <w:rPr>
          <w:sz w:val="17"/>
        </w:rPr>
      </w:pPr>
    </w:p>
    <w:p>
      <w:pPr>
        <w:spacing w:before="0"/>
        <w:ind w:left="5" w:right="0" w:firstLine="0"/>
        <w:jc w:val="left"/>
        <w:rPr>
          <w:sz w:val="12"/>
        </w:rPr>
      </w:pPr>
      <w:r>
        <w:rPr>
          <w:sz w:val="12"/>
        </w:rPr>
        <w:t>100</w:t>
      </w:r>
    </w:p>
    <w:p>
      <w:pPr>
        <w:pStyle w:val="BodyText"/>
        <w:spacing w:before="1"/>
        <w:rPr>
          <w:sz w:val="17"/>
        </w:rPr>
      </w:pPr>
    </w:p>
    <w:p>
      <w:pPr>
        <w:spacing w:line="100" w:lineRule="exact" w:before="0"/>
        <w:ind w:left="65" w:right="0" w:firstLine="0"/>
        <w:jc w:val="left"/>
        <w:rPr>
          <w:sz w:val="12"/>
        </w:rPr>
      </w:pPr>
      <w:r>
        <w:rPr>
          <w:sz w:val="12"/>
        </w:rPr>
        <w:t>50</w:t>
      </w:r>
    </w:p>
    <w:p>
      <w:pPr>
        <w:pStyle w:val="Heading4"/>
        <w:spacing w:line="229" w:lineRule="exact"/>
        <w:ind w:left="180"/>
      </w:pPr>
      <w:r>
        <w:rPr/>
        <w:br w:type="column"/>
      </w:r>
      <w:r>
        <w:rPr/>
        <w:t>October 1998 and February 1999, the MPC reduced the</w:t>
      </w:r>
    </w:p>
    <w:p>
      <w:pPr>
        <w:spacing w:line="242" w:lineRule="auto" w:before="4"/>
        <w:ind w:left="180" w:right="80" w:firstLine="0"/>
        <w:jc w:val="left"/>
        <w:rPr>
          <w:sz w:val="24"/>
        </w:rPr>
      </w:pPr>
      <w:r>
        <w:rPr>
          <w:sz w:val="24"/>
        </w:rPr>
        <w:t>official repo rate by 2%. Headline RPI inflation should, therefore, fall below RPIX inflation in the next few months as the reduction in official interest rates feeds through to lower mortgage rates, and as the April 1998 reduction in Mortgage Interest Relief at Source (M</w:t>
      </w:r>
      <w:r>
        <w:rPr>
          <w:sz w:val="20"/>
        </w:rPr>
        <w:t>IRAS</w:t>
      </w:r>
      <w:r>
        <w:rPr>
          <w:sz w:val="24"/>
        </w:rPr>
        <w:t>),</w:t>
      </w:r>
    </w:p>
    <w:p>
      <w:pPr>
        <w:spacing w:after="0" w:line="242" w:lineRule="auto"/>
        <w:jc w:val="left"/>
        <w:rPr>
          <w:sz w:val="24"/>
        </w:rPr>
        <w:sectPr>
          <w:type w:val="continuous"/>
          <w:pgSz w:w="11900" w:h="16840"/>
          <w:pgMar w:top="1220" w:bottom="280" w:left="640" w:right="600"/>
          <w:cols w:num="5" w:equalWidth="0">
            <w:col w:w="391" w:space="40"/>
            <w:col w:w="880" w:space="458"/>
            <w:col w:w="1987" w:space="39"/>
            <w:col w:w="226" w:space="767"/>
            <w:col w:w="5872"/>
          </w:cols>
        </w:sectPr>
      </w:pPr>
    </w:p>
    <w:p>
      <w:pPr>
        <w:spacing w:line="181" w:lineRule="exact" w:before="0"/>
        <w:ind w:left="363" w:right="0" w:firstLine="0"/>
        <w:jc w:val="left"/>
        <w:rPr>
          <w:sz w:val="16"/>
        </w:rPr>
      </w:pPr>
      <w:r>
        <w:rPr>
          <w:sz w:val="16"/>
        </w:rPr>
        <w:t>+</w:t>
      </w:r>
    </w:p>
    <w:p>
      <w:pPr>
        <w:spacing w:line="110" w:lineRule="exact" w:before="40"/>
        <w:ind w:left="180" w:right="0" w:firstLine="0"/>
        <w:jc w:val="left"/>
        <w:rPr>
          <w:sz w:val="12"/>
        </w:rPr>
      </w:pPr>
      <w:r>
        <w:rPr>
          <w:sz w:val="12"/>
        </w:rPr>
        <w:t>0.00</w:t>
      </w:r>
    </w:p>
    <w:p>
      <w:pPr>
        <w:spacing w:line="156" w:lineRule="exact" w:before="0"/>
        <w:ind w:left="373" w:right="0" w:firstLine="0"/>
        <w:jc w:val="left"/>
        <w:rPr>
          <w:sz w:val="16"/>
        </w:rPr>
      </w:pPr>
      <w:r>
        <w:rPr>
          <w:sz w:val="16"/>
        </w:rPr>
        <w:t>_</w:t>
      </w:r>
    </w:p>
    <w:p>
      <w:pPr>
        <w:spacing w:before="66"/>
        <w:ind w:left="180" w:right="0" w:firstLine="0"/>
        <w:jc w:val="left"/>
        <w:rPr>
          <w:sz w:val="12"/>
        </w:rPr>
      </w:pPr>
      <w:r>
        <w:rPr>
          <w:sz w:val="12"/>
        </w:rPr>
        <w:t>0.25</w:t>
      </w:r>
    </w:p>
    <w:p>
      <w:pPr>
        <w:pStyle w:val="BodyText"/>
        <w:rPr>
          <w:sz w:val="17"/>
        </w:rPr>
      </w:pPr>
    </w:p>
    <w:p>
      <w:pPr>
        <w:spacing w:before="0"/>
        <w:ind w:left="180" w:right="0" w:firstLine="0"/>
        <w:jc w:val="left"/>
        <w:rPr>
          <w:sz w:val="12"/>
        </w:rPr>
      </w:pPr>
      <w:r>
        <w:rPr>
          <w:sz w:val="12"/>
        </w:rPr>
        <w:t>0.50</w:t>
      </w:r>
    </w:p>
    <w:p>
      <w:pPr>
        <w:pStyle w:val="BodyText"/>
        <w:rPr>
          <w:sz w:val="17"/>
        </w:rPr>
      </w:pPr>
    </w:p>
    <w:p>
      <w:pPr>
        <w:spacing w:before="0"/>
        <w:ind w:left="180" w:right="0" w:firstLine="0"/>
        <w:jc w:val="left"/>
        <w:rPr>
          <w:sz w:val="12"/>
        </w:rPr>
      </w:pPr>
      <w:r>
        <w:rPr>
          <w:sz w:val="12"/>
        </w:rPr>
        <w:t>0.75</w:t>
      </w:r>
    </w:p>
    <w:p>
      <w:pPr>
        <w:pStyle w:val="BodyText"/>
        <w:rPr>
          <w:sz w:val="17"/>
        </w:rPr>
      </w:pPr>
    </w:p>
    <w:p>
      <w:pPr>
        <w:spacing w:before="0"/>
        <w:ind w:left="180" w:right="0" w:firstLine="0"/>
        <w:jc w:val="left"/>
        <w:rPr>
          <w:sz w:val="12"/>
        </w:rPr>
      </w:pPr>
      <w:r>
        <w:rPr>
          <w:sz w:val="12"/>
        </w:rPr>
        <w:t>1.00</w:t>
      </w:r>
    </w:p>
    <w:p>
      <w:pPr>
        <w:pStyle w:val="BodyText"/>
        <w:rPr>
          <w:sz w:val="12"/>
        </w:rPr>
      </w:pPr>
      <w:r>
        <w:rPr/>
        <w:br w:type="column"/>
      </w:r>
      <w:r>
        <w:rPr>
          <w:sz w:val="12"/>
        </w:rPr>
      </w:r>
    </w:p>
    <w:p>
      <w:pPr>
        <w:pStyle w:val="BodyText"/>
        <w:rPr>
          <w:sz w:val="12"/>
        </w:rPr>
      </w:pPr>
    </w:p>
    <w:p>
      <w:pPr>
        <w:pStyle w:val="BodyText"/>
        <w:spacing w:before="8"/>
        <w:rPr>
          <w:sz w:val="16"/>
        </w:rPr>
      </w:pPr>
    </w:p>
    <w:p>
      <w:pPr>
        <w:spacing w:line="208" w:lineRule="auto" w:before="1"/>
        <w:ind w:left="1860" w:right="267" w:hanging="60"/>
        <w:jc w:val="left"/>
        <w:rPr>
          <w:sz w:val="12"/>
        </w:rPr>
      </w:pPr>
      <w:r>
        <w:rPr>
          <w:sz w:val="12"/>
        </w:rPr>
        <w:t>Change in Bank’s repo rate</w:t>
      </w:r>
    </w:p>
    <w:p>
      <w:pPr>
        <w:spacing w:line="123" w:lineRule="exact" w:before="0"/>
        <w:ind w:left="1860" w:right="0" w:firstLine="0"/>
        <w:jc w:val="left"/>
        <w:rPr>
          <w:sz w:val="12"/>
        </w:rPr>
      </w:pPr>
      <w:r>
        <w:rPr>
          <w:sz w:val="12"/>
        </w:rPr>
        <w:t>(right-hand scale)</w:t>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7"/>
        <w:rPr>
          <w:sz w:val="12"/>
        </w:rPr>
      </w:pPr>
    </w:p>
    <w:p>
      <w:pPr>
        <w:tabs>
          <w:tab w:pos="979" w:val="left" w:leader="none"/>
          <w:tab w:pos="1706" w:val="left" w:leader="none"/>
          <w:tab w:pos="2426" w:val="left" w:leader="none"/>
          <w:tab w:pos="2826" w:val="left" w:leader="none"/>
        </w:tabs>
        <w:spacing w:before="0"/>
        <w:ind w:left="180" w:right="0" w:firstLine="0"/>
        <w:jc w:val="left"/>
        <w:rPr>
          <w:sz w:val="12"/>
        </w:rPr>
      </w:pPr>
      <w:r>
        <w:rPr>
          <w:sz w:val="12"/>
        </w:rPr>
        <w:t>1995</w:t>
        <w:tab/>
        <w:t>96</w:t>
        <w:tab/>
        <w:t>97</w:t>
        <w:tab/>
        <w:t>98</w:t>
        <w:tab/>
      </w:r>
      <w:r>
        <w:rPr>
          <w:spacing w:val="-10"/>
          <w:sz w:val="12"/>
        </w:rPr>
        <w:t>99</w:t>
      </w:r>
    </w:p>
    <w:p>
      <w:pPr>
        <w:spacing w:before="30"/>
        <w:ind w:left="126" w:right="0" w:firstLine="0"/>
        <w:jc w:val="left"/>
        <w:rPr>
          <w:sz w:val="16"/>
        </w:rPr>
      </w:pPr>
      <w:r>
        <w:rPr/>
        <w:br w:type="column"/>
      </w:r>
      <w:r>
        <w:rPr>
          <w:sz w:val="16"/>
        </w:rPr>
        <w:t>+</w:t>
      </w:r>
    </w:p>
    <w:p>
      <w:pPr>
        <w:spacing w:before="21"/>
        <w:ind w:left="133" w:right="0" w:firstLine="0"/>
        <w:jc w:val="left"/>
        <w:rPr>
          <w:sz w:val="12"/>
        </w:rPr>
      </w:pPr>
      <w:r>
        <w:rPr>
          <w:position w:val="-8"/>
          <w:sz w:val="16"/>
        </w:rPr>
        <w:t>_</w:t>
      </w:r>
      <w:r>
        <w:rPr>
          <w:spacing w:val="33"/>
          <w:position w:val="-8"/>
          <w:sz w:val="16"/>
        </w:rPr>
        <w:t> </w:t>
      </w:r>
      <w:r>
        <w:rPr>
          <w:sz w:val="12"/>
        </w:rPr>
        <w:t>0</w:t>
      </w:r>
    </w:p>
    <w:p>
      <w:pPr>
        <w:spacing w:before="98"/>
        <w:ind w:left="226" w:right="0" w:firstLine="0"/>
        <w:jc w:val="left"/>
        <w:rPr>
          <w:sz w:val="12"/>
        </w:rPr>
      </w:pPr>
      <w:r>
        <w:rPr/>
        <w:pict>
          <v:line style="position:absolute;mso-position-horizontal-relative:page;mso-position-vertical-relative:paragraph;z-index:16049152" from="214.5pt,8.223562pt" to="219.5pt,8.223562pt" stroked="true" strokeweight=".5pt" strokecolor="#000000">
            <v:stroke dashstyle="solid"/>
            <w10:wrap type="none"/>
          </v:line>
        </w:pict>
      </w:r>
      <w:r>
        <w:rPr>
          <w:sz w:val="12"/>
        </w:rPr>
        <w:t>50</w:t>
      </w:r>
    </w:p>
    <w:p>
      <w:pPr>
        <w:pStyle w:val="BodyText"/>
        <w:spacing w:before="1"/>
        <w:rPr>
          <w:sz w:val="17"/>
        </w:rPr>
      </w:pPr>
    </w:p>
    <w:p>
      <w:pPr>
        <w:spacing w:before="0"/>
        <w:ind w:left="166" w:right="0" w:firstLine="0"/>
        <w:jc w:val="left"/>
        <w:rPr>
          <w:sz w:val="12"/>
        </w:rPr>
      </w:pPr>
      <w:r>
        <w:rPr/>
        <w:pict>
          <v:line style="position:absolute;mso-position-horizontal-relative:page;mso-position-vertical-relative:paragraph;z-index:16049664" from="214.5pt,2.582565pt" to="219.5pt,2.582565pt" stroked="true" strokeweight=".5pt" strokecolor="#000000">
            <v:stroke dashstyle="solid"/>
            <w10:wrap type="none"/>
          </v:line>
        </w:pict>
      </w:r>
      <w:r>
        <w:rPr>
          <w:sz w:val="12"/>
        </w:rPr>
        <w:t>100</w:t>
      </w:r>
    </w:p>
    <w:p>
      <w:pPr>
        <w:pStyle w:val="BodyText"/>
        <w:spacing w:before="1"/>
        <w:rPr>
          <w:sz w:val="17"/>
        </w:rPr>
      </w:pPr>
    </w:p>
    <w:p>
      <w:pPr>
        <w:spacing w:before="1"/>
        <w:ind w:left="166" w:right="0" w:firstLine="0"/>
        <w:jc w:val="left"/>
        <w:rPr>
          <w:sz w:val="12"/>
        </w:rPr>
      </w:pPr>
      <w:r>
        <w:rPr/>
        <w:pict>
          <v:line style="position:absolute;mso-position-horizontal-relative:page;mso-position-vertical-relative:paragraph;z-index:16050176" from="214.5pt,2.89256pt" to="219.5pt,2.89256pt" stroked="true" strokeweight=".5pt" strokecolor="#000000">
            <v:stroke dashstyle="solid"/>
            <w10:wrap type="none"/>
          </v:line>
        </w:pict>
      </w:r>
      <w:r>
        <w:rPr>
          <w:sz w:val="12"/>
        </w:rPr>
        <w:t>150</w:t>
      </w:r>
    </w:p>
    <w:p>
      <w:pPr>
        <w:pStyle w:val="BodyText"/>
        <w:spacing w:before="1"/>
        <w:rPr>
          <w:sz w:val="17"/>
        </w:rPr>
      </w:pPr>
    </w:p>
    <w:p>
      <w:pPr>
        <w:spacing w:before="0"/>
        <w:ind w:left="166" w:right="0" w:firstLine="0"/>
        <w:jc w:val="left"/>
        <w:rPr>
          <w:sz w:val="12"/>
        </w:rPr>
      </w:pPr>
      <w:r>
        <w:rPr>
          <w:sz w:val="12"/>
        </w:rPr>
        <w:t>200</w:t>
      </w:r>
    </w:p>
    <w:p>
      <w:pPr>
        <w:pStyle w:val="Heading4"/>
        <w:spacing w:line="266" w:lineRule="exact"/>
        <w:ind w:left="180"/>
      </w:pPr>
      <w:r>
        <w:rPr/>
        <w:br w:type="column"/>
      </w:r>
      <w:r>
        <w:rPr/>
        <w:t>falls out of the annual comparison.</w:t>
      </w:r>
    </w:p>
    <w:p>
      <w:pPr>
        <w:pStyle w:val="BodyText"/>
        <w:spacing w:before="6"/>
        <w:rPr>
          <w:sz w:val="27"/>
        </w:rPr>
      </w:pPr>
    </w:p>
    <w:p>
      <w:pPr>
        <w:pStyle w:val="ListParagraph"/>
        <w:numPr>
          <w:ilvl w:val="1"/>
          <w:numId w:val="27"/>
        </w:numPr>
        <w:tabs>
          <w:tab w:pos="3174" w:val="left" w:leader="none"/>
          <w:tab w:pos="3175" w:val="left" w:leader="none"/>
          <w:tab w:pos="5725" w:val="left" w:leader="none"/>
        </w:tabs>
        <w:spacing w:line="240" w:lineRule="auto" w:before="0" w:after="0"/>
        <w:ind w:left="3174" w:right="0" w:hanging="2995"/>
        <w:jc w:val="left"/>
        <w:rPr>
          <w:b/>
          <w:sz w:val="28"/>
        </w:rPr>
      </w:pPr>
      <w:r>
        <w:rPr>
          <w:b/>
          <w:color w:val="009483"/>
          <w:sz w:val="28"/>
          <w:u w:val="thick" w:color="0093C1"/>
        </w:rPr>
        <w:t>Other price indices</w:t>
        <w:tab/>
      </w:r>
    </w:p>
    <w:p>
      <w:pPr>
        <w:pStyle w:val="BodyText"/>
        <w:spacing w:before="11"/>
        <w:rPr>
          <w:b/>
          <w:sz w:val="23"/>
        </w:rPr>
      </w:pPr>
    </w:p>
    <w:p>
      <w:pPr>
        <w:spacing w:line="242" w:lineRule="auto" w:before="0"/>
        <w:ind w:left="180" w:right="75" w:firstLine="0"/>
        <w:jc w:val="left"/>
        <w:rPr>
          <w:sz w:val="24"/>
        </w:rPr>
      </w:pPr>
      <w:r>
        <w:rPr>
          <w:sz w:val="24"/>
        </w:rPr>
        <w:t>Other measures of retail price inflation remained flat or fell slightly during 1998 Q4. Inflation in the Harmonised Index of Consumer Prices (HICP) rose by 1.5% in the twelve months to December, somewhat higher than the averages for the euro area and the European Union as a</w:t>
      </w:r>
    </w:p>
    <w:p>
      <w:pPr>
        <w:spacing w:after="0" w:line="242" w:lineRule="auto"/>
        <w:jc w:val="left"/>
        <w:rPr>
          <w:sz w:val="24"/>
        </w:rPr>
        <w:sectPr>
          <w:type w:val="continuous"/>
          <w:pgSz w:w="11900" w:h="16840"/>
          <w:pgMar w:top="1220" w:bottom="280" w:left="640" w:right="600"/>
          <w:cols w:num="4" w:equalWidth="0">
            <w:col w:w="494" w:space="153"/>
            <w:col w:w="2947" w:space="39"/>
            <w:col w:w="387" w:space="767"/>
            <w:col w:w="5873"/>
          </w:cols>
        </w:sectPr>
      </w:pPr>
    </w:p>
    <w:p>
      <w:pPr>
        <w:pStyle w:val="BodyText"/>
        <w:spacing w:before="9"/>
        <w:rPr>
          <w:sz w:val="29"/>
        </w:rPr>
      </w:pPr>
    </w:p>
    <w:p>
      <w:pPr>
        <w:pStyle w:val="BodyText"/>
        <w:spacing w:line="20" w:lineRule="exact"/>
        <w:ind w:left="4928"/>
        <w:rPr>
          <w:sz w:val="2"/>
        </w:rPr>
      </w:pPr>
      <w:r>
        <w:rPr>
          <w:sz w:val="2"/>
        </w:rPr>
        <w:pict>
          <v:group style="width:277pt;height:.15pt;mso-position-horizontal-relative:char;mso-position-vertical-relative:line" coordorigin="0,0" coordsize="5540,3">
            <v:line style="position:absolute" from="0,1" to="5540,1" stroked="true" strokeweight=".125pt" strokecolor="#000000">
              <v:stroke dashstyle="solid"/>
            </v:line>
          </v:group>
        </w:pict>
      </w:r>
      <w:r>
        <w:rPr>
          <w:sz w:val="2"/>
        </w:rPr>
      </w:r>
    </w:p>
    <w:p>
      <w:pPr>
        <w:pStyle w:val="ListParagraph"/>
        <w:numPr>
          <w:ilvl w:val="2"/>
          <w:numId w:val="27"/>
        </w:numPr>
        <w:tabs>
          <w:tab w:pos="5201" w:val="left" w:leader="none"/>
        </w:tabs>
        <w:spacing w:line="208" w:lineRule="auto" w:before="21" w:after="0"/>
        <w:ind w:left="5200" w:right="815" w:hanging="240"/>
        <w:jc w:val="left"/>
        <w:rPr>
          <w:sz w:val="16"/>
        </w:rPr>
      </w:pPr>
      <w:r>
        <w:rPr>
          <w:sz w:val="16"/>
        </w:rPr>
        <w:t>These issues are discussed in more detail in Julius, D and Butler, J, ‘Inflation and growth in a service economy’, </w:t>
      </w:r>
      <w:r>
        <w:rPr>
          <w:i/>
          <w:sz w:val="16"/>
        </w:rPr>
        <w:t>Bank of England</w:t>
      </w:r>
      <w:r>
        <w:rPr>
          <w:i/>
          <w:spacing w:val="-18"/>
          <w:sz w:val="16"/>
        </w:rPr>
        <w:t> </w:t>
      </w:r>
      <w:r>
        <w:rPr>
          <w:i/>
          <w:sz w:val="16"/>
        </w:rPr>
        <w:t>Quarterly </w:t>
      </w:r>
      <w:r>
        <w:rPr>
          <w:i/>
          <w:sz w:val="16"/>
        </w:rPr>
        <w:t>Bulletin</w:t>
      </w:r>
      <w:r>
        <w:rPr>
          <w:sz w:val="16"/>
        </w:rPr>
        <w:t>, November 1998, pages 338–46.</w:t>
      </w:r>
    </w:p>
    <w:p>
      <w:pPr>
        <w:spacing w:after="0" w:line="208" w:lineRule="auto"/>
        <w:jc w:val="left"/>
        <w:rPr>
          <w:sz w:val="16"/>
        </w:rPr>
        <w:sectPr>
          <w:type w:val="continuous"/>
          <w:pgSz w:w="11900" w:h="16840"/>
          <w:pgMar w:top="1220" w:bottom="280" w:left="640" w:right="600"/>
        </w:sectPr>
      </w:pPr>
    </w:p>
    <w:p>
      <w:pPr>
        <w:pStyle w:val="BodyText"/>
        <w:rPr>
          <w:sz w:val="20"/>
        </w:rPr>
      </w:pPr>
    </w:p>
    <w:p>
      <w:pPr>
        <w:pStyle w:val="Heading4"/>
        <w:spacing w:line="242" w:lineRule="auto" w:before="207"/>
        <w:ind w:left="5007"/>
      </w:pPr>
      <w:bookmarkStart w:name="Summary" w:id="70"/>
      <w:bookmarkEnd w:id="70"/>
      <w:r>
        <w:rPr/>
      </w:r>
      <w:bookmarkStart w:name="_bookmark27" w:id="71"/>
      <w:bookmarkEnd w:id="71"/>
      <w:r>
        <w:rPr/>
      </w:r>
      <w:r>
        <w:rPr/>
        <w:t>whole. The GDP deflator measure of whole-economy inflation fell to 1.8% in 1998 Q3.</w:t>
      </w:r>
    </w:p>
    <w:p>
      <w:pPr>
        <w:pStyle w:val="BodyText"/>
        <w:spacing w:before="10"/>
        <w:rPr>
          <w:sz w:val="15"/>
        </w:rPr>
      </w:pPr>
    </w:p>
    <w:p>
      <w:pPr>
        <w:spacing w:after="0"/>
        <w:rPr>
          <w:sz w:val="15"/>
        </w:rPr>
        <w:sectPr>
          <w:pgSz w:w="11900" w:h="16840"/>
          <w:pgMar w:header="586" w:footer="597" w:top="780" w:bottom="780" w:left="640" w:right="600"/>
        </w:sectPr>
      </w:pPr>
    </w:p>
    <w:p>
      <w:pPr>
        <w:pStyle w:val="BodyText"/>
        <w:rPr>
          <w:sz w:val="26"/>
        </w:rPr>
      </w:pPr>
    </w:p>
    <w:p>
      <w:pPr>
        <w:pStyle w:val="Heading7"/>
        <w:spacing w:before="0"/>
        <w:ind w:left="200"/>
      </w:pPr>
      <w:r>
        <w:rPr>
          <w:color w:val="0093C1"/>
        </w:rPr>
        <w:t>Chart 4.10</w:t>
      </w:r>
    </w:p>
    <w:p>
      <w:pPr>
        <w:spacing w:before="10"/>
        <w:ind w:left="200" w:right="0" w:firstLine="0"/>
        <w:jc w:val="left"/>
        <w:rPr>
          <w:b/>
          <w:sz w:val="20"/>
        </w:rPr>
      </w:pPr>
      <w:r>
        <w:rPr>
          <w:b/>
          <w:color w:val="0093C1"/>
          <w:sz w:val="20"/>
        </w:rPr>
        <w:t>HICP and RPIX inflation</w:t>
      </w:r>
    </w:p>
    <w:p>
      <w:pPr>
        <w:spacing w:before="79"/>
        <w:ind w:left="1715" w:right="0" w:firstLine="0"/>
        <w:jc w:val="left"/>
        <w:rPr>
          <w:sz w:val="12"/>
        </w:rPr>
      </w:pPr>
      <w:r>
        <w:rPr/>
        <w:pict>
          <v:group style="position:absolute;margin-left:41.5pt;margin-top:18.884571pt;width:165pt;height:128.75pt;mso-position-horizontal-relative:page;mso-position-vertical-relative:paragraph;z-index:16053248" coordorigin="830,378" coordsize="3300,2575">
            <v:shape style="position:absolute;left:830;top:547;width:100;height:2400" coordorigin="830,548" coordsize="100,2400" path="m930,2948l830,2948m930,2648l830,2648m930,2348l830,2348m930,2048l830,2048m930,1748l830,1748m930,1448l830,1448m930,1148l830,1148m930,848l830,848m930,548l830,548e" filled="false" stroked="true" strokeweight=".5pt" strokecolor="#000000">
              <v:path arrowok="t"/>
              <v:stroke dashstyle="solid"/>
            </v:shape>
            <v:shape style="position:absolute;left:990;top:387;width:3000;height:2260" coordorigin="990,388" coordsize="3000,2260" path="m990,1608l1010,1548,1030,1528,1070,1468,1090,1448,1110,1488,1170,1548,1210,1428,1270,1428,1310,1388,1350,1368,1370,868,1390,808,1450,748,1470,528,1490,408,1510,388,1550,488,1570,548,1590,688,1610,668,1650,708,1670,1208,1690,1248,1730,1188,1750,1208,1770,1368,1790,1548,1830,1608,1850,1528,1870,1508,1890,1548,1930,1568,1950,1528,1970,1528,1990,1648,2030,1808,2050,1928,2070,1988,2110,2048,2130,2088,2150,2168,2170,2148,2210,2288,2250,2208,2270,2388,2310,2408,2330,2408,2350,2388,2370,2308,2410,2268,2430,2408,2450,2488,2470,2448,2510,2388,2530,2408,2550,2508,2590,2548,2610,2508,2630,2528,2650,2588,2690,2568,2710,2628,2730,2648,2750,2568,2790,2508,2810,2428,2830,2448,2850,2408,2890,2468,2910,2448,2930,2388,2950,2408,2990,2368,3010,2308,3030,2368,3090,2368,3110,2408,3130,2388,3170,2368,3190,2368,3210,2428,3230,2428,3270,2388,3290,2408,3310,2368,3330,2248,3370,2268,3390,2328,3410,2328,3450,2388,3490,2508,3510,2508,3550,2448,3570,2368,3590,2408,3610,2428,3650,2408,3670,2408,3690,2448,3710,2508,3750,2468,3770,2468,3790,2368,3830,2288,3850,2408,3870,2468,3890,2488,3970,2488,3990,2468e" filled="false" stroked="true" strokeweight="1pt" strokecolor="#ed1b2d">
              <v:path arrowok="t"/>
              <v:stroke dashstyle="solid"/>
            </v:shape>
            <v:shape style="position:absolute;left:990;top:687;width:3000;height:2180" coordorigin="990,688" coordsize="3000,2180" path="m990,1788l1010,1748,1030,1768,1070,1708,1090,1628,1130,1708,1170,1708,1190,1688,1210,1608,1270,1608,1290,1528,1310,1468,1350,1468,1370,1288,1390,1188,1450,1188,1470,968,1490,828,1510,788,1550,888,1570,928,1590,1128,1610,1148,1650,1148,1670,708,1690,808,1730,688,1750,768,1770,948,1790,1108,1830,1188,1850,1128,1870,1088,1890,1168,1930,1208,1950,1148,1970,1828,1990,1948,2030,2128,2050,2148,2070,2288,2130,2408,2150,2488,2170,2488,2210,2568,2230,2508,2250,2508,2270,2528,2310,2488,2330,2528,2350,2488,2370,2368,2410,2328,2430,2468,2450,2568,2470,2528,2510,2468,2530,2508,2550,2568,2590,2628,2610,2668,2630,2648,2650,2748,2690,2708,2710,2808,2730,2808,2750,2708,2790,2648,2810,2508,2830,2548,2850,2488,2890,2548,2910,2508,2930,2508,2950,2468,2990,2468,3010,2348,3070,2408,3090,2348,3110,2428,3130,2448,3170,2448,3190,2488,3210,2548,3230,2508,3270,2568,3290,2548,3310,2548,3330,2508,3370,2488,3390,2588,3450,2648,3470,2748,3490,2808,3510,2768,3550,2748,3570,2648,3590,2648,3610,2708,3650,2648,3670,2688,3690,2708,3710,2808,3750,2808,3770,2788,3790,2688,3830,2668,3850,2748,3890,2868,3930,2808,3950,2868,3970,2828,3990,2808e" filled="false" stroked="true" strokeweight="1pt" strokecolor="#00a995">
              <v:path arrowok="t"/>
              <v:stroke dashstyle="solid"/>
            </v:shape>
            <v:shape style="position:absolute;left:4050;top:547;width:80;height:2400" coordorigin="4050,548" coordsize="80,2400" path="m4130,2948l4050,2948m4130,2648l4050,2648m4130,2348l4050,2348m4130,2048l4050,2048m4130,1748l4050,1748m4130,1448l4050,1448m4130,1148l4050,1148m4130,848l4050,848m4130,548l4050,548e" filled="false" stroked="true" strokeweight=".5pt" strokecolor="#000000">
              <v:path arrowok="t"/>
              <v:stroke dashstyle="solid"/>
            </v:shape>
            <v:shape style="position:absolute;left:1040;top:1750;width:294;height:133" type="#_x0000_t202" filled="false" stroked="false">
              <v:textbox inset="0,0,0,0">
                <w:txbxContent>
                  <w:p>
                    <w:pPr>
                      <w:spacing w:line="133" w:lineRule="exact" w:before="0"/>
                      <w:ind w:left="0" w:right="0" w:firstLine="0"/>
                      <w:jc w:val="left"/>
                      <w:rPr>
                        <w:sz w:val="12"/>
                      </w:rPr>
                    </w:pPr>
                    <w:r>
                      <w:rPr>
                        <w:sz w:val="12"/>
                      </w:rPr>
                      <w:t>HICP</w:t>
                    </w:r>
                  </w:p>
                </w:txbxContent>
              </v:textbox>
              <w10:wrap type="none"/>
            </v:shape>
            <v:shape style="position:absolute;left:3500;top:2210;width:294;height:133" type="#_x0000_t202" filled="false" stroked="false">
              <v:textbox inset="0,0,0,0">
                <w:txbxContent>
                  <w:p>
                    <w:pPr>
                      <w:spacing w:line="133" w:lineRule="exact" w:before="0"/>
                      <w:ind w:left="0" w:right="0" w:firstLine="0"/>
                      <w:jc w:val="left"/>
                      <w:rPr>
                        <w:sz w:val="12"/>
                      </w:rPr>
                    </w:pPr>
                    <w:r>
                      <w:rPr>
                        <w:sz w:val="12"/>
                      </w:rPr>
                      <w:t>RPIX</w:t>
                    </w:r>
                  </w:p>
                </w:txbxContent>
              </v:textbox>
              <w10:wrap type="none"/>
            </v:shape>
            <w10:wrap type="none"/>
          </v:group>
        </w:pict>
      </w:r>
      <w:r>
        <w:rPr/>
        <w:pict>
          <v:line style="position:absolute;mso-position-horizontal-relative:page;mso-position-vertical-relative:paragraph;z-index:16053760" from="46.5pt,12.38457pt" to="41.5pt,12.38457pt" stroked="true" strokeweight=".5pt" strokecolor="#000000">
            <v:stroke dashstyle="solid"/>
            <w10:wrap type="none"/>
          </v:line>
        </w:pict>
      </w:r>
      <w:r>
        <w:rPr/>
        <w:pict>
          <v:line style="position:absolute;mso-position-horizontal-relative:page;mso-position-vertical-relative:paragraph;z-index:-20963840" from="206.5pt,12.38457pt" to="202.5pt,12.38457pt" stroked="true" strokeweight=".5pt" strokecolor="#000000">
            <v:stroke dashstyle="solid"/>
            <w10:wrap type="none"/>
          </v:line>
        </w:pict>
      </w:r>
      <w:r>
        <w:rPr>
          <w:sz w:val="12"/>
        </w:rPr>
        <w:t>Percentage changes on a year earlier </w:t>
      </w:r>
      <w:r>
        <w:rPr>
          <w:position w:val="-8"/>
          <w:sz w:val="12"/>
        </w:rPr>
        <w:t>10</w:t>
      </w:r>
    </w:p>
    <w:p>
      <w:pPr>
        <w:spacing w:before="158"/>
        <w:ind w:left="0" w:right="619" w:firstLine="0"/>
        <w:jc w:val="right"/>
        <w:rPr>
          <w:sz w:val="12"/>
        </w:rPr>
      </w:pPr>
      <w:r>
        <w:rPr>
          <w:sz w:val="12"/>
        </w:rPr>
        <w:t>9</w:t>
      </w:r>
    </w:p>
    <w:p>
      <w:pPr>
        <w:pStyle w:val="BodyText"/>
        <w:spacing w:before="1"/>
        <w:rPr>
          <w:sz w:val="14"/>
        </w:rPr>
      </w:pPr>
    </w:p>
    <w:p>
      <w:pPr>
        <w:spacing w:before="0"/>
        <w:ind w:left="0" w:right="619" w:firstLine="0"/>
        <w:jc w:val="right"/>
        <w:rPr>
          <w:sz w:val="12"/>
        </w:rPr>
      </w:pPr>
      <w:r>
        <w:rPr>
          <w:sz w:val="12"/>
        </w:rPr>
        <w:t>8</w:t>
      </w:r>
    </w:p>
    <w:p>
      <w:pPr>
        <w:pStyle w:val="BodyText"/>
        <w:spacing w:before="1"/>
        <w:rPr>
          <w:sz w:val="14"/>
        </w:rPr>
      </w:pPr>
    </w:p>
    <w:p>
      <w:pPr>
        <w:spacing w:before="0"/>
        <w:ind w:left="0" w:right="619" w:firstLine="0"/>
        <w:jc w:val="right"/>
        <w:rPr>
          <w:sz w:val="12"/>
        </w:rPr>
      </w:pPr>
      <w:r>
        <w:rPr>
          <w:sz w:val="12"/>
        </w:rPr>
        <w:t>7</w:t>
      </w:r>
    </w:p>
    <w:p>
      <w:pPr>
        <w:pStyle w:val="BodyText"/>
        <w:spacing w:before="1"/>
        <w:rPr>
          <w:sz w:val="14"/>
        </w:rPr>
      </w:pPr>
    </w:p>
    <w:p>
      <w:pPr>
        <w:spacing w:before="0"/>
        <w:ind w:left="0" w:right="619" w:firstLine="0"/>
        <w:jc w:val="right"/>
        <w:rPr>
          <w:sz w:val="12"/>
        </w:rPr>
      </w:pPr>
      <w:r>
        <w:rPr>
          <w:sz w:val="12"/>
        </w:rPr>
        <w:t>6</w:t>
      </w:r>
    </w:p>
    <w:p>
      <w:pPr>
        <w:pStyle w:val="BodyText"/>
        <w:spacing w:before="1"/>
        <w:rPr>
          <w:sz w:val="14"/>
        </w:rPr>
      </w:pPr>
    </w:p>
    <w:p>
      <w:pPr>
        <w:spacing w:before="0"/>
        <w:ind w:left="0" w:right="619" w:firstLine="0"/>
        <w:jc w:val="right"/>
        <w:rPr>
          <w:sz w:val="12"/>
        </w:rPr>
      </w:pPr>
      <w:r>
        <w:rPr>
          <w:sz w:val="12"/>
        </w:rPr>
        <w:t>5</w:t>
      </w:r>
    </w:p>
    <w:p>
      <w:pPr>
        <w:pStyle w:val="BodyText"/>
        <w:spacing w:before="1"/>
        <w:rPr>
          <w:sz w:val="14"/>
        </w:rPr>
      </w:pPr>
    </w:p>
    <w:p>
      <w:pPr>
        <w:spacing w:before="1"/>
        <w:ind w:left="0" w:right="619" w:firstLine="0"/>
        <w:jc w:val="right"/>
        <w:rPr>
          <w:sz w:val="12"/>
        </w:rPr>
      </w:pPr>
      <w:r>
        <w:rPr>
          <w:sz w:val="12"/>
        </w:rPr>
        <w:t>4</w:t>
      </w:r>
    </w:p>
    <w:p>
      <w:pPr>
        <w:pStyle w:val="BodyText"/>
        <w:rPr>
          <w:sz w:val="14"/>
        </w:rPr>
      </w:pPr>
    </w:p>
    <w:p>
      <w:pPr>
        <w:spacing w:before="1"/>
        <w:ind w:left="0" w:right="619" w:firstLine="0"/>
        <w:jc w:val="right"/>
        <w:rPr>
          <w:sz w:val="12"/>
        </w:rPr>
      </w:pPr>
      <w:r>
        <w:rPr>
          <w:sz w:val="12"/>
        </w:rPr>
        <w:t>3</w:t>
      </w:r>
    </w:p>
    <w:p>
      <w:pPr>
        <w:pStyle w:val="BodyText"/>
        <w:rPr>
          <w:sz w:val="14"/>
        </w:rPr>
      </w:pPr>
    </w:p>
    <w:p>
      <w:pPr>
        <w:spacing w:before="1"/>
        <w:ind w:left="0" w:right="619" w:firstLine="0"/>
        <w:jc w:val="right"/>
        <w:rPr>
          <w:sz w:val="12"/>
        </w:rPr>
      </w:pPr>
      <w:r>
        <w:rPr>
          <w:sz w:val="12"/>
        </w:rPr>
        <w:t>2</w:t>
      </w:r>
    </w:p>
    <w:p>
      <w:pPr>
        <w:pStyle w:val="BodyText"/>
        <w:rPr>
          <w:sz w:val="14"/>
        </w:rPr>
      </w:pPr>
    </w:p>
    <w:p>
      <w:pPr>
        <w:spacing w:before="1"/>
        <w:ind w:left="0" w:right="619" w:firstLine="0"/>
        <w:jc w:val="right"/>
        <w:rPr>
          <w:sz w:val="12"/>
        </w:rPr>
      </w:pPr>
      <w:r>
        <w:rPr>
          <w:sz w:val="12"/>
        </w:rPr>
        <w:t>1</w:t>
      </w:r>
    </w:p>
    <w:p>
      <w:pPr>
        <w:pStyle w:val="BodyText"/>
        <w:rPr>
          <w:sz w:val="14"/>
        </w:rPr>
      </w:pPr>
    </w:p>
    <w:p>
      <w:pPr>
        <w:spacing w:line="119" w:lineRule="exact" w:before="1"/>
        <w:ind w:left="3600" w:right="0" w:firstLine="0"/>
        <w:jc w:val="left"/>
        <w:rPr>
          <w:sz w:val="12"/>
        </w:rPr>
      </w:pPr>
      <w:r>
        <w:rPr/>
        <w:pict>
          <v:shape style="position:absolute;margin-left:41.5pt;margin-top:-.848437pt;width:165pt;height:5pt;mso-position-horizontal-relative:page;mso-position-vertical-relative:paragraph;z-index:16051712" coordorigin="830,-17" coordsize="3300,100" path="m3710,83l3710,-17m3410,83l3410,-17m3110,83l3110,-17m2810,83l2810,-17m2510,83l2510,-17m2210,83l2210,-17m1890,83l1890,-17m1590,83l1590,-17m1290,83l1290,-17m990,83l990,-17m930,83l830,83m990,83l3990,83m1065,83l1065,43m1140,83l1140,43m1215,83l1215,43m1365,83l1365,43m1440,83l1440,43m1515,83l1515,43m1665,83l1665,43m1740,83l1740,43m1815,83l1815,43m1970,83l1970,43m2050,83l2050,43m2130,83l2130,43m2285,83l2285,43m2360,83l2360,43m2435,83l2435,43m2585,83l2585,43m2660,83l2660,43m2735,83l2735,43m2885,83l2885,43m2960,83l2960,43m3035,83l3035,43m3185,83l3185,43m3260,83l3260,43m3335,83l3335,43m3485,83l3485,43m3560,83l3560,43m3635,83l3635,43m3790,83l3790,43m3870,83l3870,43m3950,83l3950,43m4130,83l4050,83e" filled="false" stroked="true" strokeweight=".5pt" strokecolor="#000000">
            <v:path arrowok="t"/>
            <v:stroke dashstyle="solid"/>
            <w10:wrap type="none"/>
          </v:shape>
        </w:pict>
      </w:r>
      <w:r>
        <w:rPr>
          <w:sz w:val="12"/>
        </w:rPr>
        <w:t>0</w:t>
      </w:r>
    </w:p>
    <w:p>
      <w:pPr>
        <w:spacing w:line="119" w:lineRule="exact" w:before="0"/>
        <w:ind w:left="340" w:right="0" w:firstLine="0"/>
        <w:jc w:val="left"/>
        <w:rPr>
          <w:sz w:val="12"/>
        </w:rPr>
      </w:pPr>
      <w:r>
        <w:rPr>
          <w:sz w:val="12"/>
        </w:rPr>
        <w:t>1989 90 91 92 93 94 95 96 97 98</w:t>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10"/>
        <w:rPr>
          <w:sz w:val="10"/>
        </w:rPr>
      </w:pPr>
    </w:p>
    <w:p>
      <w:pPr>
        <w:pStyle w:val="Heading7"/>
        <w:spacing w:before="0"/>
        <w:ind w:left="160"/>
      </w:pPr>
      <w:r>
        <w:rPr>
          <w:color w:val="0093C1"/>
        </w:rPr>
        <w:t>Table 4.A</w:t>
      </w:r>
    </w:p>
    <w:p>
      <w:pPr>
        <w:spacing w:before="10"/>
        <w:ind w:left="160" w:right="0" w:firstLine="0"/>
        <w:jc w:val="left"/>
        <w:rPr>
          <w:sz w:val="12"/>
        </w:rPr>
      </w:pPr>
      <w:r>
        <w:rPr>
          <w:b/>
          <w:color w:val="0093C1"/>
          <w:sz w:val="20"/>
        </w:rPr>
        <w:t>Differences between HICP and RPIX inflation</w:t>
      </w:r>
      <w:r>
        <w:rPr>
          <w:position w:val="4"/>
          <w:sz w:val="12"/>
        </w:rPr>
        <w:t>(a)</w:t>
      </w:r>
    </w:p>
    <w:p>
      <w:pPr>
        <w:spacing w:before="106"/>
        <w:ind w:left="160" w:right="0" w:firstLine="0"/>
        <w:jc w:val="left"/>
        <w:rPr>
          <w:sz w:val="14"/>
        </w:rPr>
      </w:pPr>
      <w:r>
        <w:rPr>
          <w:sz w:val="14"/>
        </w:rPr>
        <w:t>Percentage points</w:t>
      </w:r>
    </w:p>
    <w:p>
      <w:pPr>
        <w:pStyle w:val="BodyText"/>
        <w:spacing w:before="10"/>
        <w:rPr>
          <w:sz w:val="10"/>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72"/>
        <w:gridCol w:w="1618"/>
        <w:gridCol w:w="1226"/>
        <w:gridCol w:w="697"/>
      </w:tblGrid>
      <w:tr>
        <w:trPr>
          <w:trHeight w:val="157" w:hRule="atLeast"/>
        </w:trPr>
        <w:tc>
          <w:tcPr>
            <w:tcW w:w="572" w:type="dxa"/>
          </w:tcPr>
          <w:p>
            <w:pPr>
              <w:pStyle w:val="TableParagraph"/>
              <w:spacing w:line="240" w:lineRule="auto"/>
              <w:rPr>
                <w:sz w:val="10"/>
              </w:rPr>
            </w:pPr>
          </w:p>
        </w:tc>
        <w:tc>
          <w:tcPr>
            <w:tcW w:w="1618" w:type="dxa"/>
          </w:tcPr>
          <w:p>
            <w:pPr>
              <w:pStyle w:val="TableParagraph"/>
              <w:spacing w:line="138" w:lineRule="exact"/>
              <w:ind w:left="59" w:right="216"/>
              <w:jc w:val="center"/>
              <w:rPr>
                <w:sz w:val="14"/>
              </w:rPr>
            </w:pPr>
            <w:r>
              <w:rPr>
                <w:sz w:val="14"/>
                <w:u w:val="single"/>
              </w:rPr>
              <w:t>Use of geometric mean</w:t>
            </w:r>
          </w:p>
        </w:tc>
        <w:tc>
          <w:tcPr>
            <w:tcW w:w="1226" w:type="dxa"/>
          </w:tcPr>
          <w:p>
            <w:pPr>
              <w:pStyle w:val="TableParagraph"/>
              <w:spacing w:line="138" w:lineRule="exact"/>
              <w:ind w:left="236"/>
              <w:rPr>
                <w:sz w:val="12"/>
              </w:rPr>
            </w:pPr>
            <w:r>
              <w:rPr>
                <w:sz w:val="14"/>
                <w:u w:val="single"/>
              </w:rPr>
              <w:t>Coverage </w:t>
            </w:r>
            <w:r>
              <w:rPr>
                <w:sz w:val="12"/>
                <w:u w:val="single"/>
              </w:rPr>
              <w:t>(b)</w:t>
            </w:r>
          </w:p>
        </w:tc>
        <w:tc>
          <w:tcPr>
            <w:tcW w:w="697" w:type="dxa"/>
          </w:tcPr>
          <w:p>
            <w:pPr>
              <w:pStyle w:val="TableParagraph"/>
              <w:spacing w:line="138" w:lineRule="exact"/>
              <w:ind w:left="277"/>
              <w:rPr>
                <w:b/>
                <w:sz w:val="14"/>
              </w:rPr>
            </w:pPr>
            <w:r>
              <w:rPr>
                <w:b/>
                <w:sz w:val="14"/>
                <w:u w:val="single"/>
              </w:rPr>
              <w:t>Total </w:t>
            </w:r>
          </w:p>
        </w:tc>
      </w:tr>
      <w:tr>
        <w:trPr>
          <w:trHeight w:val="150" w:hRule="atLeast"/>
        </w:trPr>
        <w:tc>
          <w:tcPr>
            <w:tcW w:w="572" w:type="dxa"/>
          </w:tcPr>
          <w:p>
            <w:pPr>
              <w:pStyle w:val="TableParagraph"/>
              <w:spacing w:line="130" w:lineRule="exact"/>
              <w:ind w:left="50"/>
              <w:rPr>
                <w:sz w:val="14"/>
              </w:rPr>
            </w:pPr>
            <w:r>
              <w:rPr>
                <w:sz w:val="14"/>
              </w:rPr>
              <w:t>1989</w:t>
            </w:r>
          </w:p>
        </w:tc>
        <w:tc>
          <w:tcPr>
            <w:tcW w:w="1618" w:type="dxa"/>
          </w:tcPr>
          <w:p>
            <w:pPr>
              <w:pStyle w:val="TableParagraph"/>
              <w:spacing w:line="130" w:lineRule="exact"/>
              <w:ind w:left="59" w:right="317"/>
              <w:jc w:val="center"/>
              <w:rPr>
                <w:sz w:val="14"/>
              </w:rPr>
            </w:pPr>
            <w:r>
              <w:rPr>
                <w:sz w:val="14"/>
              </w:rPr>
              <w:t>-0.2</w:t>
            </w:r>
          </w:p>
        </w:tc>
        <w:tc>
          <w:tcPr>
            <w:tcW w:w="1226" w:type="dxa"/>
          </w:tcPr>
          <w:p>
            <w:pPr>
              <w:pStyle w:val="TableParagraph"/>
              <w:spacing w:line="130" w:lineRule="exact"/>
              <w:ind w:left="400" w:right="563"/>
              <w:jc w:val="center"/>
              <w:rPr>
                <w:sz w:val="14"/>
              </w:rPr>
            </w:pPr>
            <w:r>
              <w:rPr>
                <w:sz w:val="14"/>
              </w:rPr>
              <w:t>-0.4</w:t>
            </w:r>
          </w:p>
        </w:tc>
        <w:tc>
          <w:tcPr>
            <w:tcW w:w="697" w:type="dxa"/>
          </w:tcPr>
          <w:p>
            <w:pPr>
              <w:pStyle w:val="TableParagraph"/>
              <w:spacing w:line="130" w:lineRule="exact"/>
              <w:ind w:left="320"/>
              <w:rPr>
                <w:b/>
                <w:sz w:val="14"/>
              </w:rPr>
            </w:pPr>
            <w:r>
              <w:rPr>
                <w:b/>
                <w:sz w:val="14"/>
              </w:rPr>
              <w:t>-0.7</w:t>
            </w:r>
          </w:p>
        </w:tc>
      </w:tr>
      <w:tr>
        <w:trPr>
          <w:trHeight w:val="140" w:hRule="atLeast"/>
        </w:trPr>
        <w:tc>
          <w:tcPr>
            <w:tcW w:w="572" w:type="dxa"/>
          </w:tcPr>
          <w:p>
            <w:pPr>
              <w:pStyle w:val="TableParagraph"/>
              <w:ind w:left="50"/>
              <w:rPr>
                <w:sz w:val="14"/>
              </w:rPr>
            </w:pPr>
            <w:r>
              <w:rPr>
                <w:sz w:val="14"/>
              </w:rPr>
              <w:t>1990</w:t>
            </w:r>
          </w:p>
        </w:tc>
        <w:tc>
          <w:tcPr>
            <w:tcW w:w="1618" w:type="dxa"/>
          </w:tcPr>
          <w:p>
            <w:pPr>
              <w:pStyle w:val="TableParagraph"/>
              <w:ind w:left="59" w:right="317"/>
              <w:jc w:val="center"/>
              <w:rPr>
                <w:sz w:val="14"/>
              </w:rPr>
            </w:pPr>
            <w:r>
              <w:rPr>
                <w:sz w:val="14"/>
              </w:rPr>
              <w:t>-0.3</w:t>
            </w:r>
          </w:p>
        </w:tc>
        <w:tc>
          <w:tcPr>
            <w:tcW w:w="1226" w:type="dxa"/>
          </w:tcPr>
          <w:p>
            <w:pPr>
              <w:pStyle w:val="TableParagraph"/>
              <w:ind w:left="400" w:right="563"/>
              <w:jc w:val="center"/>
              <w:rPr>
                <w:sz w:val="14"/>
              </w:rPr>
            </w:pPr>
            <w:r>
              <w:rPr>
                <w:sz w:val="14"/>
              </w:rPr>
              <w:t>-0.8</w:t>
            </w:r>
          </w:p>
        </w:tc>
        <w:tc>
          <w:tcPr>
            <w:tcW w:w="697" w:type="dxa"/>
          </w:tcPr>
          <w:p>
            <w:pPr>
              <w:pStyle w:val="TableParagraph"/>
              <w:ind w:left="320"/>
              <w:rPr>
                <w:b/>
                <w:sz w:val="14"/>
              </w:rPr>
            </w:pPr>
            <w:r>
              <w:rPr>
                <w:b/>
                <w:sz w:val="14"/>
              </w:rPr>
              <w:t>-1.1</w:t>
            </w:r>
          </w:p>
        </w:tc>
      </w:tr>
      <w:tr>
        <w:trPr>
          <w:trHeight w:val="140" w:hRule="atLeast"/>
        </w:trPr>
        <w:tc>
          <w:tcPr>
            <w:tcW w:w="572" w:type="dxa"/>
          </w:tcPr>
          <w:p>
            <w:pPr>
              <w:pStyle w:val="TableParagraph"/>
              <w:ind w:left="50"/>
              <w:rPr>
                <w:sz w:val="14"/>
              </w:rPr>
            </w:pPr>
            <w:r>
              <w:rPr>
                <w:sz w:val="14"/>
              </w:rPr>
              <w:t>1991</w:t>
            </w:r>
          </w:p>
        </w:tc>
        <w:tc>
          <w:tcPr>
            <w:tcW w:w="1618" w:type="dxa"/>
          </w:tcPr>
          <w:p>
            <w:pPr>
              <w:pStyle w:val="TableParagraph"/>
              <w:ind w:left="59" w:right="317"/>
              <w:jc w:val="center"/>
              <w:rPr>
                <w:sz w:val="14"/>
              </w:rPr>
            </w:pPr>
            <w:r>
              <w:rPr>
                <w:sz w:val="14"/>
              </w:rPr>
              <w:t>-0.4</w:t>
            </w:r>
          </w:p>
        </w:tc>
        <w:tc>
          <w:tcPr>
            <w:tcW w:w="1226" w:type="dxa"/>
          </w:tcPr>
          <w:p>
            <w:pPr>
              <w:pStyle w:val="TableParagraph"/>
              <w:ind w:left="400" w:right="517"/>
              <w:jc w:val="center"/>
              <w:rPr>
                <w:sz w:val="14"/>
              </w:rPr>
            </w:pPr>
            <w:r>
              <w:rPr>
                <w:sz w:val="14"/>
              </w:rPr>
              <w:t>1.1</w:t>
            </w:r>
          </w:p>
        </w:tc>
        <w:tc>
          <w:tcPr>
            <w:tcW w:w="697" w:type="dxa"/>
          </w:tcPr>
          <w:p>
            <w:pPr>
              <w:pStyle w:val="TableParagraph"/>
              <w:ind w:left="366"/>
              <w:rPr>
                <w:b/>
                <w:sz w:val="14"/>
              </w:rPr>
            </w:pPr>
            <w:r>
              <w:rPr>
                <w:b/>
                <w:sz w:val="14"/>
              </w:rPr>
              <w:t>0.7</w:t>
            </w:r>
          </w:p>
        </w:tc>
      </w:tr>
      <w:tr>
        <w:trPr>
          <w:trHeight w:val="140" w:hRule="atLeast"/>
        </w:trPr>
        <w:tc>
          <w:tcPr>
            <w:tcW w:w="572" w:type="dxa"/>
          </w:tcPr>
          <w:p>
            <w:pPr>
              <w:pStyle w:val="TableParagraph"/>
              <w:ind w:left="50"/>
              <w:rPr>
                <w:sz w:val="14"/>
              </w:rPr>
            </w:pPr>
            <w:r>
              <w:rPr>
                <w:sz w:val="14"/>
              </w:rPr>
              <w:t>1992</w:t>
            </w:r>
          </w:p>
        </w:tc>
        <w:tc>
          <w:tcPr>
            <w:tcW w:w="1618" w:type="dxa"/>
          </w:tcPr>
          <w:p>
            <w:pPr>
              <w:pStyle w:val="TableParagraph"/>
              <w:ind w:left="59" w:right="317"/>
              <w:jc w:val="center"/>
              <w:rPr>
                <w:sz w:val="14"/>
              </w:rPr>
            </w:pPr>
            <w:r>
              <w:rPr>
                <w:sz w:val="14"/>
              </w:rPr>
              <w:t>-0.3</w:t>
            </w:r>
          </w:p>
        </w:tc>
        <w:tc>
          <w:tcPr>
            <w:tcW w:w="1226" w:type="dxa"/>
          </w:tcPr>
          <w:p>
            <w:pPr>
              <w:pStyle w:val="TableParagraph"/>
              <w:ind w:left="400" w:right="563"/>
              <w:jc w:val="center"/>
              <w:rPr>
                <w:sz w:val="14"/>
              </w:rPr>
            </w:pPr>
            <w:r>
              <w:rPr>
                <w:sz w:val="14"/>
              </w:rPr>
              <w:t>-0.1</w:t>
            </w:r>
          </w:p>
        </w:tc>
        <w:tc>
          <w:tcPr>
            <w:tcW w:w="697" w:type="dxa"/>
          </w:tcPr>
          <w:p>
            <w:pPr>
              <w:pStyle w:val="TableParagraph"/>
              <w:ind w:left="320"/>
              <w:rPr>
                <w:b/>
                <w:sz w:val="14"/>
              </w:rPr>
            </w:pPr>
            <w:r>
              <w:rPr>
                <w:b/>
                <w:sz w:val="14"/>
              </w:rPr>
              <w:t>-0.4</w:t>
            </w:r>
          </w:p>
        </w:tc>
      </w:tr>
      <w:tr>
        <w:trPr>
          <w:trHeight w:val="140" w:hRule="atLeast"/>
        </w:trPr>
        <w:tc>
          <w:tcPr>
            <w:tcW w:w="572" w:type="dxa"/>
          </w:tcPr>
          <w:p>
            <w:pPr>
              <w:pStyle w:val="TableParagraph"/>
              <w:ind w:left="50"/>
              <w:rPr>
                <w:sz w:val="14"/>
              </w:rPr>
            </w:pPr>
            <w:r>
              <w:rPr>
                <w:sz w:val="14"/>
              </w:rPr>
              <w:t>1993</w:t>
            </w:r>
          </w:p>
        </w:tc>
        <w:tc>
          <w:tcPr>
            <w:tcW w:w="1618" w:type="dxa"/>
          </w:tcPr>
          <w:p>
            <w:pPr>
              <w:pStyle w:val="TableParagraph"/>
              <w:ind w:left="59" w:right="317"/>
              <w:jc w:val="center"/>
              <w:rPr>
                <w:sz w:val="14"/>
              </w:rPr>
            </w:pPr>
            <w:r>
              <w:rPr>
                <w:sz w:val="14"/>
              </w:rPr>
              <w:t>-0.4</w:t>
            </w:r>
          </w:p>
        </w:tc>
        <w:tc>
          <w:tcPr>
            <w:tcW w:w="1226" w:type="dxa"/>
          </w:tcPr>
          <w:p>
            <w:pPr>
              <w:pStyle w:val="TableParagraph"/>
              <w:ind w:left="400" w:right="563"/>
              <w:jc w:val="center"/>
              <w:rPr>
                <w:sz w:val="14"/>
              </w:rPr>
            </w:pPr>
            <w:r>
              <w:rPr>
                <w:sz w:val="14"/>
              </w:rPr>
              <w:t>-0.1</w:t>
            </w:r>
          </w:p>
        </w:tc>
        <w:tc>
          <w:tcPr>
            <w:tcW w:w="697" w:type="dxa"/>
          </w:tcPr>
          <w:p>
            <w:pPr>
              <w:pStyle w:val="TableParagraph"/>
              <w:ind w:left="320"/>
              <w:rPr>
                <w:b/>
                <w:sz w:val="14"/>
              </w:rPr>
            </w:pPr>
            <w:r>
              <w:rPr>
                <w:b/>
                <w:sz w:val="14"/>
              </w:rPr>
              <w:t>-0.5</w:t>
            </w:r>
          </w:p>
        </w:tc>
      </w:tr>
      <w:tr>
        <w:trPr>
          <w:trHeight w:val="140" w:hRule="atLeast"/>
        </w:trPr>
        <w:tc>
          <w:tcPr>
            <w:tcW w:w="572" w:type="dxa"/>
          </w:tcPr>
          <w:p>
            <w:pPr>
              <w:pStyle w:val="TableParagraph"/>
              <w:ind w:left="50"/>
              <w:rPr>
                <w:sz w:val="14"/>
              </w:rPr>
            </w:pPr>
            <w:r>
              <w:rPr>
                <w:sz w:val="14"/>
              </w:rPr>
              <w:t>1994</w:t>
            </w:r>
          </w:p>
        </w:tc>
        <w:tc>
          <w:tcPr>
            <w:tcW w:w="1618" w:type="dxa"/>
          </w:tcPr>
          <w:p>
            <w:pPr>
              <w:pStyle w:val="TableParagraph"/>
              <w:ind w:left="59" w:right="317"/>
              <w:jc w:val="center"/>
              <w:rPr>
                <w:sz w:val="14"/>
              </w:rPr>
            </w:pPr>
            <w:r>
              <w:rPr>
                <w:sz w:val="14"/>
              </w:rPr>
              <w:t>-0.4</w:t>
            </w:r>
          </w:p>
        </w:tc>
        <w:tc>
          <w:tcPr>
            <w:tcW w:w="1226" w:type="dxa"/>
          </w:tcPr>
          <w:p>
            <w:pPr>
              <w:pStyle w:val="TableParagraph"/>
              <w:ind w:left="400" w:right="517"/>
              <w:jc w:val="center"/>
              <w:rPr>
                <w:sz w:val="14"/>
              </w:rPr>
            </w:pPr>
            <w:r>
              <w:rPr>
                <w:sz w:val="14"/>
              </w:rPr>
              <w:t>0.0</w:t>
            </w:r>
          </w:p>
        </w:tc>
        <w:tc>
          <w:tcPr>
            <w:tcW w:w="697" w:type="dxa"/>
          </w:tcPr>
          <w:p>
            <w:pPr>
              <w:pStyle w:val="TableParagraph"/>
              <w:ind w:left="320"/>
              <w:rPr>
                <w:b/>
                <w:sz w:val="14"/>
              </w:rPr>
            </w:pPr>
            <w:r>
              <w:rPr>
                <w:b/>
                <w:sz w:val="14"/>
              </w:rPr>
              <w:t>-0.4</w:t>
            </w:r>
          </w:p>
        </w:tc>
      </w:tr>
      <w:tr>
        <w:trPr>
          <w:trHeight w:val="140" w:hRule="atLeast"/>
        </w:trPr>
        <w:tc>
          <w:tcPr>
            <w:tcW w:w="572" w:type="dxa"/>
          </w:tcPr>
          <w:p>
            <w:pPr>
              <w:pStyle w:val="TableParagraph"/>
              <w:ind w:left="50"/>
              <w:rPr>
                <w:sz w:val="14"/>
              </w:rPr>
            </w:pPr>
            <w:r>
              <w:rPr>
                <w:sz w:val="14"/>
              </w:rPr>
              <w:t>1995</w:t>
            </w:r>
          </w:p>
        </w:tc>
        <w:tc>
          <w:tcPr>
            <w:tcW w:w="1618" w:type="dxa"/>
          </w:tcPr>
          <w:p>
            <w:pPr>
              <w:pStyle w:val="TableParagraph"/>
              <w:ind w:left="59" w:right="317"/>
              <w:jc w:val="center"/>
              <w:rPr>
                <w:sz w:val="14"/>
              </w:rPr>
            </w:pPr>
            <w:r>
              <w:rPr>
                <w:sz w:val="14"/>
              </w:rPr>
              <w:t>-0.4</w:t>
            </w:r>
          </w:p>
        </w:tc>
        <w:tc>
          <w:tcPr>
            <w:tcW w:w="1226" w:type="dxa"/>
          </w:tcPr>
          <w:p>
            <w:pPr>
              <w:pStyle w:val="TableParagraph"/>
              <w:ind w:left="400" w:right="517"/>
              <w:jc w:val="center"/>
              <w:rPr>
                <w:sz w:val="14"/>
              </w:rPr>
            </w:pPr>
            <w:r>
              <w:rPr>
                <w:sz w:val="14"/>
              </w:rPr>
              <w:t>0.2</w:t>
            </w:r>
          </w:p>
        </w:tc>
        <w:tc>
          <w:tcPr>
            <w:tcW w:w="697" w:type="dxa"/>
          </w:tcPr>
          <w:p>
            <w:pPr>
              <w:pStyle w:val="TableParagraph"/>
              <w:ind w:left="320"/>
              <w:rPr>
                <w:b/>
                <w:sz w:val="14"/>
              </w:rPr>
            </w:pPr>
            <w:r>
              <w:rPr>
                <w:b/>
                <w:sz w:val="14"/>
              </w:rPr>
              <w:t>-0.2</w:t>
            </w:r>
          </w:p>
        </w:tc>
      </w:tr>
      <w:tr>
        <w:trPr>
          <w:trHeight w:val="140" w:hRule="atLeast"/>
        </w:trPr>
        <w:tc>
          <w:tcPr>
            <w:tcW w:w="572" w:type="dxa"/>
          </w:tcPr>
          <w:p>
            <w:pPr>
              <w:pStyle w:val="TableParagraph"/>
              <w:ind w:left="50"/>
              <w:rPr>
                <w:sz w:val="14"/>
              </w:rPr>
            </w:pPr>
            <w:r>
              <w:rPr>
                <w:sz w:val="14"/>
              </w:rPr>
              <w:t>1996</w:t>
            </w:r>
          </w:p>
        </w:tc>
        <w:tc>
          <w:tcPr>
            <w:tcW w:w="1618" w:type="dxa"/>
          </w:tcPr>
          <w:p>
            <w:pPr>
              <w:pStyle w:val="TableParagraph"/>
              <w:ind w:left="59" w:right="317"/>
              <w:jc w:val="center"/>
              <w:rPr>
                <w:sz w:val="14"/>
              </w:rPr>
            </w:pPr>
            <w:r>
              <w:rPr>
                <w:sz w:val="14"/>
              </w:rPr>
              <w:t>-0.4</w:t>
            </w:r>
          </w:p>
        </w:tc>
        <w:tc>
          <w:tcPr>
            <w:tcW w:w="1226" w:type="dxa"/>
          </w:tcPr>
          <w:p>
            <w:pPr>
              <w:pStyle w:val="TableParagraph"/>
              <w:ind w:left="400" w:right="517"/>
              <w:jc w:val="center"/>
              <w:rPr>
                <w:sz w:val="14"/>
              </w:rPr>
            </w:pPr>
            <w:r>
              <w:rPr>
                <w:sz w:val="14"/>
              </w:rPr>
              <w:t>0.0</w:t>
            </w:r>
          </w:p>
        </w:tc>
        <w:tc>
          <w:tcPr>
            <w:tcW w:w="697" w:type="dxa"/>
          </w:tcPr>
          <w:p>
            <w:pPr>
              <w:pStyle w:val="TableParagraph"/>
              <w:ind w:left="320"/>
              <w:rPr>
                <w:b/>
                <w:sz w:val="14"/>
              </w:rPr>
            </w:pPr>
            <w:r>
              <w:rPr>
                <w:b/>
                <w:sz w:val="14"/>
              </w:rPr>
              <w:t>-0.5</w:t>
            </w:r>
          </w:p>
        </w:tc>
      </w:tr>
      <w:tr>
        <w:trPr>
          <w:trHeight w:val="139" w:hRule="atLeast"/>
        </w:trPr>
        <w:tc>
          <w:tcPr>
            <w:tcW w:w="572" w:type="dxa"/>
          </w:tcPr>
          <w:p>
            <w:pPr>
              <w:pStyle w:val="TableParagraph"/>
              <w:ind w:left="50"/>
              <w:rPr>
                <w:sz w:val="14"/>
              </w:rPr>
            </w:pPr>
            <w:r>
              <w:rPr>
                <w:sz w:val="14"/>
              </w:rPr>
              <w:t>1997</w:t>
            </w:r>
          </w:p>
        </w:tc>
        <w:tc>
          <w:tcPr>
            <w:tcW w:w="1618" w:type="dxa"/>
          </w:tcPr>
          <w:p>
            <w:pPr>
              <w:pStyle w:val="TableParagraph"/>
              <w:ind w:left="59" w:right="317"/>
              <w:jc w:val="center"/>
              <w:rPr>
                <w:sz w:val="14"/>
              </w:rPr>
            </w:pPr>
            <w:r>
              <w:rPr>
                <w:sz w:val="14"/>
              </w:rPr>
              <w:t>-0.5</w:t>
            </w:r>
          </w:p>
        </w:tc>
        <w:tc>
          <w:tcPr>
            <w:tcW w:w="1226" w:type="dxa"/>
          </w:tcPr>
          <w:p>
            <w:pPr>
              <w:pStyle w:val="TableParagraph"/>
              <w:ind w:left="400" w:right="563"/>
              <w:jc w:val="center"/>
              <w:rPr>
                <w:sz w:val="14"/>
              </w:rPr>
            </w:pPr>
            <w:r>
              <w:rPr>
                <w:sz w:val="14"/>
              </w:rPr>
              <w:t>-0.4</w:t>
            </w:r>
          </w:p>
        </w:tc>
        <w:tc>
          <w:tcPr>
            <w:tcW w:w="697" w:type="dxa"/>
          </w:tcPr>
          <w:p>
            <w:pPr>
              <w:pStyle w:val="TableParagraph"/>
              <w:ind w:left="320"/>
              <w:rPr>
                <w:b/>
                <w:sz w:val="14"/>
              </w:rPr>
            </w:pPr>
            <w:r>
              <w:rPr>
                <w:b/>
                <w:sz w:val="14"/>
              </w:rPr>
              <w:t>-0.9</w:t>
            </w:r>
          </w:p>
        </w:tc>
      </w:tr>
      <w:tr>
        <w:trPr>
          <w:trHeight w:val="147" w:hRule="atLeast"/>
        </w:trPr>
        <w:tc>
          <w:tcPr>
            <w:tcW w:w="572" w:type="dxa"/>
          </w:tcPr>
          <w:p>
            <w:pPr>
              <w:pStyle w:val="TableParagraph"/>
              <w:spacing w:line="128" w:lineRule="exact"/>
              <w:ind w:left="50"/>
              <w:rPr>
                <w:sz w:val="12"/>
              </w:rPr>
            </w:pPr>
            <w:r>
              <w:rPr>
                <w:sz w:val="14"/>
              </w:rPr>
              <w:t>1998 </w:t>
            </w:r>
            <w:r>
              <w:rPr>
                <w:sz w:val="12"/>
              </w:rPr>
              <w:t>(c)</w:t>
            </w:r>
          </w:p>
        </w:tc>
        <w:tc>
          <w:tcPr>
            <w:tcW w:w="1618" w:type="dxa"/>
          </w:tcPr>
          <w:p>
            <w:pPr>
              <w:pStyle w:val="TableParagraph"/>
              <w:spacing w:line="128" w:lineRule="exact"/>
              <w:ind w:left="59" w:right="317"/>
              <w:jc w:val="center"/>
              <w:rPr>
                <w:sz w:val="14"/>
              </w:rPr>
            </w:pPr>
            <w:r>
              <w:rPr>
                <w:sz w:val="14"/>
              </w:rPr>
              <w:t>-0.5</w:t>
            </w:r>
          </w:p>
        </w:tc>
        <w:tc>
          <w:tcPr>
            <w:tcW w:w="1226" w:type="dxa"/>
          </w:tcPr>
          <w:p>
            <w:pPr>
              <w:pStyle w:val="TableParagraph"/>
              <w:spacing w:line="128" w:lineRule="exact"/>
              <w:ind w:left="400" w:right="563"/>
              <w:jc w:val="center"/>
              <w:rPr>
                <w:sz w:val="14"/>
              </w:rPr>
            </w:pPr>
            <w:r>
              <w:rPr>
                <w:sz w:val="14"/>
              </w:rPr>
              <w:t>-0.6</w:t>
            </w:r>
          </w:p>
        </w:tc>
        <w:tc>
          <w:tcPr>
            <w:tcW w:w="697" w:type="dxa"/>
          </w:tcPr>
          <w:p>
            <w:pPr>
              <w:pStyle w:val="TableParagraph"/>
              <w:spacing w:line="128" w:lineRule="exact"/>
              <w:ind w:left="320"/>
              <w:rPr>
                <w:b/>
                <w:sz w:val="14"/>
              </w:rPr>
            </w:pPr>
            <w:r>
              <w:rPr>
                <w:b/>
                <w:sz w:val="14"/>
              </w:rPr>
              <w:t>-1.1</w:t>
            </w:r>
          </w:p>
        </w:tc>
      </w:tr>
    </w:tbl>
    <w:p>
      <w:pPr>
        <w:pStyle w:val="ListParagraph"/>
        <w:numPr>
          <w:ilvl w:val="0"/>
          <w:numId w:val="28"/>
        </w:numPr>
        <w:tabs>
          <w:tab w:pos="400" w:val="left" w:leader="none"/>
        </w:tabs>
        <w:spacing w:line="129" w:lineRule="exact" w:before="117" w:after="0"/>
        <w:ind w:left="399" w:right="0" w:hanging="240"/>
        <w:jc w:val="left"/>
        <w:rPr>
          <w:sz w:val="12"/>
        </w:rPr>
      </w:pPr>
      <w:r>
        <w:rPr>
          <w:sz w:val="12"/>
        </w:rPr>
        <w:t>Figures may not sum because of rounding.</w:t>
      </w:r>
    </w:p>
    <w:p>
      <w:pPr>
        <w:pStyle w:val="ListParagraph"/>
        <w:numPr>
          <w:ilvl w:val="0"/>
          <w:numId w:val="28"/>
        </w:numPr>
        <w:tabs>
          <w:tab w:pos="401" w:val="left" w:leader="none"/>
        </w:tabs>
        <w:spacing w:line="208" w:lineRule="auto" w:before="6" w:after="0"/>
        <w:ind w:left="400" w:right="171" w:hanging="240"/>
        <w:jc w:val="left"/>
        <w:rPr>
          <w:sz w:val="12"/>
        </w:rPr>
      </w:pPr>
      <w:r>
        <w:rPr>
          <w:sz w:val="12"/>
        </w:rPr>
        <w:t>The HICP excludes council tax and owner-occupiers’ housing costs, it has a different coverage and measurement of insurance, and it excludes some </w:t>
      </w:r>
      <w:r>
        <w:rPr>
          <w:spacing w:val="-4"/>
          <w:sz w:val="12"/>
        </w:rPr>
        <w:t>other </w:t>
      </w:r>
      <w:r>
        <w:rPr>
          <w:sz w:val="12"/>
        </w:rPr>
        <w:t>goods and services, for example, NHS prescription charges.</w:t>
      </w:r>
    </w:p>
    <w:p>
      <w:pPr>
        <w:pStyle w:val="ListParagraph"/>
        <w:numPr>
          <w:ilvl w:val="0"/>
          <w:numId w:val="28"/>
        </w:numPr>
        <w:tabs>
          <w:tab w:pos="400" w:val="left" w:leader="none"/>
        </w:tabs>
        <w:spacing w:line="123" w:lineRule="exact" w:before="0" w:after="0"/>
        <w:ind w:left="399" w:right="0" w:hanging="240"/>
        <w:jc w:val="left"/>
        <w:rPr>
          <w:sz w:val="12"/>
        </w:rPr>
      </w:pPr>
      <w:r>
        <w:rPr>
          <w:sz w:val="12"/>
        </w:rPr>
        <w:t>January to September 1998.</w:t>
      </w:r>
    </w:p>
    <w:p>
      <w:pPr>
        <w:pStyle w:val="Heading4"/>
        <w:spacing w:line="242" w:lineRule="auto" w:before="90"/>
        <w:ind w:left="191" w:right="222"/>
      </w:pPr>
      <w:r>
        <w:rPr/>
        <w:br w:type="column"/>
      </w:r>
      <w:r>
        <w:rPr/>
        <w:t>The ONS has recently constructed HICP inflation rates for the United Kingdom over a long period.</w:t>
      </w:r>
      <w:r>
        <w:rPr>
          <w:position w:val="5"/>
          <w:sz w:val="16"/>
        </w:rPr>
        <w:t>(1) </w:t>
      </w:r>
      <w:r>
        <w:rPr/>
        <w:t>HICP inflation rates back to 1989 were calculated using individual price quotes (see Chart 4.10). HICP inflation was above that of RPIX for the twelve months from April 1991. This was a result of a cut in local authorities’ taxes, partly financed by an increase in </w:t>
      </w:r>
      <w:r>
        <w:rPr>
          <w:spacing w:val="-7"/>
        </w:rPr>
        <w:t>VAT—local </w:t>
      </w:r>
      <w:r>
        <w:rPr/>
        <w:t>authorities’ taxes are included in RPIX but are excluded from the </w:t>
      </w:r>
      <w:r>
        <w:rPr>
          <w:spacing w:val="-6"/>
        </w:rPr>
        <w:t>HICP, </w:t>
      </w:r>
      <w:r>
        <w:rPr/>
        <w:t>whereas </w:t>
      </w:r>
      <w:r>
        <w:rPr>
          <w:spacing w:val="-20"/>
        </w:rPr>
        <w:t>VAT </w:t>
      </w:r>
      <w:r>
        <w:rPr/>
        <w:t>is included </w:t>
      </w:r>
      <w:r>
        <w:rPr>
          <w:spacing w:val="-8"/>
        </w:rPr>
        <w:t>in </w:t>
      </w:r>
      <w:r>
        <w:rPr/>
        <w:t>both indices. But on average, HICP inflation has</w:t>
      </w:r>
      <w:r>
        <w:rPr>
          <w:spacing w:val="-7"/>
        </w:rPr>
        <w:t> </w:t>
      </w:r>
      <w:r>
        <w:rPr/>
        <w:t>been</w:t>
      </w:r>
    </w:p>
    <w:p>
      <w:pPr>
        <w:spacing w:line="242" w:lineRule="auto" w:before="13"/>
        <w:ind w:left="191" w:right="0" w:firstLine="0"/>
        <w:jc w:val="left"/>
        <w:rPr>
          <w:sz w:val="24"/>
        </w:rPr>
      </w:pPr>
      <w:r>
        <w:rPr>
          <w:sz w:val="24"/>
        </w:rPr>
        <w:t>0.5 percentage points lower than RPIX inflation since 1989. HICP inflation rates were estimated for 1975–88 assuming that the use of the geometric mean (see below) has a downward effect on the inflation rate of</w:t>
      </w:r>
    </w:p>
    <w:p>
      <w:pPr>
        <w:spacing w:line="242" w:lineRule="auto" w:before="5"/>
        <w:ind w:left="191" w:right="222" w:firstLine="0"/>
        <w:jc w:val="left"/>
        <w:rPr>
          <w:sz w:val="24"/>
        </w:rPr>
      </w:pPr>
      <w:r>
        <w:rPr>
          <w:sz w:val="24"/>
        </w:rPr>
        <w:t>0.25 percentage points. Between 1976 and 1988, HICP inflation was on average 0.5 percentage points lower than RPIX inflation.</w:t>
      </w:r>
    </w:p>
    <w:p>
      <w:pPr>
        <w:pStyle w:val="BodyText"/>
        <w:spacing w:before="9"/>
        <w:rPr>
          <w:sz w:val="23"/>
        </w:rPr>
      </w:pPr>
    </w:p>
    <w:p>
      <w:pPr>
        <w:spacing w:line="242" w:lineRule="auto" w:before="0"/>
        <w:ind w:left="191" w:right="248" w:firstLine="0"/>
        <w:jc w:val="left"/>
        <w:rPr>
          <w:sz w:val="24"/>
        </w:rPr>
      </w:pPr>
      <w:r>
        <w:rPr>
          <w:sz w:val="24"/>
        </w:rPr>
        <w:t>The gap between RPIX and HICP inflation is accounted for by differences in coverage and the use of different methods of combining price quotes at the lowest level. Using the geometric (instead of the arithmetic) mean in the HICP results in a lower inflation rate than the methods used in RPIX. That is because when relative prices change, the geometric mean method in effect increases the weight on goods whose relative price has fallen (it is as though consumers are assumed to switch spending towards cheaper substitutes), whereas the arithmetic mean method has fixed weights. This has accounted for 0.2–0.5 percentage points of the difference between the two inflation rates since 1989 (see Table 4.A). Coverage differences have had varying effects across years. HICP inflation is currently</w:t>
      </w:r>
    </w:p>
    <w:p>
      <w:pPr>
        <w:spacing w:before="19"/>
        <w:ind w:left="191" w:right="0" w:firstLine="0"/>
        <w:jc w:val="left"/>
        <w:rPr>
          <w:sz w:val="24"/>
        </w:rPr>
      </w:pPr>
      <w:r>
        <w:rPr>
          <w:sz w:val="24"/>
        </w:rPr>
        <w:t>1.1 percentage points below RPIX inflation.</w:t>
      </w:r>
      <w:r>
        <w:rPr>
          <w:spacing w:val="58"/>
          <w:sz w:val="24"/>
        </w:rPr>
        <w:t> </w:t>
      </w:r>
      <w:r>
        <w:rPr>
          <w:sz w:val="24"/>
        </w:rPr>
        <w:t>The</w:t>
      </w:r>
    </w:p>
    <w:p>
      <w:pPr>
        <w:spacing w:line="242" w:lineRule="auto" w:before="4"/>
        <w:ind w:left="191" w:right="177" w:firstLine="0"/>
        <w:jc w:val="left"/>
        <w:rPr>
          <w:sz w:val="24"/>
        </w:rPr>
      </w:pPr>
      <w:r>
        <w:rPr>
          <w:sz w:val="24"/>
        </w:rPr>
        <w:t>0.6 percentage points of the current difference that is not explained by the use of the geometric mean reflects the exclusion from the HICP of local authorities’ taxes and owner-occupiers’ housing costs (housing depreciation is included in RPIX).</w:t>
      </w:r>
    </w:p>
    <w:p>
      <w:pPr>
        <w:pStyle w:val="BodyText"/>
        <w:spacing w:before="7"/>
        <w:rPr>
          <w:sz w:val="21"/>
        </w:rPr>
      </w:pPr>
    </w:p>
    <w:p>
      <w:pPr>
        <w:tabs>
          <w:tab w:pos="4289" w:val="left" w:leader="none"/>
        </w:tabs>
        <w:spacing w:before="1"/>
        <w:ind w:left="191" w:right="0" w:firstLine="0"/>
        <w:jc w:val="left"/>
        <w:rPr>
          <w:b/>
          <w:sz w:val="28"/>
        </w:rPr>
      </w:pPr>
      <w:r>
        <w:rPr>
          <w:b/>
          <w:color w:val="009483"/>
          <w:sz w:val="28"/>
          <w:u w:val="thick" w:color="0093C1"/>
        </w:rPr>
        <w:t>4.7</w:t>
        <w:tab/>
        <w:t>Summary</w:t>
      </w:r>
      <w:r>
        <w:rPr>
          <w:b/>
          <w:color w:val="009483"/>
          <w:spacing w:val="-26"/>
          <w:sz w:val="28"/>
          <w:u w:val="thick" w:color="0093C1"/>
        </w:rPr>
        <w:t> </w:t>
      </w:r>
    </w:p>
    <w:p>
      <w:pPr>
        <w:pStyle w:val="BodyText"/>
        <w:spacing w:before="10"/>
        <w:rPr>
          <w:b/>
          <w:sz w:val="23"/>
        </w:rPr>
      </w:pPr>
    </w:p>
    <w:p>
      <w:pPr>
        <w:spacing w:line="242" w:lineRule="auto" w:before="0"/>
        <w:ind w:left="191" w:right="222" w:firstLine="0"/>
        <w:jc w:val="left"/>
        <w:rPr>
          <w:sz w:val="24"/>
        </w:rPr>
      </w:pPr>
      <w:r>
        <w:rPr>
          <w:sz w:val="24"/>
        </w:rPr>
        <w:t>Inflation was exactly on target between August and November 1998, and remained close to target in December. Weaker commodity and input prices have</w:t>
      </w:r>
    </w:p>
    <w:p>
      <w:pPr>
        <w:pStyle w:val="BodyText"/>
        <w:spacing w:before="8"/>
        <w:rPr>
          <w:sz w:val="9"/>
        </w:rPr>
      </w:pPr>
      <w:r>
        <w:rPr/>
        <w:pict>
          <v:shape style="position:absolute;margin-left:279.119995pt;margin-top:7.660762pt;width:277.5pt;height:.1pt;mso-position-horizontal-relative:page;mso-position-vertical-relative:paragraph;z-index:-15406080;mso-wrap-distance-left:0;mso-wrap-distance-right:0" coordorigin="5582,153" coordsize="5550,0" path="m5582,153l11132,153e" filled="false" stroked="true" strokeweight=".125pt" strokecolor="#000000">
            <v:path arrowok="t"/>
            <v:stroke dashstyle="solid"/>
            <w10:wrap type="topAndBottom"/>
          </v:shape>
        </w:pict>
      </w:r>
    </w:p>
    <w:p>
      <w:pPr>
        <w:pStyle w:val="ListParagraph"/>
        <w:numPr>
          <w:ilvl w:val="0"/>
          <w:numId w:val="29"/>
        </w:numPr>
        <w:tabs>
          <w:tab w:pos="401" w:val="left" w:leader="none"/>
        </w:tabs>
        <w:spacing w:line="208" w:lineRule="auto" w:before="0" w:after="0"/>
        <w:ind w:left="400" w:right="676" w:hanging="240"/>
        <w:jc w:val="left"/>
        <w:rPr>
          <w:sz w:val="16"/>
        </w:rPr>
      </w:pPr>
      <w:r>
        <w:rPr>
          <w:sz w:val="16"/>
        </w:rPr>
        <w:t>Details on the construction of the HICP can be found in </w:t>
      </w:r>
      <w:r>
        <w:rPr>
          <w:i/>
          <w:sz w:val="16"/>
        </w:rPr>
        <w:t>Economic </w:t>
      </w:r>
      <w:r>
        <w:rPr>
          <w:i/>
          <w:spacing w:val="-4"/>
          <w:sz w:val="16"/>
        </w:rPr>
        <w:t>Trends</w:t>
      </w:r>
      <w:r>
        <w:rPr>
          <w:spacing w:val="-4"/>
          <w:sz w:val="16"/>
        </w:rPr>
        <w:t>, </w:t>
      </w:r>
      <w:r>
        <w:rPr>
          <w:sz w:val="16"/>
        </w:rPr>
        <w:t>December 1998. HICP price indices are still under development. From December 1999, the coverage of goods and services included in the HICP will be extended, and the population coverage will be expanded to include foreign nationals’ spending in the United Kingdom.</w:t>
      </w:r>
    </w:p>
    <w:p>
      <w:pPr>
        <w:spacing w:after="0" w:line="208" w:lineRule="auto"/>
        <w:jc w:val="left"/>
        <w:rPr>
          <w:sz w:val="16"/>
        </w:rPr>
        <w:sectPr>
          <w:type w:val="continuous"/>
          <w:pgSz w:w="11900" w:h="16840"/>
          <w:pgMar w:top="1220" w:bottom="280" w:left="640" w:right="600"/>
          <w:cols w:num="2" w:equalWidth="0">
            <w:col w:w="4282" w:space="533"/>
            <w:col w:w="5845"/>
          </w:cols>
        </w:sectPr>
      </w:pPr>
    </w:p>
    <w:p>
      <w:pPr>
        <w:pStyle w:val="BodyText"/>
        <w:rPr>
          <w:sz w:val="20"/>
        </w:rPr>
      </w:pPr>
    </w:p>
    <w:p>
      <w:pPr>
        <w:pStyle w:val="Heading4"/>
        <w:spacing w:line="242" w:lineRule="auto" w:before="207"/>
        <w:ind w:left="4940" w:right="153"/>
      </w:pPr>
      <w:r>
        <w:rPr/>
        <w:t>been reflected in subdued manufacturing output prices. Surveys and falling producer prices overseas suggest that this weakness is set to continue. Service sector output price inflation also appears to have moderated during the second half of 1998.</w:t>
      </w:r>
    </w:p>
    <w:p>
      <w:pPr>
        <w:pStyle w:val="BodyText"/>
        <w:spacing w:before="10"/>
        <w:rPr>
          <w:sz w:val="24"/>
        </w:rPr>
      </w:pPr>
    </w:p>
    <w:p>
      <w:pPr>
        <w:spacing w:line="242" w:lineRule="auto" w:before="0"/>
        <w:ind w:left="4940" w:right="0" w:firstLine="0"/>
        <w:jc w:val="left"/>
        <w:rPr>
          <w:sz w:val="24"/>
        </w:rPr>
      </w:pPr>
      <w:r>
        <w:rPr>
          <w:sz w:val="24"/>
        </w:rPr>
        <w:t>Domestically generated inflation has been significantly higher than imported inflation in the past two years.</w:t>
      </w:r>
    </w:p>
    <w:p>
      <w:pPr>
        <w:spacing w:line="242" w:lineRule="auto" w:before="3"/>
        <w:ind w:left="4940" w:right="312" w:firstLine="0"/>
        <w:jc w:val="left"/>
        <w:rPr>
          <w:sz w:val="24"/>
        </w:rPr>
      </w:pPr>
      <w:r>
        <w:rPr>
          <w:sz w:val="24"/>
        </w:rPr>
        <w:t>Similarly, services price inflation has been higher than that for goods. Over the forecast period, weaker domestic demand and the lagged effects of sterling’s recent and expected depreciation should gradually narrow the gap between domestically generated and imported inflation. The MPC’s central projection assumes that import prices rise more slowly throughout 1999 than was expected at the time of the November </w:t>
      </w:r>
      <w:r>
        <w:rPr>
          <w:i/>
          <w:sz w:val="24"/>
        </w:rPr>
        <w:t>Report</w:t>
      </w:r>
      <w:r>
        <w:rPr>
          <w:sz w:val="24"/>
        </w:rPr>
        <w:t>.</w:t>
      </w:r>
    </w:p>
    <w:p>
      <w:pPr>
        <w:spacing w:after="0" w:line="242" w:lineRule="auto"/>
        <w:jc w:val="left"/>
        <w:rPr>
          <w:sz w:val="24"/>
        </w:rPr>
        <w:sectPr>
          <w:pgSz w:w="11900" w:h="16840"/>
          <w:pgMar w:header="586" w:footer="617" w:top="780" w:bottom="800" w:left="640" w:right="600"/>
        </w:sectPr>
      </w:pPr>
    </w:p>
    <w:p>
      <w:pPr>
        <w:pStyle w:val="BodyText"/>
        <w:spacing w:line="20" w:lineRule="exact"/>
        <w:ind w:left="138"/>
        <w:rPr>
          <w:sz w:val="2"/>
        </w:rPr>
      </w:pPr>
      <w:r>
        <w:rPr>
          <w:sz w:val="2"/>
        </w:rPr>
        <w:pict>
          <v:group style="width:517pt;height:.15pt;mso-position-horizontal-relative:char;mso-position-vertical-relative:line" coordorigin="0,0" coordsize="10340,3">
            <v:line style="position:absolute" from="0,1" to="10340,1" stroked="true" strokeweight=".125pt" strokecolor="#000000">
              <v:stroke dashstyle="solid"/>
            </v:line>
          </v:group>
        </w:pict>
      </w:r>
      <w:r>
        <w:rPr>
          <w:sz w:val="2"/>
        </w:rPr>
      </w:r>
    </w:p>
    <w:p>
      <w:pPr>
        <w:pStyle w:val="BodyText"/>
        <w:rPr>
          <w:sz w:val="20"/>
        </w:rPr>
      </w:pPr>
    </w:p>
    <w:p>
      <w:pPr>
        <w:pStyle w:val="BodyText"/>
        <w:spacing w:before="9"/>
      </w:pPr>
      <w:r>
        <w:rPr/>
        <w:pict>
          <v:shape style="position:absolute;margin-left:40.090pt;margin-top:12.000977pt;width:516pt;height:48pt;mso-position-horizontal-relative:page;mso-position-vertical-relative:paragraph;z-index:-15401984;mso-wrap-distance-left:0;mso-wrap-distance-right:0" type="#_x0000_t202" filled="true" fillcolor="#b5dad6" stroked="false">
            <v:textbox inset="0,0,0,0">
              <w:txbxContent>
                <w:p>
                  <w:pPr>
                    <w:tabs>
                      <w:tab w:pos="1129" w:val="left" w:leader="none"/>
                    </w:tabs>
                    <w:spacing w:before="40"/>
                    <w:ind w:left="260" w:right="0" w:firstLine="0"/>
                    <w:jc w:val="left"/>
                    <w:rPr>
                      <w:b/>
                      <w:i/>
                      <w:sz w:val="48"/>
                    </w:rPr>
                  </w:pPr>
                  <w:bookmarkStart w:name="Monetary policy since the November Repor" w:id="72"/>
                  <w:bookmarkEnd w:id="72"/>
                  <w:r>
                    <w:rPr/>
                  </w:r>
                  <w:bookmarkStart w:name="_bookmark28" w:id="73"/>
                  <w:bookmarkEnd w:id="73"/>
                  <w:r>
                    <w:rPr/>
                  </w:r>
                  <w:r>
                    <w:rPr>
                      <w:b/>
                      <w:color w:val="009483"/>
                      <w:sz w:val="72"/>
                    </w:rPr>
                    <w:t>5</w:t>
                    <w:tab/>
                  </w:r>
                  <w:r>
                    <w:rPr>
                      <w:b/>
                      <w:color w:val="009483"/>
                      <w:sz w:val="48"/>
                    </w:rPr>
                    <w:t>Monetary policy since the November</w:t>
                  </w:r>
                  <w:r>
                    <w:rPr>
                      <w:b/>
                      <w:color w:val="009483"/>
                      <w:spacing w:val="-2"/>
                      <w:sz w:val="48"/>
                    </w:rPr>
                    <w:t> </w:t>
                  </w:r>
                  <w:r>
                    <w:rPr>
                      <w:b/>
                      <w:i/>
                      <w:color w:val="009483"/>
                      <w:sz w:val="48"/>
                    </w:rPr>
                    <w:t>Report</w:t>
                  </w:r>
                </w:p>
              </w:txbxContent>
            </v:textbox>
            <v:fill type="solid"/>
            <w10:wrap type="topAndBottom"/>
          </v:shape>
        </w:pict>
      </w:r>
    </w:p>
    <w:p>
      <w:pPr>
        <w:pStyle w:val="BodyText"/>
        <w:rPr>
          <w:sz w:val="20"/>
        </w:rPr>
      </w:pPr>
    </w:p>
    <w:p>
      <w:pPr>
        <w:pStyle w:val="BodyText"/>
        <w:rPr>
          <w:sz w:val="20"/>
        </w:rPr>
      </w:pPr>
    </w:p>
    <w:p>
      <w:pPr>
        <w:spacing w:line="242" w:lineRule="auto" w:before="215"/>
        <w:ind w:left="4960" w:right="246" w:firstLine="0"/>
        <w:jc w:val="left"/>
        <w:rPr>
          <w:sz w:val="24"/>
        </w:rPr>
      </w:pPr>
      <w:r>
        <w:rPr>
          <w:sz w:val="24"/>
        </w:rPr>
        <w:t>This section summarises the economic developments and monetary policy decisions taken by the MPC since the November </w:t>
      </w:r>
      <w:r>
        <w:rPr>
          <w:i/>
          <w:color w:val="231F20"/>
          <w:sz w:val="24"/>
        </w:rPr>
        <w:t>Report</w:t>
      </w:r>
      <w:hyperlink w:history="true" w:anchor="_bookmark36">
        <w:r>
          <w:rPr>
            <w:color w:val="231F20"/>
            <w:sz w:val="24"/>
          </w:rPr>
          <w:t>. The minutes of the November,</w:t>
        </w:r>
      </w:hyperlink>
      <w:r>
        <w:rPr>
          <w:color w:val="231F20"/>
          <w:sz w:val="24"/>
        </w:rPr>
        <w:t> </w:t>
      </w:r>
      <w:hyperlink w:history="true" w:anchor="_bookmark37">
        <w:r>
          <w:rPr>
            <w:color w:val="231F20"/>
            <w:sz w:val="24"/>
          </w:rPr>
          <w:t>December</w:t>
        </w:r>
      </w:hyperlink>
      <w:r>
        <w:rPr>
          <w:color w:val="231F20"/>
          <w:sz w:val="24"/>
        </w:rPr>
        <w:t> and </w:t>
      </w:r>
      <w:hyperlink w:history="true" w:anchor="_bookmark39">
        <w:r>
          <w:rPr>
            <w:color w:val="231F20"/>
            <w:sz w:val="24"/>
          </w:rPr>
          <w:t>January</w:t>
        </w:r>
      </w:hyperlink>
      <w:r>
        <w:rPr>
          <w:color w:val="231F20"/>
          <w:sz w:val="24"/>
        </w:rPr>
        <w:t> meetings are attached as an Annex to this </w:t>
      </w:r>
      <w:r>
        <w:rPr>
          <w:i/>
          <w:color w:val="231F20"/>
          <w:sz w:val="24"/>
        </w:rPr>
        <w:t>Report</w:t>
      </w:r>
      <w:r>
        <w:rPr>
          <w:color w:val="231F20"/>
          <w:sz w:val="24"/>
        </w:rPr>
        <w:t>. The Bank of England’s official dealing rate—the repo rate—was reduced from 6.75% </w:t>
      </w:r>
      <w:r>
        <w:rPr>
          <w:color w:val="231F20"/>
          <w:spacing w:val="-9"/>
          <w:sz w:val="24"/>
        </w:rPr>
        <w:t>in </w:t>
      </w:r>
      <w:r>
        <w:rPr>
          <w:color w:val="231F20"/>
          <w:sz w:val="24"/>
        </w:rPr>
        <w:t>November to 6.25% in December, 6.0% in January, and 5.5% in</w:t>
      </w:r>
      <w:r>
        <w:rPr>
          <w:color w:val="231F20"/>
          <w:spacing w:val="-1"/>
          <w:sz w:val="24"/>
        </w:rPr>
        <w:t> </w:t>
      </w:r>
      <w:r>
        <w:rPr>
          <w:color w:val="231F20"/>
          <w:sz w:val="24"/>
        </w:rPr>
        <w:t>February.</w:t>
      </w:r>
    </w:p>
    <w:p>
      <w:pPr>
        <w:pStyle w:val="BodyText"/>
        <w:spacing w:before="11"/>
        <w:rPr>
          <w:sz w:val="26"/>
        </w:rPr>
      </w:pPr>
    </w:p>
    <w:p>
      <w:pPr>
        <w:spacing w:line="242" w:lineRule="auto" w:before="0"/>
        <w:ind w:left="4960" w:right="261" w:firstLine="0"/>
        <w:jc w:val="left"/>
        <w:rPr>
          <w:sz w:val="24"/>
        </w:rPr>
      </w:pPr>
      <w:r>
        <w:rPr>
          <w:color w:val="231F20"/>
          <w:sz w:val="24"/>
        </w:rPr>
        <w:t>At the time of the November </w:t>
      </w:r>
      <w:r>
        <w:rPr>
          <w:i/>
          <w:color w:val="231F20"/>
          <w:sz w:val="24"/>
        </w:rPr>
        <w:t>Report</w:t>
      </w:r>
      <w:r>
        <w:rPr>
          <w:color w:val="231F20"/>
          <w:sz w:val="24"/>
        </w:rPr>
        <w:t>, the central projection was for RPIX inflation to rise slightly above target over the following twelve months, before returning to around 2.5% at the two-year forecast horizon. The small rise in projected inflation reflected higher earnings growth, including the effects of the National Minimum Wage. Risks to the inflation outlook were thought to be symmetric—downside risks from weaker growth were expected to be balanced by upside risks from past strong money growth and from the possibility of a more rapid fall in the exchange rate.</w:t>
      </w:r>
    </w:p>
    <w:p>
      <w:pPr>
        <w:pStyle w:val="BodyText"/>
        <w:rPr>
          <w:sz w:val="29"/>
        </w:rPr>
      </w:pPr>
    </w:p>
    <w:p>
      <w:pPr>
        <w:spacing w:line="242" w:lineRule="auto" w:before="1"/>
        <w:ind w:left="4960" w:right="301" w:firstLine="0"/>
        <w:jc w:val="left"/>
        <w:rPr>
          <w:sz w:val="24"/>
        </w:rPr>
      </w:pPr>
      <w:hyperlink w:history="true" w:anchor="_bookmark37">
        <w:r>
          <w:rPr>
            <w:color w:val="231F20"/>
            <w:sz w:val="24"/>
          </w:rPr>
          <w:t>At its meeting on 9–10 December,</w:t>
        </w:r>
      </w:hyperlink>
      <w:r>
        <w:rPr>
          <w:color w:val="231F20"/>
          <w:sz w:val="24"/>
        </w:rPr>
        <w:t> the Committee noted that the prospects for global activity and prices had deteriorated further over the month. Business confidence in the major economies had weakened and commodity prices, particularly oil, had fallen further.</w:t>
      </w:r>
    </w:p>
    <w:p>
      <w:pPr>
        <w:spacing w:line="242" w:lineRule="auto" w:before="6"/>
        <w:ind w:left="4960" w:right="225" w:firstLine="0"/>
        <w:jc w:val="left"/>
        <w:rPr>
          <w:sz w:val="24"/>
        </w:rPr>
      </w:pPr>
      <w:r>
        <w:rPr>
          <w:color w:val="231F20"/>
          <w:sz w:val="24"/>
        </w:rPr>
        <w:t>Trade data had suggested that the effects of slower </w:t>
      </w:r>
      <w:r>
        <w:rPr>
          <w:color w:val="231F20"/>
          <w:spacing w:val="-4"/>
          <w:sz w:val="24"/>
        </w:rPr>
        <w:t>world </w:t>
      </w:r>
      <w:r>
        <w:rPr>
          <w:color w:val="231F20"/>
          <w:sz w:val="24"/>
        </w:rPr>
        <w:t>demand were now emerging, in addition to the impact of sterling’s appreciation. There had been an easing of monetary policy in the United States and the euro area. The main domestic news concerned consumption, though other indicators of domestic activity were also showing signs of softening. In particular, pressures in the labour market appeared to have eased. However, aggregate M4 growth had continued at annual rates of more than 9%, and asset prices remained firm.</w:t>
      </w:r>
    </w:p>
    <w:p>
      <w:pPr>
        <w:pStyle w:val="BodyText"/>
        <w:spacing w:before="10"/>
        <w:rPr>
          <w:sz w:val="28"/>
        </w:rPr>
      </w:pPr>
    </w:p>
    <w:p>
      <w:pPr>
        <w:spacing w:line="242" w:lineRule="auto" w:before="1"/>
        <w:ind w:left="4960" w:right="261" w:firstLine="0"/>
        <w:jc w:val="left"/>
        <w:rPr>
          <w:sz w:val="24"/>
        </w:rPr>
      </w:pPr>
      <w:r>
        <w:rPr>
          <w:color w:val="231F20"/>
          <w:sz w:val="24"/>
        </w:rPr>
        <w:t>Many of the Committee’s concerns related to the prospects for consumption and confidence.</w:t>
      </w:r>
    </w:p>
    <w:p>
      <w:pPr>
        <w:spacing w:line="242" w:lineRule="auto" w:before="2"/>
        <w:ind w:left="4960" w:right="312" w:firstLine="0"/>
        <w:jc w:val="left"/>
        <w:rPr>
          <w:sz w:val="24"/>
        </w:rPr>
      </w:pPr>
      <w:r>
        <w:rPr>
          <w:color w:val="231F20"/>
          <w:sz w:val="24"/>
        </w:rPr>
        <w:t>Consumption growth in Q3 had been below the November central projection, and retail sales growth pointed to further weakening in Q4. </w:t>
      </w:r>
      <w:r>
        <w:rPr>
          <w:color w:val="231F20"/>
          <w:spacing w:val="-4"/>
          <w:sz w:val="24"/>
        </w:rPr>
        <w:t>Various </w:t>
      </w:r>
      <w:r>
        <w:rPr>
          <w:color w:val="231F20"/>
          <w:sz w:val="24"/>
        </w:rPr>
        <w:t>reasons </w:t>
      </w:r>
      <w:r>
        <w:rPr>
          <w:color w:val="231F20"/>
          <w:spacing w:val="-6"/>
          <w:sz w:val="24"/>
        </w:rPr>
        <w:t>for </w:t>
      </w:r>
      <w:r>
        <w:rPr>
          <w:color w:val="231F20"/>
          <w:sz w:val="24"/>
        </w:rPr>
        <w:t>the slower-than-expected household spending were </w:t>
      </w:r>
      <w:hyperlink w:history="true" w:anchor="_bookmark35">
        <w:r>
          <w:rPr>
            <w:color w:val="231F20"/>
            <w:sz w:val="24"/>
          </w:rPr>
          <w:t>suggested, and are detailed in the Annex.</w:t>
        </w:r>
      </w:hyperlink>
      <w:r>
        <w:rPr>
          <w:color w:val="231F20"/>
          <w:sz w:val="24"/>
        </w:rPr>
        <w:t> These included the possibility that the consumption effects</w:t>
      </w:r>
      <w:r>
        <w:rPr>
          <w:color w:val="231F20"/>
          <w:spacing w:val="-4"/>
          <w:sz w:val="24"/>
        </w:rPr>
        <w:t> </w:t>
      </w:r>
      <w:r>
        <w:rPr>
          <w:color w:val="231F20"/>
          <w:sz w:val="24"/>
        </w:rPr>
        <w:t>of</w:t>
      </w:r>
    </w:p>
    <w:p>
      <w:pPr>
        <w:spacing w:after="0" w:line="242" w:lineRule="auto"/>
        <w:jc w:val="left"/>
        <w:rPr>
          <w:sz w:val="24"/>
        </w:rPr>
        <w:sectPr>
          <w:headerReference w:type="even" r:id="rId99"/>
          <w:footerReference w:type="even" r:id="rId100"/>
          <w:footerReference w:type="default" r:id="rId101"/>
          <w:pgSz w:w="11900" w:h="16840"/>
          <w:pgMar w:header="0" w:footer="597" w:top="780" w:bottom="780" w:left="640" w:right="600"/>
          <w:pgNumType w:start="40"/>
        </w:sectPr>
      </w:pPr>
    </w:p>
    <w:p>
      <w:pPr>
        <w:pStyle w:val="BodyText"/>
        <w:rPr>
          <w:sz w:val="20"/>
        </w:rPr>
      </w:pPr>
    </w:p>
    <w:p>
      <w:pPr>
        <w:spacing w:line="242" w:lineRule="auto" w:before="226"/>
        <w:ind w:left="4960" w:right="261" w:firstLine="0"/>
        <w:jc w:val="left"/>
        <w:rPr>
          <w:sz w:val="24"/>
        </w:rPr>
      </w:pPr>
      <w:r>
        <w:rPr>
          <w:sz w:val="24"/>
        </w:rPr>
        <w:t>windfall payouts in 1997 had been more bunched than expected; that consumers were more worried by the outlook for employment and were saving more; and </w:t>
      </w:r>
      <w:r>
        <w:rPr>
          <w:spacing w:val="-5"/>
          <w:sz w:val="24"/>
        </w:rPr>
        <w:t>that </w:t>
      </w:r>
      <w:r>
        <w:rPr>
          <w:sz w:val="24"/>
        </w:rPr>
        <w:t>consumers had not reacted to increases in wealth in the same way as in the past. But the Committee judged that none of the explanations on its own was sufficient to explain the slowdown in consumption.</w:t>
      </w:r>
    </w:p>
    <w:p>
      <w:pPr>
        <w:pStyle w:val="BodyText"/>
        <w:spacing w:before="7"/>
        <w:rPr>
          <w:sz w:val="28"/>
        </w:rPr>
      </w:pPr>
    </w:p>
    <w:p>
      <w:pPr>
        <w:spacing w:line="242" w:lineRule="auto" w:before="0"/>
        <w:ind w:left="4960" w:right="153" w:firstLine="0"/>
        <w:jc w:val="left"/>
        <w:rPr>
          <w:sz w:val="24"/>
        </w:rPr>
      </w:pPr>
      <w:r>
        <w:rPr>
          <w:sz w:val="24"/>
        </w:rPr>
        <w:t>In assessing the inflation outlook, the Committee noted that the mean of the two year ahead RPIX projection had already been below 2.5% in November. The weaker global and domestic situations suggested that the </w:t>
      </w:r>
      <w:r>
        <w:rPr>
          <w:spacing w:val="-3"/>
          <w:sz w:val="24"/>
        </w:rPr>
        <w:t>balance </w:t>
      </w:r>
      <w:r>
        <w:rPr>
          <w:sz w:val="24"/>
        </w:rPr>
        <w:t>of risks to UK activity was now even further on the downside, so the expected inflation rate two years ahead had fallen since the November</w:t>
      </w:r>
      <w:r>
        <w:rPr>
          <w:spacing w:val="-2"/>
          <w:sz w:val="24"/>
        </w:rPr>
        <w:t> </w:t>
      </w:r>
      <w:r>
        <w:rPr>
          <w:i/>
          <w:sz w:val="24"/>
        </w:rPr>
        <w:t>Report</w:t>
      </w:r>
      <w:r>
        <w:rPr>
          <w:sz w:val="24"/>
        </w:rPr>
        <w:t>.</w:t>
      </w:r>
    </w:p>
    <w:p>
      <w:pPr>
        <w:pStyle w:val="BodyText"/>
        <w:spacing w:before="6"/>
        <w:rPr>
          <w:sz w:val="28"/>
        </w:rPr>
      </w:pPr>
    </w:p>
    <w:p>
      <w:pPr>
        <w:spacing w:line="242" w:lineRule="auto" w:before="1"/>
        <w:ind w:left="4960" w:right="211" w:firstLine="0"/>
        <w:jc w:val="left"/>
        <w:rPr>
          <w:sz w:val="24"/>
        </w:rPr>
      </w:pPr>
      <w:r>
        <w:rPr>
          <w:sz w:val="24"/>
        </w:rPr>
        <w:t>The Committee therefore agreed that there was a clear case for a further cut in interest rates during the month. It considered whether it was helpful to judge the appropriate level of nominal interest rates by reference to a ‘neutral’ level that provided neither restraint nor stimulus to the economy. Proxies for the neutral interest rate could, in principle, be determined by combining short-term inflation expectations with an estimate of the short-run real interest rate. But in practice, measurement of the neutral nominal rate was difficult and imprecise; estimates lay between 4.5% and 6.5%. Though some Committee members found the concept useful, others judged that the uncertainty surrounding its level was too large for it to be a practical guide to </w:t>
      </w:r>
      <w:r>
        <w:rPr>
          <w:spacing w:val="-3"/>
          <w:sz w:val="24"/>
        </w:rPr>
        <w:t>policy. </w:t>
      </w:r>
      <w:r>
        <w:rPr>
          <w:sz w:val="24"/>
        </w:rPr>
        <w:t>The widely held view was that an immediate cut in interest rates of 50 basis points was justified by the news over the </w:t>
      </w:r>
      <w:r>
        <w:rPr>
          <w:spacing w:val="-3"/>
          <w:sz w:val="24"/>
        </w:rPr>
        <w:t>month. </w:t>
      </w:r>
      <w:r>
        <w:rPr>
          <w:sz w:val="24"/>
        </w:rPr>
        <w:t>Accordingly, the Committee voted to reduce the repo rate from 6.75% to 6.25%.</w:t>
      </w:r>
    </w:p>
    <w:p>
      <w:pPr>
        <w:pStyle w:val="BodyText"/>
        <w:spacing w:before="9"/>
        <w:rPr>
          <w:sz w:val="29"/>
        </w:rPr>
      </w:pPr>
    </w:p>
    <w:p>
      <w:pPr>
        <w:spacing w:line="242" w:lineRule="auto" w:before="0"/>
        <w:ind w:left="4960" w:right="195" w:firstLine="0"/>
        <w:jc w:val="left"/>
        <w:rPr>
          <w:sz w:val="24"/>
        </w:rPr>
      </w:pPr>
      <w:hyperlink w:history="true" w:anchor="_bookmark39">
        <w:r>
          <w:rPr>
            <w:sz w:val="24"/>
          </w:rPr>
          <w:t>At its meeting on 6–7 January,</w:t>
        </w:r>
      </w:hyperlink>
      <w:r>
        <w:rPr>
          <w:sz w:val="24"/>
        </w:rPr>
        <w:t> the Committee again considered the prospects for global activity and prices. Views varied on whether there had been a further deterioration in external demand over the month, or whether international developments had principally reflected the continuing pass-through and unwinding of previous negative shocks. However, commodity prices had remained weak—the fall in world oil prices to around $10 per barrel prior to the December meeting had largely persisted, and non-oil commodity prices had increased only slightly in November. Overall, the Committee felt that the prospects for global activity and prices had changed little since December, and that the risks to both inflation and activity remained clearly on the downside.</w:t>
      </w:r>
    </w:p>
    <w:p>
      <w:pPr>
        <w:spacing w:after="0" w:line="242" w:lineRule="auto"/>
        <w:jc w:val="left"/>
        <w:rPr>
          <w:sz w:val="24"/>
        </w:rPr>
        <w:sectPr>
          <w:headerReference w:type="default" r:id="rId102"/>
          <w:headerReference w:type="even" r:id="rId103"/>
          <w:pgSz w:w="11900" w:h="16840"/>
          <w:pgMar w:header="584" w:footer="617" w:top="780" w:bottom="800" w:left="640" w:right="600"/>
        </w:sectPr>
      </w:pPr>
    </w:p>
    <w:p>
      <w:pPr>
        <w:pStyle w:val="BodyText"/>
        <w:rPr>
          <w:sz w:val="20"/>
        </w:rPr>
      </w:pPr>
    </w:p>
    <w:p>
      <w:pPr>
        <w:spacing w:line="242" w:lineRule="auto" w:before="226"/>
        <w:ind w:left="4980" w:right="185" w:firstLine="0"/>
        <w:jc w:val="left"/>
        <w:rPr>
          <w:sz w:val="24"/>
        </w:rPr>
      </w:pPr>
      <w:r>
        <w:rPr>
          <w:sz w:val="24"/>
        </w:rPr>
        <w:t>The main domestic news on activity had been the small downward revision to the level of GDP and the change in the composition of growth. Consumption had been revised down, and the contribution from net trade and inventory accumulation had been revised up. The lower estimate for the level of GDP suggested that pressure on capacity was likely to have been less than previously thought. The news from retail sales had been mixed, while monetary growth and world stock markets pointed to a stronger outlook for activity. The Committee concluded that recent indicators suggested that GDP growth in 1998 Q4 would turn out broadly as expected </w:t>
      </w:r>
      <w:r>
        <w:rPr>
          <w:spacing w:val="-9"/>
          <w:sz w:val="24"/>
        </w:rPr>
        <w:t>at </w:t>
      </w:r>
      <w:r>
        <w:rPr>
          <w:sz w:val="24"/>
        </w:rPr>
        <w:t>the time of the November</w:t>
      </w:r>
      <w:r>
        <w:rPr>
          <w:spacing w:val="-1"/>
          <w:sz w:val="24"/>
        </w:rPr>
        <w:t> </w:t>
      </w:r>
      <w:r>
        <w:rPr>
          <w:i/>
          <w:sz w:val="24"/>
        </w:rPr>
        <w:t>Report</w:t>
      </w:r>
      <w:r>
        <w:rPr>
          <w:sz w:val="24"/>
        </w:rPr>
        <w:t>.</w:t>
      </w:r>
    </w:p>
    <w:p>
      <w:pPr>
        <w:pStyle w:val="BodyText"/>
        <w:spacing w:before="9"/>
        <w:rPr>
          <w:sz w:val="25"/>
        </w:rPr>
      </w:pPr>
    </w:p>
    <w:p>
      <w:pPr>
        <w:spacing w:line="242" w:lineRule="auto" w:before="0"/>
        <w:ind w:left="4980" w:right="219" w:firstLine="0"/>
        <w:jc w:val="left"/>
        <w:rPr>
          <w:sz w:val="24"/>
        </w:rPr>
      </w:pPr>
      <w:r>
        <w:rPr>
          <w:sz w:val="24"/>
        </w:rPr>
        <w:t>Given this picture for activity, nominal price and cost developments continued to be more benign than expected at the time of the November projections and, on the view of some Committee members, than </w:t>
      </w:r>
      <w:r>
        <w:rPr>
          <w:spacing w:val="-3"/>
          <w:sz w:val="24"/>
        </w:rPr>
        <w:t>expected </w:t>
      </w:r>
      <w:r>
        <w:rPr>
          <w:sz w:val="24"/>
        </w:rPr>
        <w:t>in December. Producer input prices had continued to fall, and wage settlements had been flat for many months. Depending on wage drift developments, this suggested a somewhat lower path for earnings growth than previously expected.</w:t>
      </w:r>
    </w:p>
    <w:p>
      <w:pPr>
        <w:pStyle w:val="BodyText"/>
        <w:spacing w:before="4"/>
        <w:rPr>
          <w:sz w:val="25"/>
        </w:rPr>
      </w:pPr>
    </w:p>
    <w:p>
      <w:pPr>
        <w:spacing w:line="242" w:lineRule="auto" w:before="0"/>
        <w:ind w:left="4980" w:right="219" w:firstLine="0"/>
        <w:jc w:val="left"/>
        <w:rPr>
          <w:sz w:val="24"/>
        </w:rPr>
      </w:pPr>
      <w:r>
        <w:rPr>
          <w:sz w:val="24"/>
        </w:rPr>
        <w:t>In its discussion of the immediate policy decision, the Committee largely focused on two considerations. First, the adjustment in the world economy was likely to </w:t>
      </w:r>
      <w:r>
        <w:rPr>
          <w:spacing w:val="-4"/>
          <w:sz w:val="24"/>
        </w:rPr>
        <w:t>prove </w:t>
      </w:r>
      <w:r>
        <w:rPr>
          <w:sz w:val="24"/>
        </w:rPr>
        <w:t>more prolonged than previously assumed, so there was less need for policy to put downward pressure on domestically generated inflation. Second, revisions to the expenditure composition of domestic demand, together with the potential easing in the labour market and the apparent moderation of inflation expectations, suggested weaker prospects for inflation. Against this background, the Committee voted to cut the </w:t>
      </w:r>
      <w:r>
        <w:rPr>
          <w:spacing w:val="-3"/>
          <w:sz w:val="24"/>
        </w:rPr>
        <w:t>Bank’s </w:t>
      </w:r>
      <w:r>
        <w:rPr>
          <w:sz w:val="24"/>
        </w:rPr>
        <w:t>repo rate by 0.25% to 6.0%.</w:t>
      </w:r>
    </w:p>
    <w:p>
      <w:pPr>
        <w:pStyle w:val="BodyText"/>
        <w:spacing w:before="7"/>
        <w:rPr>
          <w:sz w:val="25"/>
        </w:rPr>
      </w:pPr>
    </w:p>
    <w:p>
      <w:pPr>
        <w:spacing w:line="242" w:lineRule="auto" w:before="1"/>
        <w:ind w:left="4980" w:right="0" w:firstLine="0"/>
        <w:jc w:val="left"/>
        <w:rPr>
          <w:sz w:val="24"/>
        </w:rPr>
      </w:pPr>
      <w:r>
        <w:rPr>
          <w:sz w:val="24"/>
        </w:rPr>
        <w:t>At its meeting on 3–4 February, the Committee voted to reduce the repo rate by 0.5% to 5.5%.</w:t>
      </w:r>
    </w:p>
    <w:p>
      <w:pPr>
        <w:spacing w:after="0" w:line="242" w:lineRule="auto"/>
        <w:jc w:val="left"/>
        <w:rPr>
          <w:sz w:val="24"/>
        </w:rPr>
        <w:sectPr>
          <w:footerReference w:type="even" r:id="rId104"/>
          <w:footerReference w:type="default" r:id="rId105"/>
          <w:pgSz w:w="11900" w:h="16840"/>
          <w:pgMar w:footer="597" w:header="584" w:top="780" w:bottom="780" w:left="640" w:right="600"/>
          <w:pgNumType w:start="42"/>
        </w:sectPr>
      </w:pPr>
    </w:p>
    <w:p>
      <w:pPr>
        <w:pStyle w:val="BodyText"/>
        <w:spacing w:line="20" w:lineRule="exact"/>
        <w:ind w:left="128"/>
        <w:rPr>
          <w:sz w:val="2"/>
        </w:rPr>
      </w:pPr>
      <w:r>
        <w:rPr>
          <w:sz w:val="2"/>
        </w:rPr>
        <w:pict>
          <v:group style="width:517pt;height:.15pt;mso-position-horizontal-relative:char;mso-position-vertical-relative:line" coordorigin="0,0" coordsize="10340,3">
            <v:line style="position:absolute" from="0,1" to="10340,1" stroked="true" strokeweight=".125pt" strokecolor="#000000">
              <v:stroke dashstyle="solid"/>
            </v:line>
          </v:group>
        </w:pict>
      </w:r>
      <w:r>
        <w:rPr>
          <w:sz w:val="2"/>
        </w:rPr>
      </w:r>
    </w:p>
    <w:p>
      <w:pPr>
        <w:pStyle w:val="BodyText"/>
        <w:rPr>
          <w:sz w:val="20"/>
        </w:rPr>
      </w:pPr>
    </w:p>
    <w:p>
      <w:pPr>
        <w:pStyle w:val="BodyText"/>
        <w:spacing w:before="5"/>
        <w:rPr>
          <w:sz w:val="17"/>
        </w:rPr>
      </w:pPr>
      <w:r>
        <w:rPr/>
        <w:pict>
          <v:group style="position:absolute;margin-left:39.540001pt;margin-top:12.000977pt;width:516pt;height:48pt;mso-position-horizontal-relative:page;mso-position-vertical-relative:paragraph;z-index:-15399936;mso-wrap-distance-left:0;mso-wrap-distance-right:0" coordorigin="791,240" coordsize="10320,960">
            <v:rect style="position:absolute;left:790;top:240;width:10320;height:960" filled="true" fillcolor="#b5dad6" stroked="false">
              <v:fill type="solid"/>
            </v:rect>
            <v:shape style="position:absolute;left:1050;top:444;width:4571;height:532" type="#_x0000_t202" filled="false" stroked="false">
              <v:textbox inset="0,0,0,0">
                <w:txbxContent>
                  <w:p>
                    <w:pPr>
                      <w:spacing w:line="532" w:lineRule="exact" w:before="0"/>
                      <w:ind w:left="0" w:right="0" w:firstLine="0"/>
                      <w:jc w:val="left"/>
                      <w:rPr>
                        <w:b/>
                        <w:sz w:val="48"/>
                      </w:rPr>
                    </w:pPr>
                    <w:bookmarkStart w:name="Prospects for inflation" w:id="74"/>
                    <w:bookmarkEnd w:id="74"/>
                    <w:r>
                      <w:rPr/>
                    </w:r>
                    <w:bookmarkStart w:name="The inflation projection assumptions" w:id="75"/>
                    <w:bookmarkEnd w:id="75"/>
                    <w:r>
                      <w:rPr/>
                    </w:r>
                    <w:bookmarkStart w:name="_bookmark29" w:id="76"/>
                    <w:bookmarkEnd w:id="76"/>
                    <w:r>
                      <w:rPr/>
                    </w:r>
                    <w:r>
                      <w:rPr>
                        <w:b/>
                        <w:color w:val="009483"/>
                        <w:sz w:val="48"/>
                      </w:rPr>
                      <w:t>Prospects for inflation</w:t>
                    </w:r>
                  </w:p>
                </w:txbxContent>
              </v:textbox>
              <w10:wrap type="none"/>
            </v:shape>
            <v:shape style="position:absolute;left:10530;top:290;width:380;height:798" type="#_x0000_t202" filled="false" stroked="false">
              <v:textbox inset="0,0,0,0">
                <w:txbxContent>
                  <w:p>
                    <w:pPr>
                      <w:spacing w:line="797" w:lineRule="exact" w:before="0"/>
                      <w:ind w:left="0" w:right="0" w:firstLine="0"/>
                      <w:jc w:val="left"/>
                      <w:rPr>
                        <w:b/>
                        <w:sz w:val="72"/>
                      </w:rPr>
                    </w:pPr>
                    <w:r>
                      <w:rPr>
                        <w:b/>
                        <w:color w:val="009483"/>
                        <w:sz w:val="72"/>
                      </w:rPr>
                      <w:t>6</w:t>
                    </w:r>
                  </w:p>
                </w:txbxContent>
              </v:textbox>
              <w10:wrap type="none"/>
            </v:shape>
            <w10:wrap type="topAndBottom"/>
          </v:group>
        </w:pict>
      </w:r>
    </w:p>
    <w:p>
      <w:pPr>
        <w:pStyle w:val="BodyText"/>
        <w:rPr>
          <w:sz w:val="20"/>
        </w:rPr>
      </w:pPr>
    </w:p>
    <w:p>
      <w:pPr>
        <w:pStyle w:val="BodyText"/>
        <w:spacing w:before="2"/>
        <w:rPr>
          <w:sz w:val="27"/>
        </w:rPr>
      </w:pPr>
    </w:p>
    <w:p>
      <w:pPr>
        <w:tabs>
          <w:tab w:pos="5840" w:val="left" w:leader="none"/>
          <w:tab w:pos="10449" w:val="left" w:leader="none"/>
        </w:tabs>
        <w:spacing w:before="88"/>
        <w:ind w:left="4949" w:right="0" w:firstLine="0"/>
        <w:jc w:val="left"/>
        <w:rPr>
          <w:b/>
          <w:sz w:val="28"/>
        </w:rPr>
      </w:pPr>
      <w:r>
        <w:rPr>
          <w:b/>
          <w:color w:val="009483"/>
          <w:sz w:val="28"/>
          <w:u w:val="thick" w:color="0093C1"/>
        </w:rPr>
        <w:t>6.1</w:t>
        <w:tab/>
        <w:t>The inflation projection</w:t>
      </w:r>
      <w:r>
        <w:rPr>
          <w:b/>
          <w:color w:val="009483"/>
          <w:spacing w:val="-6"/>
          <w:sz w:val="28"/>
          <w:u w:val="thick" w:color="0093C1"/>
        </w:rPr>
        <w:t> </w:t>
      </w:r>
      <w:r>
        <w:rPr>
          <w:b/>
          <w:color w:val="009483"/>
          <w:sz w:val="28"/>
          <w:u w:val="thick" w:color="0093C1"/>
        </w:rPr>
        <w:t>assumptions</w:t>
        <w:tab/>
      </w:r>
    </w:p>
    <w:p>
      <w:pPr>
        <w:spacing w:line="242" w:lineRule="auto" w:before="260"/>
        <w:ind w:left="4948" w:right="232" w:firstLine="0"/>
        <w:jc w:val="left"/>
        <w:rPr>
          <w:sz w:val="24"/>
        </w:rPr>
      </w:pPr>
      <w:r>
        <w:rPr>
          <w:sz w:val="24"/>
        </w:rPr>
        <w:t>This </w:t>
      </w:r>
      <w:r>
        <w:rPr>
          <w:i/>
          <w:color w:val="231F20"/>
          <w:sz w:val="24"/>
        </w:rPr>
        <w:t>Report</w:t>
      </w:r>
      <w:r>
        <w:rPr>
          <w:color w:val="231F20"/>
          <w:sz w:val="24"/>
        </w:rPr>
        <w:t>, which the MPC approved on 5 February, contains the Committee’s assessment of developments in inflation in the economy since November, and prospects </w:t>
      </w:r>
      <w:hyperlink w:history="true" w:anchor="_bookmark31">
        <w:r>
          <w:rPr>
            <w:color w:val="231F20"/>
            <w:sz w:val="24"/>
          </w:rPr>
          <w:t>for the medium term. Charts 6.1</w:t>
        </w:r>
      </w:hyperlink>
      <w:r>
        <w:rPr>
          <w:color w:val="231F20"/>
          <w:sz w:val="24"/>
        </w:rPr>
        <w:t> and </w:t>
      </w:r>
      <w:hyperlink w:history="true" w:anchor="_bookmark32">
        <w:r>
          <w:rPr>
            <w:color w:val="231F20"/>
            <w:sz w:val="24"/>
          </w:rPr>
          <w:t>6.2</w:t>
        </w:r>
      </w:hyperlink>
      <w:r>
        <w:rPr>
          <w:color w:val="231F20"/>
          <w:sz w:val="24"/>
        </w:rPr>
        <w:t> show projections for GDP growth and RPIX inflation up to two years ahead, and the uncertainties surrounding them. The projections assume that the Bank’s repo interest rate will remain unchanged at 5.5% during the next two years, and are conditioned on the assumptions described below.</w:t>
      </w:r>
    </w:p>
    <w:p>
      <w:pPr>
        <w:pStyle w:val="BodyText"/>
        <w:rPr>
          <w:sz w:val="22"/>
        </w:rPr>
      </w:pPr>
    </w:p>
    <w:p>
      <w:pPr>
        <w:spacing w:line="242" w:lineRule="auto" w:before="0"/>
        <w:ind w:left="4948" w:right="297" w:firstLine="0"/>
        <w:jc w:val="left"/>
        <w:rPr>
          <w:sz w:val="24"/>
        </w:rPr>
      </w:pPr>
      <w:r>
        <w:rPr>
          <w:color w:val="231F20"/>
          <w:sz w:val="24"/>
        </w:rPr>
        <w:t>There has been a further downturn in the prospects for world demand and inflation since the November </w:t>
      </w:r>
      <w:r>
        <w:rPr>
          <w:i/>
          <w:color w:val="231F20"/>
          <w:spacing w:val="-3"/>
          <w:sz w:val="24"/>
        </w:rPr>
        <w:t>Report</w:t>
      </w:r>
      <w:r>
        <w:rPr>
          <w:color w:val="231F20"/>
          <w:spacing w:val="-3"/>
          <w:sz w:val="24"/>
        </w:rPr>
        <w:t>. </w:t>
      </w:r>
      <w:r>
        <w:rPr>
          <w:color w:val="231F20"/>
          <w:sz w:val="24"/>
        </w:rPr>
        <w:t>The outlook for Japan appears even weaker than three months ago, and prospects for growth in the euro area have deteriorated. This has to some extent been offset by stronger demand in the United States. Outside the major industrial economies, prospects for some emerging market economies look weaker, particularly following the floating of the Brazilian real. The Committee now assumes that UK-weighted export markets will grow by 4%–5% in both 1999 and 2000, well below the average over the 1990s. As in recent projections, the slowdown in the growth rate of</w:t>
      </w:r>
    </w:p>
    <w:p>
      <w:pPr>
        <w:spacing w:line="242" w:lineRule="auto" w:before="17"/>
        <w:ind w:left="4949" w:right="312" w:firstLine="0"/>
        <w:jc w:val="left"/>
        <w:rPr>
          <w:sz w:val="24"/>
        </w:rPr>
      </w:pPr>
      <w:r>
        <w:rPr>
          <w:color w:val="231F20"/>
          <w:sz w:val="24"/>
        </w:rPr>
        <w:t>UK-weighted export markets is likely to be less severe than the slowdown in total world trade, because of the compression of intra-Asian trade. But the UK share of its export markets is likely to continue to fall during the next two years, because of the lagged effects of the past appreciation of sterling.</w:t>
      </w:r>
    </w:p>
    <w:p>
      <w:pPr>
        <w:pStyle w:val="BodyText"/>
        <w:spacing w:before="6"/>
        <w:rPr>
          <w:sz w:val="21"/>
        </w:rPr>
      </w:pPr>
    </w:p>
    <w:p>
      <w:pPr>
        <w:spacing w:line="242" w:lineRule="auto" w:before="0"/>
        <w:ind w:left="4949" w:right="279" w:firstLine="0"/>
        <w:jc w:val="left"/>
        <w:rPr>
          <w:sz w:val="24"/>
        </w:rPr>
      </w:pPr>
      <w:r>
        <w:rPr>
          <w:color w:val="231F20"/>
          <w:sz w:val="24"/>
        </w:rPr>
        <w:t>Moreover, although the MPC considers the risks to output to be broadly balanced in the first year of the projection, there is a downside risk to UK demand from lower world growth in the second year of the projection. In particular, the slowdown in activity in industrial countries could prove protracted and hence lead to weaker UK net trade. One particular risk is that US domestic demand growth, having been very strong, will slow more sharply than assumed in the central case, perhaps following a fall in stock-market values.</w:t>
      </w:r>
    </w:p>
    <w:p>
      <w:pPr>
        <w:pStyle w:val="BodyText"/>
        <w:spacing w:before="11"/>
        <w:rPr>
          <w:sz w:val="21"/>
        </w:rPr>
      </w:pPr>
    </w:p>
    <w:p>
      <w:pPr>
        <w:spacing w:line="242" w:lineRule="auto" w:before="0"/>
        <w:ind w:left="4949" w:right="252" w:firstLine="0"/>
        <w:jc w:val="left"/>
        <w:rPr>
          <w:sz w:val="24"/>
        </w:rPr>
      </w:pPr>
      <w:r>
        <w:rPr>
          <w:color w:val="231F20"/>
          <w:sz w:val="24"/>
        </w:rPr>
        <w:t>The weaker outlook for world activity has also led to the prospect of a softer profile for world inflation in the</w:t>
      </w:r>
    </w:p>
    <w:p>
      <w:pPr>
        <w:spacing w:after="0" w:line="242" w:lineRule="auto"/>
        <w:jc w:val="left"/>
        <w:rPr>
          <w:sz w:val="24"/>
        </w:rPr>
        <w:sectPr>
          <w:headerReference w:type="default" r:id="rId106"/>
          <w:pgSz w:w="11900" w:h="16840"/>
          <w:pgMar w:header="0" w:footer="617" w:top="780" w:bottom="800" w:left="640" w:right="600"/>
        </w:sectPr>
      </w:pPr>
    </w:p>
    <w:p>
      <w:pPr>
        <w:pStyle w:val="BodyText"/>
        <w:rPr>
          <w:sz w:val="20"/>
        </w:rPr>
      </w:pPr>
    </w:p>
    <w:p>
      <w:pPr>
        <w:spacing w:line="242" w:lineRule="auto" w:before="206"/>
        <w:ind w:left="4948" w:right="240" w:firstLine="0"/>
        <w:jc w:val="left"/>
        <w:rPr>
          <w:sz w:val="24"/>
        </w:rPr>
      </w:pPr>
      <w:r>
        <w:rPr>
          <w:sz w:val="24"/>
        </w:rPr>
        <w:t>short run, and hence for lower imported inflation, than expected at the time of the November </w:t>
      </w:r>
      <w:r>
        <w:rPr>
          <w:i/>
          <w:sz w:val="24"/>
        </w:rPr>
        <w:t>Inflation Report</w:t>
      </w:r>
      <w:r>
        <w:rPr>
          <w:sz w:val="24"/>
        </w:rPr>
        <w:t>. In particular, commodity prices remain low. Given the exchange rate assumptions outlined below, the central projection is for the fall in import prices in sterling terms to end. There is a risk that world export prices could be weaker than in the central projection, which would lead to lower UK inflation.</w:t>
      </w:r>
    </w:p>
    <w:p>
      <w:pPr>
        <w:pStyle w:val="BodyText"/>
        <w:spacing w:before="8"/>
        <w:rPr>
          <w:sz w:val="21"/>
        </w:rPr>
      </w:pPr>
    </w:p>
    <w:p>
      <w:pPr>
        <w:spacing w:line="242" w:lineRule="auto" w:before="1"/>
        <w:ind w:left="4948" w:right="281" w:firstLine="0"/>
        <w:jc w:val="left"/>
        <w:rPr>
          <w:sz w:val="24"/>
        </w:rPr>
      </w:pPr>
      <w:r>
        <w:rPr>
          <w:sz w:val="24"/>
        </w:rPr>
        <w:t>The sterling exchange rate, as measured by the effective exchange rate index, averaged 100.1 in the 15 working days up to and including 3 February. This is the starting-point for the exchange rate profile assumed in the projection. It compares with an average of 100.0 at</w:t>
      </w:r>
    </w:p>
    <w:p>
      <w:pPr>
        <w:spacing w:before="6"/>
        <w:ind w:left="4948" w:right="0" w:firstLine="0"/>
        <w:jc w:val="left"/>
        <w:rPr>
          <w:sz w:val="24"/>
        </w:rPr>
      </w:pPr>
      <w:r>
        <w:rPr>
          <w:sz w:val="24"/>
        </w:rPr>
        <w:t>the time of the November </w:t>
      </w:r>
      <w:r>
        <w:rPr>
          <w:i/>
          <w:sz w:val="24"/>
        </w:rPr>
        <w:t>Report </w:t>
      </w:r>
      <w:r>
        <w:rPr>
          <w:sz w:val="24"/>
        </w:rPr>
        <w:t>and an implied level of</w:t>
      </w:r>
    </w:p>
    <w:p>
      <w:pPr>
        <w:spacing w:line="242" w:lineRule="auto" w:before="4"/>
        <w:ind w:left="4948" w:right="187" w:firstLine="0"/>
        <w:jc w:val="left"/>
        <w:rPr>
          <w:sz w:val="24"/>
        </w:rPr>
      </w:pPr>
      <w:r>
        <w:rPr>
          <w:sz w:val="24"/>
        </w:rPr>
        <w:t>99.7 for February then. So the starting-point for the exchange rate now is a little higher than in the November projection.</w:t>
      </w:r>
    </w:p>
    <w:p>
      <w:pPr>
        <w:pStyle w:val="BodyText"/>
        <w:spacing w:before="2"/>
        <w:rPr>
          <w:sz w:val="21"/>
        </w:rPr>
      </w:pPr>
    </w:p>
    <w:p>
      <w:pPr>
        <w:tabs>
          <w:tab w:pos="7058" w:val="left" w:leader="none"/>
        </w:tabs>
        <w:spacing w:line="242" w:lineRule="auto" w:before="0"/>
        <w:ind w:left="4948" w:right="170" w:firstLine="0"/>
        <w:jc w:val="left"/>
        <w:rPr>
          <w:sz w:val="24"/>
        </w:rPr>
      </w:pPr>
      <w:r>
        <w:rPr/>
        <w:drawing>
          <wp:anchor distT="0" distB="0" distL="0" distR="0" allowOverlap="1" layoutInCell="1" locked="0" behindDoc="1" simplePos="0" relativeHeight="482356224">
            <wp:simplePos x="0" y="0"/>
            <wp:positionH relativeFrom="page">
              <wp:posOffset>4771008</wp:posOffset>
            </wp:positionH>
            <wp:positionV relativeFrom="paragraph">
              <wp:posOffset>1112985</wp:posOffset>
            </wp:positionV>
            <wp:extent cx="82292" cy="85340"/>
            <wp:effectExtent l="0" t="0" r="0" b="0"/>
            <wp:wrapNone/>
            <wp:docPr id="29" name="image35.png"/>
            <wp:cNvGraphicFramePr>
              <a:graphicFrameLocks noChangeAspect="1"/>
            </wp:cNvGraphicFramePr>
            <a:graphic>
              <a:graphicData uri="http://schemas.openxmlformats.org/drawingml/2006/picture">
                <pic:pic>
                  <pic:nvPicPr>
                    <pic:cNvPr id="30" name="image35.png"/>
                    <pic:cNvPicPr/>
                  </pic:nvPicPr>
                  <pic:blipFill>
                    <a:blip r:embed="rId111" cstate="print"/>
                    <a:stretch>
                      <a:fillRect/>
                    </a:stretch>
                  </pic:blipFill>
                  <pic:spPr>
                    <a:xfrm>
                      <a:off x="0" y="0"/>
                      <a:ext cx="82292" cy="85340"/>
                    </a:xfrm>
                    <a:prstGeom prst="rect">
                      <a:avLst/>
                    </a:prstGeom>
                  </pic:spPr>
                </pic:pic>
              </a:graphicData>
            </a:graphic>
          </wp:anchor>
        </w:drawing>
      </w:r>
      <w:r>
        <w:rPr>
          <w:sz w:val="24"/>
        </w:rPr>
        <w:t>In judging the path for sterling, conditional on unchanged UK nominal interest rates, the MPC has taken into account both interest rate differentials and risk considerations. In the central projection, the sterling ERI declines to 97.6 by the end of the two-year forecast period, and this implies bilateral sterling exchange rates of about $1.67 and</w:t>
        <w:tab/>
        <w:t>0.72 (equivalent to DM 2.71). By itself, the introduction of the euro has no direct implications for UK monetary </w:t>
      </w:r>
      <w:r>
        <w:rPr>
          <w:spacing w:val="-3"/>
          <w:sz w:val="24"/>
        </w:rPr>
        <w:t>policy, </w:t>
      </w:r>
      <w:r>
        <w:rPr>
          <w:sz w:val="24"/>
        </w:rPr>
        <w:t>at least in the near term.  In the </w:t>
      </w:r>
      <w:r>
        <w:rPr>
          <w:spacing w:val="-3"/>
          <w:sz w:val="24"/>
        </w:rPr>
        <w:t>MPC’s </w:t>
      </w:r>
      <w:r>
        <w:rPr>
          <w:spacing w:val="-4"/>
          <w:sz w:val="24"/>
        </w:rPr>
        <w:t>view, </w:t>
      </w:r>
      <w:r>
        <w:rPr>
          <w:sz w:val="24"/>
        </w:rPr>
        <w:t>there is still a somewhat greater risk of a fall in the sterling ERI than a rise, relative to the central projection. On average, the sterling ERI is expected to decline more steeply than in the central projection, reaching a level just above 96 in two years’ time.</w:t>
      </w:r>
    </w:p>
    <w:p>
      <w:pPr>
        <w:pStyle w:val="BodyText"/>
        <w:spacing w:before="6"/>
        <w:rPr>
          <w:sz w:val="22"/>
        </w:rPr>
      </w:pPr>
    </w:p>
    <w:p>
      <w:pPr>
        <w:spacing w:line="242" w:lineRule="auto" w:before="0"/>
        <w:ind w:left="4948" w:right="377" w:firstLine="0"/>
        <w:jc w:val="left"/>
        <w:rPr>
          <w:sz w:val="24"/>
        </w:rPr>
      </w:pPr>
      <w:r>
        <w:rPr>
          <w:sz w:val="24"/>
        </w:rPr>
        <w:t>The November </w:t>
      </w:r>
      <w:r>
        <w:rPr>
          <w:i/>
          <w:sz w:val="24"/>
        </w:rPr>
        <w:t>Inflation Report </w:t>
      </w:r>
      <w:r>
        <w:rPr>
          <w:sz w:val="24"/>
        </w:rPr>
        <w:t>projections allowed </w:t>
      </w:r>
      <w:r>
        <w:rPr>
          <w:spacing w:val="-5"/>
          <w:sz w:val="24"/>
        </w:rPr>
        <w:t>for </w:t>
      </w:r>
      <w:r>
        <w:rPr>
          <w:sz w:val="24"/>
        </w:rPr>
        <w:t>a small risk of a marked reduction in the supply of credit to UK companies and households, following the global financial turbulence earlier in the </w:t>
      </w:r>
      <w:r>
        <w:rPr>
          <w:spacing w:val="-3"/>
          <w:sz w:val="24"/>
        </w:rPr>
        <w:t>year. </w:t>
      </w:r>
      <w:r>
        <w:rPr>
          <w:sz w:val="24"/>
        </w:rPr>
        <w:t>That  risk did not materialise, and the MPC has decided to remove this small downside risk to demand and inflation.</w:t>
      </w:r>
    </w:p>
    <w:p>
      <w:pPr>
        <w:pStyle w:val="BodyText"/>
        <w:spacing w:before="5"/>
        <w:rPr>
          <w:sz w:val="23"/>
        </w:rPr>
      </w:pPr>
    </w:p>
    <w:p>
      <w:pPr>
        <w:spacing w:line="242" w:lineRule="auto" w:before="0"/>
        <w:ind w:left="4948" w:right="153" w:firstLine="0"/>
        <w:jc w:val="left"/>
        <w:rPr>
          <w:sz w:val="24"/>
        </w:rPr>
      </w:pPr>
      <w:r>
        <w:rPr>
          <w:sz w:val="24"/>
        </w:rPr>
        <w:t>The plans announced in the autumn pre-Budget statement made by the Chancellor on 3 November were incorporated into the November projections, and these figures remain the basis for the February projections.</w:t>
      </w:r>
    </w:p>
    <w:p>
      <w:pPr>
        <w:spacing w:line="242" w:lineRule="auto" w:before="5"/>
        <w:ind w:left="4948" w:right="261" w:firstLine="0"/>
        <w:jc w:val="left"/>
        <w:rPr>
          <w:sz w:val="24"/>
        </w:rPr>
      </w:pPr>
      <w:r>
        <w:rPr>
          <w:sz w:val="24"/>
        </w:rPr>
        <w:t>Given the Government’s announced plans and the Committee’s latest central projection for inflation, the likely profiles for real government consumption and investment are similar to those assumed by the Committee in November.</w:t>
      </w:r>
    </w:p>
    <w:p>
      <w:pPr>
        <w:spacing w:after="0" w:line="242" w:lineRule="auto"/>
        <w:jc w:val="left"/>
        <w:rPr>
          <w:sz w:val="24"/>
        </w:rPr>
        <w:sectPr>
          <w:headerReference w:type="even" r:id="rId107"/>
          <w:headerReference w:type="default" r:id="rId108"/>
          <w:footerReference w:type="even" r:id="rId109"/>
          <w:footerReference w:type="default" r:id="rId110"/>
          <w:pgSz w:w="11900" w:h="16840"/>
          <w:pgMar w:header="584" w:footer="597" w:top="780" w:bottom="780" w:left="640" w:right="600"/>
          <w:pgNumType w:start="44"/>
        </w:sectPr>
      </w:pPr>
    </w:p>
    <w:p>
      <w:pPr>
        <w:pStyle w:val="BodyText"/>
        <w:rPr>
          <w:sz w:val="20"/>
        </w:rPr>
      </w:pPr>
    </w:p>
    <w:p>
      <w:pPr>
        <w:spacing w:line="242" w:lineRule="auto" w:before="206"/>
        <w:ind w:left="4948" w:right="223" w:firstLine="0"/>
        <w:jc w:val="left"/>
        <w:rPr>
          <w:sz w:val="24"/>
        </w:rPr>
      </w:pPr>
      <w:bookmarkStart w:name="The medium-term inflation projection" w:id="77"/>
      <w:bookmarkEnd w:id="77"/>
      <w:r>
        <w:rPr/>
      </w:r>
      <w:bookmarkStart w:name="_bookmark30" w:id="78"/>
      <w:bookmarkEnd w:id="78"/>
      <w:r>
        <w:rPr/>
      </w:r>
      <w:r>
        <w:rPr>
          <w:sz w:val="24"/>
        </w:rPr>
        <w:t>Previous projections have already incorporated assumptions about the effects of the National Minimum </w:t>
      </w:r>
      <w:r>
        <w:rPr>
          <w:spacing w:val="-4"/>
          <w:sz w:val="24"/>
        </w:rPr>
        <w:t>Wage, </w:t>
      </w:r>
      <w:r>
        <w:rPr>
          <w:sz w:val="24"/>
        </w:rPr>
        <w:t>the New Deal and the </w:t>
      </w:r>
      <w:r>
        <w:rPr>
          <w:spacing w:val="-3"/>
          <w:sz w:val="24"/>
        </w:rPr>
        <w:t>Working Time </w:t>
      </w:r>
      <w:r>
        <w:rPr>
          <w:sz w:val="24"/>
        </w:rPr>
        <w:t>Directive (WTD). There was a small upside risk to inflation from the introduction of the WTD in the November projection. Further analysis has not altered the </w:t>
      </w:r>
      <w:r>
        <w:rPr>
          <w:spacing w:val="-3"/>
          <w:sz w:val="24"/>
        </w:rPr>
        <w:t>MPC’s </w:t>
      </w:r>
      <w:r>
        <w:rPr>
          <w:sz w:val="24"/>
        </w:rPr>
        <w:t>view that the effects of the WTD on inflation and output are likely to be relatively small, but the Committee decided to allow for an effect in the central projection. Preliminary results of independent research by the Institute for Fiscal Studies on the impact of the </w:t>
      </w:r>
      <w:r>
        <w:rPr>
          <w:spacing w:val="-3"/>
          <w:sz w:val="24"/>
        </w:rPr>
        <w:t>Working </w:t>
      </w:r>
      <w:r>
        <w:rPr>
          <w:sz w:val="24"/>
        </w:rPr>
        <w:t>Families </w:t>
      </w:r>
      <w:r>
        <w:rPr>
          <w:spacing w:val="-6"/>
          <w:sz w:val="24"/>
        </w:rPr>
        <w:t>Tax </w:t>
      </w:r>
      <w:r>
        <w:rPr>
          <w:sz w:val="24"/>
        </w:rPr>
        <w:t>Credit (W</w:t>
      </w:r>
      <w:r>
        <w:rPr>
          <w:sz w:val="20"/>
        </w:rPr>
        <w:t>FTC</w:t>
      </w:r>
      <w:r>
        <w:rPr>
          <w:sz w:val="24"/>
        </w:rPr>
        <w:t>) have also been made </w:t>
      </w:r>
      <w:hyperlink w:history="true" w:anchor="_bookmark20">
        <w:r>
          <w:rPr>
            <w:sz w:val="24"/>
          </w:rPr>
          <w:t>available to the Committee (see page 31).</w:t>
        </w:r>
      </w:hyperlink>
      <w:r>
        <w:rPr>
          <w:sz w:val="24"/>
        </w:rPr>
        <w:t> The Committee judges that the reduction in inflation up to the forecast horizon following the introduction of the W</w:t>
      </w:r>
      <w:r>
        <w:rPr>
          <w:sz w:val="20"/>
        </w:rPr>
        <w:t>FTC </w:t>
      </w:r>
      <w:r>
        <w:rPr>
          <w:sz w:val="24"/>
        </w:rPr>
        <w:t>is likely to be very small, and decided not to </w:t>
      </w:r>
      <w:r>
        <w:rPr>
          <w:spacing w:val="-4"/>
          <w:sz w:val="24"/>
        </w:rPr>
        <w:t>make </w:t>
      </w:r>
      <w:r>
        <w:rPr>
          <w:sz w:val="24"/>
        </w:rPr>
        <w:t>any allowance in its projections. There is no change to the assumptions made in recent </w:t>
      </w:r>
      <w:r>
        <w:rPr>
          <w:i/>
          <w:sz w:val="24"/>
        </w:rPr>
        <w:t>Reports </w:t>
      </w:r>
      <w:r>
        <w:rPr>
          <w:sz w:val="24"/>
        </w:rPr>
        <w:t>on the effects of other labour market reform measures.</w:t>
      </w:r>
    </w:p>
    <w:p>
      <w:pPr>
        <w:pStyle w:val="BodyText"/>
        <w:spacing w:before="11"/>
        <w:rPr>
          <w:sz w:val="25"/>
        </w:rPr>
      </w:pPr>
    </w:p>
    <w:p>
      <w:pPr>
        <w:pStyle w:val="ListParagraph"/>
        <w:numPr>
          <w:ilvl w:val="1"/>
          <w:numId w:val="30"/>
        </w:numPr>
        <w:tabs>
          <w:tab w:pos="5670" w:val="left" w:leader="none"/>
          <w:tab w:pos="5671" w:val="left" w:leader="none"/>
          <w:tab w:pos="10449" w:val="left" w:leader="none"/>
        </w:tabs>
        <w:spacing w:line="240" w:lineRule="auto" w:before="88" w:after="0"/>
        <w:ind w:left="5670" w:right="0" w:hanging="722"/>
        <w:jc w:val="left"/>
        <w:rPr>
          <w:b/>
          <w:sz w:val="28"/>
        </w:rPr>
      </w:pPr>
      <w:r>
        <w:rPr>
          <w:b/>
          <w:color w:val="009483"/>
          <w:sz w:val="28"/>
          <w:u w:val="thick" w:color="0093C1"/>
        </w:rPr>
        <w:t>The medium-term inflation</w:t>
      </w:r>
      <w:r>
        <w:rPr>
          <w:b/>
          <w:color w:val="009483"/>
          <w:spacing w:val="-6"/>
          <w:sz w:val="28"/>
          <w:u w:val="thick" w:color="0093C1"/>
        </w:rPr>
        <w:t> </w:t>
      </w:r>
      <w:r>
        <w:rPr>
          <w:b/>
          <w:color w:val="009483"/>
          <w:sz w:val="28"/>
          <w:u w:val="thick" w:color="0093C1"/>
        </w:rPr>
        <w:t>projection</w:t>
        <w:tab/>
      </w:r>
    </w:p>
    <w:p>
      <w:pPr>
        <w:spacing w:line="242" w:lineRule="auto" w:before="260"/>
        <w:ind w:left="4949" w:right="246" w:firstLine="0"/>
        <w:jc w:val="left"/>
        <w:rPr>
          <w:sz w:val="24"/>
        </w:rPr>
      </w:pPr>
      <w:r>
        <w:rPr>
          <w:sz w:val="24"/>
        </w:rPr>
        <w:t>The preliminary estimate of output growth in the fourth quarter of 1998 released in January was close to the central projection made in the November </w:t>
      </w:r>
      <w:r>
        <w:rPr>
          <w:i/>
          <w:sz w:val="24"/>
        </w:rPr>
        <w:t>Report</w:t>
      </w:r>
      <w:r>
        <w:rPr>
          <w:sz w:val="24"/>
        </w:rPr>
        <w:t>, and hence by itself contained little news. However, the previous month’s National Accounts release of data for Q3 had contained some revisions to the level of output, and to the composition of demand growth in recent quarters. The level of output was around 0.2% lower than previously thought, but this revision was not large enough to warrant a significant change of view on the extent of inflationary pressures in the economy. Final domestic demand growth (ie excluding inventory accumulation) was a little lower than expected at the time of the November </w:t>
      </w:r>
      <w:r>
        <w:rPr>
          <w:i/>
          <w:sz w:val="24"/>
        </w:rPr>
        <w:t>Report</w:t>
      </w:r>
      <w:r>
        <w:rPr>
          <w:sz w:val="24"/>
        </w:rPr>
        <w:t>, largely because of weaker consumption growth.</w:t>
      </w:r>
    </w:p>
    <w:p>
      <w:pPr>
        <w:pStyle w:val="BodyText"/>
        <w:rPr>
          <w:sz w:val="26"/>
        </w:rPr>
      </w:pPr>
    </w:p>
    <w:p>
      <w:pPr>
        <w:spacing w:line="242" w:lineRule="auto" w:before="0"/>
        <w:ind w:left="4949" w:right="325" w:firstLine="0"/>
        <w:jc w:val="left"/>
        <w:rPr>
          <w:sz w:val="24"/>
        </w:rPr>
      </w:pPr>
      <w:r>
        <w:rPr>
          <w:sz w:val="24"/>
        </w:rPr>
        <w:t>The Committee discussed various possible explanations for lower-than-expected consumption growth in Q3 and in preceding quarters that had been revised, and concluded that none was compelling on its own. One possibility was that consumption had recently been erratically low, and would at some stage recover to its equilibrium level in relation to labour income, wealth and interest rates. There was also a chance that the data would be revised. Other possibilities were that the windfall effect from demutualisations or the wealth effect from rising equity prices had been smaller than assumed in previous projections. The Committee decided not to treat all of the weaker outturn for</w:t>
      </w:r>
    </w:p>
    <w:p>
      <w:pPr>
        <w:spacing w:after="0" w:line="242" w:lineRule="auto"/>
        <w:jc w:val="left"/>
        <w:rPr>
          <w:sz w:val="24"/>
        </w:rPr>
        <w:sectPr>
          <w:pgSz w:w="11900" w:h="16840"/>
          <w:pgMar w:header="584" w:footer="617" w:top="780" w:bottom="800" w:left="640" w:right="600"/>
        </w:sectPr>
      </w:pPr>
    </w:p>
    <w:p>
      <w:pPr>
        <w:pStyle w:val="BodyText"/>
        <w:rPr>
          <w:sz w:val="20"/>
        </w:rPr>
      </w:pPr>
    </w:p>
    <w:p>
      <w:pPr>
        <w:spacing w:line="242" w:lineRule="auto" w:before="206"/>
        <w:ind w:left="4949" w:right="450" w:firstLine="0"/>
        <w:jc w:val="both"/>
        <w:rPr>
          <w:sz w:val="24"/>
        </w:rPr>
      </w:pPr>
      <w:bookmarkStart w:name="_bookmark31" w:id="79"/>
      <w:bookmarkEnd w:id="79"/>
      <w:r>
        <w:rPr/>
      </w:r>
      <w:r>
        <w:rPr>
          <w:sz w:val="24"/>
        </w:rPr>
        <w:t>consumption as erratic, and so the central projection is for a slightly lower level of consumption in relation to income through the forecast period than assumed three months ago.</w:t>
      </w:r>
    </w:p>
    <w:p>
      <w:pPr>
        <w:pStyle w:val="BodyText"/>
        <w:spacing w:before="9"/>
        <w:rPr>
          <w:sz w:val="24"/>
        </w:rPr>
      </w:pPr>
    </w:p>
    <w:p>
      <w:pPr>
        <w:spacing w:line="242" w:lineRule="auto" w:before="0"/>
        <w:ind w:left="4949" w:right="232" w:firstLine="0"/>
        <w:jc w:val="left"/>
        <w:rPr>
          <w:sz w:val="24"/>
        </w:rPr>
      </w:pPr>
      <w:r>
        <w:rPr>
          <w:sz w:val="24"/>
        </w:rPr>
        <w:t>Investment in Q3 was a little stronger than expected at the time of the November </w:t>
      </w:r>
      <w:r>
        <w:rPr>
          <w:i/>
          <w:sz w:val="24"/>
        </w:rPr>
        <w:t>Report</w:t>
      </w:r>
      <w:r>
        <w:rPr>
          <w:sz w:val="24"/>
        </w:rPr>
        <w:t>, and was also revised upwards in earlier quarters. But investment intentions in manufacturing remain very subdued, and have also weakened in the service sector. The Committee reduced its central projections for investment growth markedly at the time of the August 1998 </w:t>
      </w:r>
      <w:r>
        <w:rPr>
          <w:i/>
          <w:sz w:val="24"/>
        </w:rPr>
        <w:t>Report</w:t>
      </w:r>
      <w:r>
        <w:rPr>
          <w:sz w:val="24"/>
        </w:rPr>
        <w:t>, partly on account of the survey evidence, and it judges that no further adjustment is warranted. The central projection remains that the growth rate of business investment is likely to slow sharply this year and may well turn negative.</w:t>
      </w:r>
    </w:p>
    <w:p>
      <w:pPr>
        <w:pStyle w:val="BodyText"/>
        <w:spacing w:before="6"/>
        <w:rPr>
          <w:sz w:val="25"/>
        </w:rPr>
      </w:pPr>
    </w:p>
    <w:p>
      <w:pPr>
        <w:spacing w:line="242" w:lineRule="auto" w:before="0"/>
        <w:ind w:left="4949" w:right="178" w:firstLine="0"/>
        <w:jc w:val="left"/>
        <w:rPr>
          <w:sz w:val="24"/>
        </w:rPr>
      </w:pPr>
      <w:r>
        <w:rPr>
          <w:sz w:val="24"/>
        </w:rPr>
        <w:t>The contribution to GDP growth in the third quarter from the change in inventories was stronger than expected at the time of the previous </w:t>
      </w:r>
      <w:r>
        <w:rPr>
          <w:i/>
          <w:sz w:val="24"/>
        </w:rPr>
        <w:t>Report</w:t>
      </w:r>
      <w:r>
        <w:rPr>
          <w:sz w:val="24"/>
        </w:rPr>
        <w:t>, but revisions to earlier quarters lowered the measured stock-output ratio. It remains likely that a reduction in inventories will significantly detract from GDP growth in the period ahead.</w:t>
      </w:r>
    </w:p>
    <w:p>
      <w:pPr>
        <w:pStyle w:val="BodyText"/>
        <w:spacing w:before="4"/>
        <w:rPr>
          <w:sz w:val="17"/>
        </w:rPr>
      </w:pPr>
    </w:p>
    <w:p>
      <w:pPr>
        <w:spacing w:after="0"/>
        <w:rPr>
          <w:sz w:val="17"/>
        </w:rPr>
        <w:sectPr>
          <w:pgSz w:w="11900" w:h="16840"/>
          <w:pgMar w:header="584" w:footer="597" w:top="780" w:bottom="780" w:left="640" w:right="600"/>
        </w:sectPr>
      </w:pPr>
    </w:p>
    <w:p>
      <w:pPr>
        <w:pStyle w:val="BodyText"/>
        <w:rPr>
          <w:sz w:val="22"/>
        </w:rPr>
      </w:pPr>
    </w:p>
    <w:p>
      <w:pPr>
        <w:pStyle w:val="BodyText"/>
        <w:spacing w:before="7"/>
        <w:rPr>
          <w:sz w:val="23"/>
        </w:rPr>
      </w:pPr>
    </w:p>
    <w:p>
      <w:pPr>
        <w:pStyle w:val="Heading7"/>
        <w:spacing w:before="0"/>
        <w:ind w:left="159"/>
      </w:pPr>
      <w:r>
        <w:rPr>
          <w:color w:val="0093C1"/>
        </w:rPr>
        <w:t>Chart 6.1</w:t>
      </w:r>
    </w:p>
    <w:p>
      <w:pPr>
        <w:spacing w:line="249" w:lineRule="auto" w:before="10"/>
        <w:ind w:left="159" w:right="20" w:firstLine="0"/>
        <w:jc w:val="left"/>
        <w:rPr>
          <w:b/>
          <w:sz w:val="20"/>
        </w:rPr>
      </w:pPr>
      <w:r>
        <w:rPr>
          <w:b/>
          <w:color w:val="0093C1"/>
          <w:sz w:val="20"/>
        </w:rPr>
        <w:t>Current GDP projection based on constant nominal interest rates at 5.5%</w:t>
      </w:r>
    </w:p>
    <w:p>
      <w:pPr>
        <w:spacing w:line="94" w:lineRule="exact" w:before="163"/>
        <w:ind w:left="1192" w:right="0" w:firstLine="0"/>
        <w:jc w:val="left"/>
        <w:rPr>
          <w:sz w:val="12"/>
        </w:rPr>
      </w:pPr>
      <w:r>
        <w:rPr>
          <w:color w:val="231F20"/>
          <w:sz w:val="12"/>
        </w:rPr>
        <w:t>Percentage increase in output on a year earlier</w:t>
      </w:r>
    </w:p>
    <w:p>
      <w:pPr>
        <w:pStyle w:val="Heading4"/>
        <w:spacing w:line="242" w:lineRule="auto" w:before="90"/>
        <w:ind w:left="158" w:right="266"/>
      </w:pPr>
      <w:r>
        <w:rPr/>
        <w:br w:type="column"/>
      </w:r>
      <w:r>
        <w:rPr/>
        <w:t>The central projection is that net exports are likely to depress GDP growth in both 1999 and 2000. However, the weaker outlook for world demand and UK exports is largely offset by weaker UK domestic demand and imports, so the deterioration in net trade is little changed</w:t>
      </w:r>
    </w:p>
    <w:p>
      <w:pPr>
        <w:spacing w:after="0" w:line="242" w:lineRule="auto"/>
        <w:sectPr>
          <w:type w:val="continuous"/>
          <w:pgSz w:w="11900" w:h="16840"/>
          <w:pgMar w:top="1220" w:bottom="280" w:left="640" w:right="600"/>
          <w:cols w:num="2" w:equalWidth="0">
            <w:col w:w="3872" w:space="918"/>
            <w:col w:w="5870"/>
          </w:cols>
        </w:sectPr>
      </w:pPr>
    </w:p>
    <w:p>
      <w:pPr>
        <w:tabs>
          <w:tab w:pos="4948" w:val="left" w:leader="none"/>
        </w:tabs>
        <w:spacing w:line="266" w:lineRule="exact" w:before="0"/>
        <w:ind w:left="3458" w:right="0" w:firstLine="0"/>
        <w:jc w:val="left"/>
        <w:rPr>
          <w:sz w:val="24"/>
        </w:rPr>
      </w:pPr>
      <w:r>
        <w:rPr/>
        <w:pict>
          <v:line style="position:absolute;mso-position-horizontal-relative:page;mso-position-vertical-relative:paragraph;z-index:16060416" from="47.507999pt,5.74238pt" to="43.806999pt,5.74238pt" stroked="true" strokeweight=".5pt" strokecolor="#000000">
            <v:stroke dashstyle="solid"/>
            <w10:wrap type="none"/>
          </v:line>
        </w:pict>
      </w:r>
      <w:r>
        <w:rPr/>
        <w:pict>
          <v:line style="position:absolute;mso-position-horizontal-relative:page;mso-position-vertical-relative:paragraph;z-index:16065024" from="202.619998pt,5.74238pt" to="198.919998pt,5.74238pt" stroked="true" strokeweight=".5pt" strokecolor="#231f20">
            <v:stroke dashstyle="solid"/>
            <w10:wrap type="none"/>
          </v:line>
        </w:pict>
      </w:r>
      <w:r>
        <w:rPr>
          <w:color w:val="231F20"/>
          <w:position w:val="5"/>
          <w:sz w:val="12"/>
        </w:rPr>
        <w:t>6</w:t>
        <w:tab/>
      </w:r>
      <w:r>
        <w:rPr>
          <w:sz w:val="24"/>
        </w:rPr>
        <w:t>relative to the November </w:t>
      </w:r>
      <w:r>
        <w:rPr>
          <w:i/>
          <w:sz w:val="24"/>
        </w:rPr>
        <w:t>Report</w:t>
      </w:r>
      <w:r>
        <w:rPr>
          <w:i/>
          <w:spacing w:val="-1"/>
          <w:sz w:val="24"/>
        </w:rPr>
        <w:t> </w:t>
      </w:r>
      <w:r>
        <w:rPr>
          <w:sz w:val="24"/>
        </w:rPr>
        <w:t>projections.</w:t>
      </w:r>
    </w:p>
    <w:p>
      <w:pPr>
        <w:spacing w:after="0" w:line="266" w:lineRule="exact"/>
        <w:jc w:val="left"/>
        <w:rPr>
          <w:sz w:val="24"/>
        </w:rPr>
        <w:sectPr>
          <w:type w:val="continuous"/>
          <w:pgSz w:w="11900" w:h="16840"/>
          <w:pgMar w:top="1220" w:bottom="280" w:left="640" w:right="6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11"/>
        </w:rPr>
      </w:pPr>
    </w:p>
    <w:p>
      <w:pPr>
        <w:pStyle w:val="BodyText"/>
        <w:spacing w:line="20" w:lineRule="exact"/>
        <w:ind w:left="231"/>
        <w:rPr>
          <w:sz w:val="2"/>
        </w:rPr>
      </w:pPr>
      <w:r>
        <w:rPr>
          <w:sz w:val="2"/>
        </w:rPr>
        <w:pict>
          <v:group style="width:3.75pt;height:.5pt;mso-position-horizontal-relative:char;mso-position-vertical-relative:line" coordorigin="0,0" coordsize="75,10">
            <v:line style="position:absolute" from="74,5" to="0,5" stroked="true" strokeweight=".5pt" strokecolor="#000000">
              <v:stroke dashstyle="solid"/>
            </v:line>
          </v:group>
        </w:pict>
      </w:r>
      <w:r>
        <w:rPr>
          <w:sz w:val="2"/>
        </w:rPr>
      </w:r>
    </w:p>
    <w:p>
      <w:pPr>
        <w:pStyle w:val="BodyText"/>
        <w:rPr>
          <w:sz w:val="12"/>
        </w:rPr>
      </w:pPr>
    </w:p>
    <w:p>
      <w:pPr>
        <w:pStyle w:val="BodyText"/>
        <w:rPr>
          <w:sz w:val="12"/>
        </w:rPr>
      </w:pPr>
    </w:p>
    <w:p>
      <w:pPr>
        <w:pStyle w:val="BodyText"/>
        <w:spacing w:before="7"/>
        <w:rPr>
          <w:sz w:val="10"/>
        </w:rPr>
      </w:pPr>
    </w:p>
    <w:p>
      <w:pPr>
        <w:tabs>
          <w:tab w:pos="957" w:val="left" w:leader="none"/>
        </w:tabs>
        <w:spacing w:before="1"/>
        <w:ind w:left="458" w:right="0" w:firstLine="0"/>
        <w:jc w:val="left"/>
        <w:rPr>
          <w:sz w:val="12"/>
        </w:rPr>
      </w:pPr>
      <w:r>
        <w:rPr>
          <w:color w:val="231F20"/>
          <w:sz w:val="12"/>
        </w:rPr>
        <w:t>1994</w:t>
        <w:tab/>
      </w:r>
      <w:r>
        <w:rPr>
          <w:color w:val="231F20"/>
          <w:spacing w:val="-10"/>
          <w:sz w:val="12"/>
        </w:rPr>
        <w:t>95</w:t>
      </w:r>
    </w:p>
    <w:p>
      <w:pPr>
        <w:pStyle w:val="BodyText"/>
        <w:rPr>
          <w:sz w:val="12"/>
        </w:rPr>
      </w:pPr>
      <w:r>
        <w:rPr/>
        <w:br w:type="column"/>
      </w:r>
      <w:r>
        <w:rPr>
          <w:sz w:val="12"/>
        </w:rPr>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tabs>
          <w:tab w:pos="634" w:val="left" w:leader="none"/>
        </w:tabs>
        <w:spacing w:before="92"/>
        <w:ind w:left="239" w:right="0" w:firstLine="0"/>
        <w:jc w:val="left"/>
        <w:rPr>
          <w:sz w:val="12"/>
        </w:rPr>
      </w:pPr>
      <w:r>
        <w:rPr>
          <w:color w:val="231F20"/>
          <w:sz w:val="12"/>
        </w:rPr>
        <w:t>96</w:t>
        <w:tab/>
      </w:r>
      <w:r>
        <w:rPr>
          <w:color w:val="231F20"/>
          <w:spacing w:val="-10"/>
          <w:sz w:val="12"/>
        </w:rPr>
        <w:t>97</w:t>
      </w:r>
    </w:p>
    <w:p>
      <w:pPr>
        <w:pStyle w:val="BodyText"/>
        <w:rPr>
          <w:sz w:val="12"/>
        </w:rPr>
      </w:pPr>
      <w:r>
        <w:rPr/>
        <w:br w:type="column"/>
      </w:r>
      <w:r>
        <w:rPr>
          <w:sz w:val="12"/>
        </w:rPr>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tabs>
          <w:tab w:pos="615" w:val="left" w:leader="none"/>
        </w:tabs>
        <w:spacing w:before="92"/>
        <w:ind w:left="239" w:right="0" w:firstLine="0"/>
        <w:jc w:val="left"/>
        <w:rPr>
          <w:sz w:val="12"/>
        </w:rPr>
      </w:pPr>
      <w:r>
        <w:rPr>
          <w:color w:val="231F20"/>
          <w:sz w:val="12"/>
        </w:rPr>
        <w:t>98</w:t>
        <w:tab/>
      </w:r>
      <w:r>
        <w:rPr>
          <w:color w:val="231F20"/>
          <w:spacing w:val="-10"/>
          <w:sz w:val="12"/>
        </w:rPr>
        <w:t>99</w:t>
      </w:r>
    </w:p>
    <w:p>
      <w:pPr>
        <w:pStyle w:val="BodyText"/>
        <w:spacing w:before="9"/>
        <w:rPr>
          <w:sz w:val="13"/>
        </w:rPr>
      </w:pPr>
      <w:r>
        <w:rPr/>
        <w:br w:type="column"/>
      </w:r>
      <w:r>
        <w:rPr>
          <w:sz w:val="13"/>
        </w:rPr>
      </w:r>
    </w:p>
    <w:p>
      <w:pPr>
        <w:spacing w:before="0"/>
        <w:ind w:left="0" w:right="38" w:firstLine="0"/>
        <w:jc w:val="right"/>
        <w:rPr>
          <w:sz w:val="12"/>
        </w:rPr>
      </w:pPr>
      <w:r>
        <w:rPr>
          <w:color w:val="231F20"/>
          <w:sz w:val="12"/>
        </w:rPr>
        <w:t>5</w:t>
      </w:r>
    </w:p>
    <w:p>
      <w:pPr>
        <w:pStyle w:val="BodyText"/>
        <w:rPr>
          <w:sz w:val="12"/>
        </w:rPr>
      </w:pPr>
    </w:p>
    <w:p>
      <w:pPr>
        <w:spacing w:before="94"/>
        <w:ind w:left="0" w:right="38" w:firstLine="0"/>
        <w:jc w:val="right"/>
        <w:rPr>
          <w:sz w:val="12"/>
        </w:rPr>
      </w:pPr>
      <w:r>
        <w:rPr/>
        <w:pict>
          <v:group style="position:absolute;margin-left:43.806999pt;margin-top:-11.050824pt;width:149.6pt;height:102.9pt;mso-position-horizontal-relative:page;mso-position-vertical-relative:paragraph;z-index:16059392" coordorigin="876,-221" coordsize="2992,2058">
            <v:shape style="position:absolute;left:2945;top:-203;width:919;height:2039" coordorigin="2945,-202" coordsize="919,2039" path="m3864,-202l3762,-91,3660,109,3558,323,3456,545,3353,860,3251,1034,3149,1115,3047,1089,2945,1037,3047,1333,3149,1604,3251,1766,3353,1837,3456,1766,3558,1663,3660,1589,3762,1530,3864,1489,3864,-202xe" filled="true" fillcolor="#dbeae4" stroked="false">
              <v:path arrowok="t"/>
              <v:fill type="solid"/>
            </v:shape>
            <v:shape style="position:absolute;left:2945;top:-30;width:919;height:1751" coordorigin="2945,-30" coordsize="919,1751" path="m3864,-30l3762,74,3660,259,3558,462,3456,673,3353,962,3251,1110,3149,1165,3047,1113,2945,1036,3047,1306,3149,1546,3251,1680,3353,1720,3456,1624,3558,1506,3660,1413,3762,1339,3864,1287,3864,-30xe" filled="true" fillcolor="#bfdbcf" stroked="false">
              <v:path arrowok="t"/>
              <v:fill type="solid"/>
            </v:shape>
            <v:shape style="position:absolute;left:2945;top:86;width:919;height:1558" coordorigin="2945,86" coordsize="919,1558" path="m3864,86l3762,186,3660,364,3558,556,3456,760,3353,1030,3251,1159,3149,1200,3047,1130,2945,1034,3047,1285,3149,1507,3251,1622,3353,1644,3456,1529,3558,1400,3660,1296,3762,1207,3864,1152,3864,86xe" filled="true" fillcolor="#a4cdbd" stroked="false">
              <v:path arrowok="t"/>
              <v:fill type="solid"/>
            </v:shape>
            <v:shape style="position:absolute;left:2945;top:177;width:919;height:1406" coordorigin="2945,177" coordsize="919,1406" path="m3864,177l3762,273,3660,444,3558,632,3456,828,3353,1084,3251,1198,3149,1228,3047,1143,2945,1032,3047,1269,3149,1476,3251,1576,3353,1583,3456,1454,3558,1317,3660,1202,3762,1106,3864,1043,3864,177xe" filled="true" fillcolor="#8abfab" stroked="false">
              <v:path arrowok="t"/>
              <v:fill type="solid"/>
            </v:shape>
            <v:shape style="position:absolute;left:2945;top:262;width:919;height:1281" coordorigin="2945,263" coordsize="919,1281" path="m3864,263l3762,355,3660,518,3558,699,3456,892,3353,1136,3251,1239,3149,1254,3047,1158,2945,1036,3047,1258,3149,1454,3251,1543,3353,1539,3558,1251,3660,1128,3762,1025,3864,958,3864,263xe" filled="true" fillcolor="#6fb39a" stroked="false">
              <v:path arrowok="t"/>
              <v:fill type="solid"/>
            </v:shape>
            <v:shape style="position:absolute;left:2945;top:335;width:919;height:1170" coordorigin="2945,336" coordsize="919,1170" path="m3864,336l3762,428,3660,584,3558,757,3456,942,3353,1176,3251,1268,3149,1275,3047,1168,2945,1035,3047,1246,3149,1431,3251,1505,3353,1490,3456,1335,3558,1187,3660,1057,3762,946,3864,876,3864,336xe" filled="true" fillcolor="#53a78b" stroked="false">
              <v:path arrowok="t"/>
              <v:fill type="solid"/>
            </v:shape>
            <v:shape style="position:absolute;left:2945;top:400;width:919;height:1070" coordorigin="2945,401" coordsize="919,1070" path="m3864,401l3762,489,3660,637,3558,808,3456,989,3353,1215,3251,1296,3149,1292,3047,1174,2945,1033,3047,1233,3149,1407,3251,1470,3353,1444,3456,1277,3558,1122,3660,985,3762,867,3864,796,3864,401xe" filled="true" fillcolor="#309d7d" stroked="false">
              <v:path arrowok="t"/>
              <v:fill type="solid"/>
            </v:shape>
            <v:shape style="position:absolute;left:2945;top:464;width:919;height:977" coordorigin="2945,464" coordsize="919,977" path="m3864,464l3762,549,3660,697,3558,860,3456,1038,3353,1252,3251,1326,3149,1312,3047,1186,2945,1034,3047,1223,3149,1386,3251,1441,3353,1404,3456,1227,3558,1067,3660,927,3762,801,3864,727,3864,464xe" filled="true" fillcolor="#00936f" stroked="false">
              <v:path arrowok="t"/>
              <v:fill type="solid"/>
            </v:shape>
            <v:shape style="position:absolute;left:2945;top:531;width:919;height:885" coordorigin="2945,532" coordsize="919,885" path="m3864,532l3762,613,3660,754,3558,913,3456,1087,3353,1294,3251,1357,3149,1335,3047,1198,2945,1039,3047,1220,3149,1372,3251,1416,3353,1368,3456,1183,3558,1017,3660,869,3762,739,3864,661,3864,532xe" filled="true" fillcolor="#008256" stroked="false">
              <v:path arrowok="t"/>
              <v:fill type="solid"/>
            </v:shape>
            <v:line style="position:absolute" from="3867,1634" to="1009,1634" stroked="true" strokeweight=".5pt" strokecolor="#231f20">
              <v:stroke dashstyle="solid"/>
            </v:line>
            <v:shape style="position:absolute;left:876;top:-217;width:75;height:1850" coordorigin="876,-216" coordsize="75,1850" path="m947,1634l876,1634m876,1264l950,1264m876,894l950,894m876,524l950,524m950,154l876,154m950,-216l876,-216e" filled="false" stroked="true" strokeweight=".5pt" strokecolor="#000000">
              <v:path arrowok="t"/>
              <v:stroke dashstyle="solid"/>
            </v:shape>
            <v:shape style="position:absolute;left:1003;top:-157;width:817;height:1077" coordorigin="1003,-157" coordsize="817,1077" path="m1003,261l1105,6m1208,-157l1105,6m1310,-68l1208,-157m1412,147l1310,-68m1412,147l1514,480m1616,838l1514,480m1616,838l1718,920m1718,920l1820,702e" filled="false" stroked="true" strokeweight="1pt" strokecolor="#008256">
              <v:path arrowok="t"/>
              <v:stroke dashstyle="solid"/>
            </v:shape>
            <v:line style="position:absolute" from="1810,707" to="1932,707" stroked="true" strokeweight="1.555pt" strokecolor="#008256">
              <v:stroke dashstyle="solid"/>
            </v:line>
            <v:shape style="position:absolute;left:1922;top:157;width:1021;height:877" coordorigin="1922,158" coordsize="1021,877" path="m2024,676l1922,713m2024,676l2126,661m2126,661l2228,635m2228,635l2330,372m2432,243l2330,372m2534,158l2432,243m2534,158l2637,394m2637,394l2739,598m2841,787l2739,598m2841,787l2943,1035e" filled="false" stroked="true" strokeweight="1pt" strokecolor="#008256">
              <v:path arrowok="t"/>
              <v:stroke dashstyle="solid"/>
            </v:shape>
            <v:shape style="position:absolute;left:2942;top:586;width:919;height:796" coordorigin="2943,587" coordsize="919,796" path="m3045,1205l2943,1035m3147,1349l3045,1205m3249,1382l3147,1349m3351,1327l3249,1382m3453,1131l3351,1327m3555,961l3453,1131m3657,805l3555,961m3759,668l3657,805m3861,587l3759,668e" filled="false" stroked="true" strokeweight=".5pt" strokecolor="#008256">
              <v:path arrowok="t"/>
              <v:stroke dashstyle="solid"/>
            </v:shape>
            <w10:wrap type="none"/>
          </v:group>
        </w:pict>
      </w:r>
      <w:r>
        <w:rPr/>
        <w:pict>
          <v:line style="position:absolute;mso-position-horizontal-relative:page;mso-position-vertical-relative:paragraph;z-index:16064000" from="201.619998pt,7.699176pt" to="197.919998pt,7.699176pt" stroked="true" strokeweight=".5pt" strokecolor="#231f20">
            <v:stroke dashstyle="solid"/>
            <w10:wrap type="none"/>
          </v:line>
        </w:pict>
      </w:r>
      <w:r>
        <w:rPr/>
        <w:pict>
          <v:line style="position:absolute;mso-position-horizontal-relative:page;mso-position-vertical-relative:paragraph;z-index:16064512" from="202.619998pt,-10.800824pt" to="198.919998pt,-10.800824pt" stroked="true" strokeweight=".5pt" strokecolor="#231f20">
            <v:stroke dashstyle="solid"/>
            <w10:wrap type="none"/>
          </v:line>
        </w:pict>
      </w:r>
      <w:r>
        <w:rPr>
          <w:color w:val="231F20"/>
          <w:sz w:val="12"/>
        </w:rPr>
        <w:t>4</w:t>
      </w:r>
    </w:p>
    <w:p>
      <w:pPr>
        <w:pStyle w:val="BodyText"/>
        <w:rPr>
          <w:sz w:val="12"/>
        </w:rPr>
      </w:pPr>
    </w:p>
    <w:p>
      <w:pPr>
        <w:spacing w:before="94"/>
        <w:ind w:left="0" w:right="38" w:firstLine="0"/>
        <w:jc w:val="right"/>
        <w:rPr>
          <w:sz w:val="12"/>
        </w:rPr>
      </w:pPr>
      <w:r>
        <w:rPr/>
        <w:pict>
          <v:line style="position:absolute;mso-position-horizontal-relative:page;mso-position-vertical-relative:paragraph;z-index:16063488" from="197.919998pt,7.699359pt" to="201.619998pt,7.699359pt" stroked="true" strokeweight=".5pt" strokecolor="#231f20">
            <v:stroke dashstyle="solid"/>
            <w10:wrap type="none"/>
          </v:line>
        </w:pict>
      </w:r>
      <w:r>
        <w:rPr>
          <w:color w:val="231F20"/>
          <w:sz w:val="12"/>
        </w:rPr>
        <w:t>3</w:t>
      </w:r>
    </w:p>
    <w:p>
      <w:pPr>
        <w:pStyle w:val="BodyText"/>
        <w:rPr>
          <w:sz w:val="12"/>
        </w:rPr>
      </w:pPr>
    </w:p>
    <w:p>
      <w:pPr>
        <w:spacing w:before="94"/>
        <w:ind w:left="0" w:right="38" w:firstLine="0"/>
        <w:jc w:val="right"/>
        <w:rPr>
          <w:sz w:val="12"/>
        </w:rPr>
      </w:pPr>
      <w:r>
        <w:rPr/>
        <w:pict>
          <v:line style="position:absolute;mso-position-horizontal-relative:page;mso-position-vertical-relative:paragraph;z-index:16062976" from="197.919998pt,7.699573pt" to="201.619998pt,7.699573pt" stroked="true" strokeweight=".5pt" strokecolor="#231f20">
            <v:stroke dashstyle="solid"/>
            <w10:wrap type="none"/>
          </v:line>
        </w:pict>
      </w:r>
      <w:r>
        <w:rPr>
          <w:color w:val="231F20"/>
          <w:sz w:val="12"/>
        </w:rPr>
        <w:t>2</w:t>
      </w:r>
    </w:p>
    <w:p>
      <w:pPr>
        <w:pStyle w:val="BodyText"/>
        <w:rPr>
          <w:sz w:val="12"/>
        </w:rPr>
      </w:pPr>
    </w:p>
    <w:p>
      <w:pPr>
        <w:spacing w:line="136" w:lineRule="exact" w:before="94"/>
        <w:ind w:left="771" w:right="0" w:firstLine="0"/>
        <w:jc w:val="left"/>
        <w:rPr>
          <w:sz w:val="12"/>
        </w:rPr>
      </w:pPr>
      <w:r>
        <w:rPr/>
        <w:pict>
          <v:line style="position:absolute;mso-position-horizontal-relative:page;mso-position-vertical-relative:paragraph;z-index:16062464" from="197.919998pt,7.699756pt" to="201.619998pt,7.699756pt" stroked="true" strokeweight=".5pt" strokecolor="#231f20">
            <v:stroke dashstyle="solid"/>
            <w10:wrap type="none"/>
          </v:line>
        </w:pict>
      </w:r>
      <w:r>
        <w:rPr>
          <w:color w:val="231F20"/>
          <w:sz w:val="12"/>
        </w:rPr>
        <w:t>1</w:t>
      </w:r>
    </w:p>
    <w:p>
      <w:pPr>
        <w:spacing w:line="182" w:lineRule="exact" w:before="0"/>
        <w:ind w:left="707" w:right="0" w:firstLine="0"/>
        <w:jc w:val="left"/>
        <w:rPr>
          <w:sz w:val="16"/>
        </w:rPr>
      </w:pPr>
      <w:r>
        <w:rPr>
          <w:color w:val="231F20"/>
          <w:sz w:val="16"/>
        </w:rPr>
        <w:t>+</w:t>
      </w:r>
    </w:p>
    <w:p>
      <w:pPr>
        <w:spacing w:before="52"/>
        <w:ind w:left="0" w:right="38" w:firstLine="0"/>
        <w:jc w:val="right"/>
        <w:rPr>
          <w:sz w:val="12"/>
        </w:rPr>
      </w:pPr>
      <w:r>
        <w:rPr/>
        <w:pict>
          <v:line style="position:absolute;mso-position-horizontal-relative:page;mso-position-vertical-relative:paragraph;z-index:16061952" from="197.662003pt,5.599969pt" to="201.620003pt,5.599969pt" stroked="true" strokeweight=".5pt" strokecolor="#231f20">
            <v:stroke dashstyle="solid"/>
            <w10:wrap type="none"/>
          </v:line>
        </w:pict>
      </w:r>
      <w:r>
        <w:rPr>
          <w:color w:val="231F20"/>
          <w:sz w:val="12"/>
        </w:rPr>
        <w:t>0</w:t>
      </w:r>
    </w:p>
    <w:p>
      <w:pPr>
        <w:spacing w:before="46"/>
        <w:ind w:left="707" w:right="0" w:firstLine="0"/>
        <w:jc w:val="left"/>
        <w:rPr>
          <w:sz w:val="16"/>
        </w:rPr>
      </w:pPr>
      <w:r>
        <w:rPr>
          <w:color w:val="231F20"/>
          <w:sz w:val="16"/>
        </w:rPr>
        <w:t>–</w:t>
      </w:r>
    </w:p>
    <w:p>
      <w:pPr>
        <w:spacing w:before="2"/>
        <w:ind w:left="0" w:right="38" w:firstLine="0"/>
        <w:jc w:val="right"/>
        <w:rPr>
          <w:sz w:val="12"/>
        </w:rPr>
      </w:pPr>
      <w:r>
        <w:rPr/>
        <w:pict>
          <v:line style="position:absolute;mso-position-horizontal-relative:page;mso-position-vertical-relative:paragraph;z-index:16061440" from="198.919998pt,3.100168pt" to="202.619998pt,3.100168pt" stroked="true" strokeweight=".5pt" strokecolor="#231f20">
            <v:stroke dashstyle="solid"/>
            <w10:wrap type="none"/>
          </v:line>
        </w:pict>
      </w:r>
      <w:r>
        <w:rPr>
          <w:color w:val="231F20"/>
          <w:sz w:val="12"/>
        </w:rPr>
        <w:t>1</w:t>
      </w:r>
    </w:p>
    <w:p>
      <w:pPr>
        <w:pStyle w:val="BodyText"/>
        <w:spacing w:before="10"/>
        <w:rPr>
          <w:sz w:val="17"/>
        </w:rPr>
      </w:pPr>
    </w:p>
    <w:p>
      <w:pPr>
        <w:spacing w:line="134" w:lineRule="exact" w:before="0"/>
        <w:ind w:left="771" w:right="0" w:firstLine="0"/>
        <w:jc w:val="left"/>
        <w:rPr>
          <w:sz w:val="12"/>
        </w:rPr>
      </w:pPr>
      <w:r>
        <w:rPr/>
        <w:pict>
          <v:group style="position:absolute;margin-left:43.806999pt;margin-top:-.241443pt;width:149.9pt;height:4.2pt;mso-position-horizontal-relative:page;mso-position-vertical-relative:paragraph;z-index:16059904" coordorigin="876,-5" coordsize="2998,84">
            <v:shape style="position:absolute;left:876;top:-5;width:2888;height:79" coordorigin="876,-5" coordsize="2888,79" path="m1003,-5l1003,69m876,74l950,74m1103,70l1103,33m1208,70l1208,33m1310,33l1310,70m1413,71l1413,-3m1513,70l1513,33m1614,33l1614,70m1717,33l1717,70m1820,69l1820,-5m1923,33l1923,70m2029,33l2029,70m2128,72l2128,35m2229,-5l2229,69m2330,69l2330,32m2433,70l2433,33m2539,33l2539,70m2633,-5l2633,69m2740,70l2740,33m2839,33l2839,70m2943,33l2943,70m3043,69l3043,-5m3147,33l3147,70m3250,69l3250,32m3455,-3l3455,71m3555,70l3555,33m3657,72l3657,35m3764,33l3764,70e" filled="false" stroked="true" strokeweight=".5pt" strokecolor="#231f20">
              <v:path arrowok="t"/>
              <v:stroke dashstyle="solid"/>
            </v:shape>
            <v:shape style="position:absolute;left:1006;top:29;width:2860;height:43" coordorigin="1006,29" coordsize="2860,43" path="m1006,72l3866,72m3349,66l3349,29e" filled="false" stroked="true" strokeweight=".5pt" strokecolor="#000000">
              <v:path arrowok="t"/>
              <v:stroke dashstyle="solid"/>
            </v:shape>
            <v:line style="position:absolute" from="3869,-2" to="3869,72" stroked="true" strokeweight=".5pt" strokecolor="#231f20">
              <v:stroke dashstyle="solid"/>
            </v:line>
            <w10:wrap type="none"/>
          </v:group>
        </w:pict>
      </w:r>
      <w:r>
        <w:rPr/>
        <w:pict>
          <v:line style="position:absolute;mso-position-horizontal-relative:page;mso-position-vertical-relative:paragraph;z-index:16060928" from="198.919998pt,3.666557pt" to="202.619998pt,3.666557pt" stroked="true" strokeweight=".5pt" strokecolor="#231f20">
            <v:stroke dashstyle="solid"/>
            <w10:wrap type="none"/>
          </v:line>
        </w:pict>
      </w:r>
      <w:r>
        <w:rPr>
          <w:color w:val="231F20"/>
          <w:sz w:val="12"/>
        </w:rPr>
        <w:t>2</w:t>
      </w:r>
    </w:p>
    <w:p>
      <w:pPr>
        <w:spacing w:line="134" w:lineRule="exact" w:before="0"/>
        <w:ind w:left="199" w:right="0" w:firstLine="0"/>
        <w:jc w:val="left"/>
        <w:rPr>
          <w:sz w:val="12"/>
        </w:rPr>
      </w:pPr>
      <w:r>
        <w:rPr>
          <w:color w:val="231F20"/>
          <w:sz w:val="12"/>
        </w:rPr>
        <w:t>2000 01</w:t>
      </w:r>
    </w:p>
    <w:p>
      <w:pPr>
        <w:pStyle w:val="BodyText"/>
        <w:spacing w:before="8"/>
        <w:rPr>
          <w:sz w:val="24"/>
        </w:rPr>
      </w:pPr>
      <w:r>
        <w:rPr/>
        <w:br w:type="column"/>
      </w:r>
      <w:r>
        <w:rPr>
          <w:sz w:val="24"/>
        </w:rPr>
      </w:r>
    </w:p>
    <w:p>
      <w:pPr>
        <w:pStyle w:val="Heading4"/>
        <w:spacing w:line="242" w:lineRule="auto"/>
        <w:ind w:left="458" w:right="272"/>
      </w:pPr>
      <w:r>
        <w:rPr/>
        <w:t>Although the outturn for Q4 GDP was in line with the November central projection, the MPC judges that the prospects for activity in the period immediately ahead have deteriorated somewhat. There are two main reasons: first, a downward revision to the projection for domestic demand, particularly consumption, linked to the outlook for the labour market discussed below; and second, a further deterioration in the prospects for world demand and UK exports.</w:t>
      </w:r>
    </w:p>
    <w:p>
      <w:pPr>
        <w:spacing w:after="0" w:line="242" w:lineRule="auto"/>
        <w:sectPr>
          <w:type w:val="continuous"/>
          <w:pgSz w:w="11900" w:h="16840"/>
          <w:pgMar w:top="1220" w:bottom="280" w:left="640" w:right="600"/>
          <w:cols w:num="5" w:equalWidth="0">
            <w:col w:w="1078" w:space="40"/>
            <w:col w:w="755" w:space="39"/>
            <w:col w:w="736" w:space="40"/>
            <w:col w:w="872" w:space="931"/>
            <w:col w:w="6169"/>
          </w:cols>
        </w:sectPr>
      </w:pPr>
    </w:p>
    <w:p>
      <w:pPr>
        <w:pStyle w:val="BodyText"/>
        <w:rPr>
          <w:sz w:val="12"/>
        </w:rPr>
      </w:pPr>
    </w:p>
    <w:p>
      <w:pPr>
        <w:spacing w:line="208" w:lineRule="auto" w:before="84"/>
        <w:ind w:left="179" w:right="20" w:firstLine="0"/>
        <w:jc w:val="left"/>
        <w:rPr>
          <w:sz w:val="12"/>
        </w:rPr>
      </w:pPr>
      <w:r>
        <w:rPr>
          <w:sz w:val="12"/>
        </w:rPr>
        <w:t>The fan chart depicting the probability distribution for output growth is rather like a contour map. At any given point during the forecast period, the depth of shading represents the height of the probability density function over a range of outcomes for output. The darkest band includes the central (single most likely) projection and covers 10% of the probability. Each successive pair of bands is drawn to cover a further 10% of the probability, until 90% of the probability distribution is covered. The bands widen as the time horizon is extended, indicating increasing uncertainty about outcomes.</w:t>
      </w:r>
    </w:p>
    <w:p>
      <w:pPr>
        <w:spacing w:line="123" w:lineRule="exact" w:before="0"/>
        <w:ind w:left="179" w:right="0" w:firstLine="0"/>
        <w:jc w:val="left"/>
        <w:rPr>
          <w:sz w:val="12"/>
        </w:rPr>
      </w:pPr>
      <w:r>
        <w:rPr>
          <w:sz w:val="12"/>
        </w:rPr>
        <w:t>See box on page 52.</w:t>
      </w:r>
    </w:p>
    <w:p>
      <w:pPr>
        <w:pStyle w:val="Heading4"/>
        <w:spacing w:line="242" w:lineRule="auto" w:before="93"/>
        <w:ind w:left="178" w:right="206"/>
      </w:pPr>
      <w:r>
        <w:rPr/>
        <w:br w:type="column"/>
      </w:r>
      <w:r>
        <w:rPr/>
        <w:t>The central projection is for the four-quarter growth rate of GDP at constant market prices to slow to between </w:t>
      </w:r>
      <w:r>
        <w:rPr>
          <w:spacing w:val="-5"/>
          <w:position w:val="8"/>
          <w:sz w:val="12"/>
        </w:rPr>
        <w:t>1</w:t>
      </w:r>
      <w:r>
        <w:rPr>
          <w:spacing w:val="-5"/>
        </w:rPr>
        <w:t>/</w:t>
      </w:r>
      <w:r>
        <w:rPr>
          <w:spacing w:val="-5"/>
          <w:sz w:val="12"/>
        </w:rPr>
        <w:t>2</w:t>
      </w:r>
      <w:r>
        <w:rPr>
          <w:spacing w:val="-5"/>
        </w:rPr>
        <w:t>% </w:t>
      </w:r>
      <w:r>
        <w:rPr/>
        <w:t>and 1% during this year, before recovering to around trend by the middle of 2000 as domestic demand picks up (see Chart 6.1).</w:t>
      </w:r>
      <w:r>
        <w:rPr>
          <w:position w:val="5"/>
          <w:sz w:val="16"/>
        </w:rPr>
        <w:t>(1) </w:t>
      </w:r>
      <w:r>
        <w:rPr/>
        <w:t>The trough in the central projection for growth is a little deeper than at the time of the November </w:t>
      </w:r>
      <w:r>
        <w:rPr>
          <w:i/>
        </w:rPr>
        <w:t>Report</w:t>
      </w:r>
      <w:r>
        <w:rPr/>
        <w:t>. Quarterly growth is expected to be close to zero in the first half of this </w:t>
      </w:r>
      <w:r>
        <w:rPr>
          <w:spacing w:val="-3"/>
        </w:rPr>
        <w:t>year. </w:t>
      </w:r>
      <w:r>
        <w:rPr/>
        <w:t>The</w:t>
      </w:r>
      <w:r>
        <w:rPr>
          <w:spacing w:val="6"/>
        </w:rPr>
        <w:t> </w:t>
      </w:r>
      <w:r>
        <w:rPr/>
        <w:t>central</w:t>
      </w:r>
    </w:p>
    <w:p>
      <w:pPr>
        <w:pStyle w:val="BodyText"/>
        <w:spacing w:before="6"/>
        <w:rPr>
          <w:sz w:val="15"/>
        </w:rPr>
      </w:pPr>
      <w:r>
        <w:rPr/>
        <w:pict>
          <v:shape style="position:absolute;margin-left:279pt;margin-top:11.007715pt;width:276.75pt;height:.1pt;mso-position-horizontal-relative:page;mso-position-vertical-relative:paragraph;z-index:-15398400;mso-wrap-distance-left:0;mso-wrap-distance-right:0" coordorigin="5580,220" coordsize="5535,0" path="m5580,220l11115,220e" filled="false" stroked="true" strokeweight=".125pt" strokecolor="#000000">
            <v:path arrowok="t"/>
            <v:stroke dashstyle="solid"/>
            <w10:wrap type="topAndBottom"/>
          </v:shape>
        </w:pict>
      </w:r>
    </w:p>
    <w:p>
      <w:pPr>
        <w:pStyle w:val="ListParagraph"/>
        <w:numPr>
          <w:ilvl w:val="0"/>
          <w:numId w:val="31"/>
        </w:numPr>
        <w:tabs>
          <w:tab w:pos="430" w:val="left" w:leader="none"/>
        </w:tabs>
        <w:spacing w:line="240" w:lineRule="auto" w:before="0" w:after="0"/>
        <w:ind w:left="429" w:right="0" w:hanging="242"/>
        <w:jc w:val="left"/>
        <w:rPr>
          <w:sz w:val="16"/>
        </w:rPr>
      </w:pPr>
      <w:r>
        <w:rPr>
          <w:sz w:val="16"/>
        </w:rPr>
        <w:t>Also shown as Chart 1 in the Overview.</w:t>
      </w:r>
    </w:p>
    <w:p>
      <w:pPr>
        <w:spacing w:after="0" w:line="240" w:lineRule="auto"/>
        <w:jc w:val="left"/>
        <w:rPr>
          <w:sz w:val="16"/>
        </w:rPr>
        <w:sectPr>
          <w:type w:val="continuous"/>
          <w:pgSz w:w="11900" w:h="16840"/>
          <w:pgMar w:top="1220" w:bottom="280" w:left="640" w:right="600"/>
          <w:cols w:num="2" w:equalWidth="0">
            <w:col w:w="3529" w:space="1241"/>
            <w:col w:w="5890"/>
          </w:cols>
        </w:sectPr>
      </w:pPr>
    </w:p>
    <w:p>
      <w:pPr>
        <w:pStyle w:val="BodyText"/>
        <w:rPr>
          <w:sz w:val="20"/>
        </w:rPr>
      </w:pPr>
    </w:p>
    <w:p>
      <w:pPr>
        <w:pStyle w:val="Heading4"/>
        <w:spacing w:line="242" w:lineRule="auto" w:before="206"/>
        <w:ind w:left="4949" w:right="265"/>
      </w:pPr>
      <w:r>
        <w:rPr/>
        <w:t>projection for the next few quarters is broadly consistent with Bank staff analysis of the recent evidence from the CBI, BCC and C</w:t>
      </w:r>
      <w:r>
        <w:rPr>
          <w:sz w:val="20"/>
        </w:rPr>
        <w:t>IPS </w:t>
      </w:r>
      <w:r>
        <w:rPr/>
        <w:t>surveys. These surveys, although much weaker than their past historical averages, also point to broadly flat GDP at the start of 1999.</w:t>
      </w:r>
    </w:p>
    <w:p>
      <w:pPr>
        <w:pStyle w:val="BodyText"/>
        <w:spacing w:before="4"/>
        <w:rPr>
          <w:sz w:val="28"/>
        </w:rPr>
      </w:pPr>
    </w:p>
    <w:p>
      <w:pPr>
        <w:spacing w:line="242" w:lineRule="auto" w:before="0"/>
        <w:ind w:left="4949" w:right="265" w:firstLine="0"/>
        <w:jc w:val="left"/>
        <w:rPr>
          <w:sz w:val="24"/>
        </w:rPr>
      </w:pPr>
      <w:r>
        <w:rPr>
          <w:sz w:val="24"/>
        </w:rPr>
        <w:t>As well as some deterioration in the immediate prospects for output, there has also been news over the past three months about nominal variables. Broad money growth has slowed, consistent with a gradual slowing of demand. Inflation expectations have fallen on a number of measures over the past quarter. This is likely to lead to lower wage and price-setting. In addition, the reduction in interest rates in recent months means that headline RPI inflation is likely to fall below RPIX inflation for a period, which may further </w:t>
      </w:r>
      <w:r>
        <w:rPr>
          <w:spacing w:val="-3"/>
          <w:sz w:val="24"/>
        </w:rPr>
        <w:t>moderate </w:t>
      </w:r>
      <w:r>
        <w:rPr>
          <w:sz w:val="24"/>
        </w:rPr>
        <w:t>pressure on pay settlements.</w:t>
      </w:r>
    </w:p>
    <w:p>
      <w:pPr>
        <w:pStyle w:val="BodyText"/>
        <w:spacing w:before="1"/>
        <w:rPr>
          <w:sz w:val="29"/>
        </w:rPr>
      </w:pPr>
    </w:p>
    <w:p>
      <w:pPr>
        <w:spacing w:line="242" w:lineRule="auto" w:before="0"/>
        <w:ind w:left="4949" w:right="250" w:firstLine="0"/>
        <w:jc w:val="left"/>
        <w:rPr>
          <w:sz w:val="24"/>
        </w:rPr>
      </w:pPr>
      <w:r>
        <w:rPr>
          <w:sz w:val="24"/>
        </w:rPr>
        <w:t>The suspension of the </w:t>
      </w:r>
      <w:r>
        <w:rPr>
          <w:spacing w:val="-3"/>
          <w:sz w:val="24"/>
        </w:rPr>
        <w:t>Average </w:t>
      </w:r>
      <w:r>
        <w:rPr>
          <w:sz w:val="24"/>
        </w:rPr>
        <w:t>Earnings Index last November, pending the outcome of the independent </w:t>
      </w:r>
      <w:r>
        <w:rPr>
          <w:spacing w:val="-3"/>
          <w:sz w:val="24"/>
        </w:rPr>
        <w:t>review, </w:t>
      </w:r>
      <w:r>
        <w:rPr>
          <w:sz w:val="24"/>
        </w:rPr>
        <w:t>makes analysis of the labour market more than usually uncertain, and this is reflected in the greater width of the inflation projection fan chart than would otherwise be the case. Given the further tightening of the labour market in the past year, settlements might have been expected to rise over the past few months. In fact, settlements were flat on the twelve-month employment-weighted measure for the past nine </w:t>
      </w:r>
      <w:r>
        <w:rPr>
          <w:spacing w:val="-3"/>
          <w:sz w:val="24"/>
        </w:rPr>
        <w:t>months. </w:t>
      </w:r>
      <w:r>
        <w:rPr>
          <w:sz w:val="24"/>
        </w:rPr>
        <w:t>It also seems probable that wage drift is now contributing less to the growth of earnings per head than it has been, especially given the recent fall in average hours worked per employee and hence the likely reduction in overtime </w:t>
      </w:r>
      <w:r>
        <w:rPr>
          <w:spacing w:val="-4"/>
          <w:sz w:val="24"/>
        </w:rPr>
        <w:t>pay. </w:t>
      </w:r>
      <w:r>
        <w:rPr>
          <w:sz w:val="24"/>
        </w:rPr>
        <w:t>The recent survey by the </w:t>
      </w:r>
      <w:r>
        <w:rPr>
          <w:spacing w:val="-3"/>
          <w:sz w:val="24"/>
        </w:rPr>
        <w:t>Bank’s </w:t>
      </w:r>
      <w:r>
        <w:rPr>
          <w:sz w:val="24"/>
        </w:rPr>
        <w:t>regional Agents for the February MPC showed more companies expecting lower settlements this year than higher, though the same survey showed a less clear picture for growth in earnings per head. Although the recent public sector pay settlements were higher than a year ago, and both the </w:t>
      </w:r>
      <w:r>
        <w:rPr>
          <w:spacing w:val="-3"/>
          <w:sz w:val="24"/>
        </w:rPr>
        <w:t>Working Time </w:t>
      </w:r>
      <w:r>
        <w:rPr>
          <w:sz w:val="24"/>
        </w:rPr>
        <w:t>Directive and the National Minimum </w:t>
      </w:r>
      <w:r>
        <w:rPr>
          <w:spacing w:val="-5"/>
          <w:sz w:val="24"/>
        </w:rPr>
        <w:t>Wage </w:t>
      </w:r>
      <w:r>
        <w:rPr>
          <w:sz w:val="24"/>
        </w:rPr>
        <w:t>are likely to increase labour costs to some degree, upward pressure on overall pay growth appears to be easing.  This has led the Committee to lower both the starting-point and central projection for nominal earnings growth compared with the November</w:t>
      </w:r>
      <w:r>
        <w:rPr>
          <w:spacing w:val="-1"/>
          <w:sz w:val="24"/>
        </w:rPr>
        <w:t> </w:t>
      </w:r>
      <w:r>
        <w:rPr>
          <w:i/>
          <w:sz w:val="24"/>
        </w:rPr>
        <w:t>Report</w:t>
      </w:r>
      <w:r>
        <w:rPr>
          <w:sz w:val="24"/>
        </w:rPr>
        <w:t>.</w:t>
      </w:r>
    </w:p>
    <w:p>
      <w:pPr>
        <w:pStyle w:val="BodyText"/>
        <w:spacing w:before="9"/>
        <w:rPr>
          <w:sz w:val="30"/>
        </w:rPr>
      </w:pPr>
    </w:p>
    <w:p>
      <w:pPr>
        <w:spacing w:line="242" w:lineRule="auto" w:before="0"/>
        <w:ind w:left="4949" w:right="332" w:firstLine="0"/>
        <w:jc w:val="left"/>
        <w:rPr>
          <w:sz w:val="24"/>
        </w:rPr>
      </w:pPr>
      <w:r>
        <w:rPr>
          <w:sz w:val="24"/>
        </w:rPr>
        <w:t>LFS unemployment has declined slightly over the past three months, claimant-count unemployment is at its lowest level since 1980, and employment has continued to rise. Overall, the data suggest that the labour market has reached a turning-point. The Committee’s central</w:t>
      </w:r>
    </w:p>
    <w:p>
      <w:pPr>
        <w:spacing w:after="0" w:line="242" w:lineRule="auto"/>
        <w:jc w:val="left"/>
        <w:rPr>
          <w:sz w:val="24"/>
        </w:rPr>
        <w:sectPr>
          <w:pgSz w:w="11900" w:h="16840"/>
          <w:pgMar w:header="584" w:footer="617" w:top="780" w:bottom="800" w:left="640" w:right="600"/>
        </w:sectPr>
      </w:pPr>
    </w:p>
    <w:p>
      <w:pPr>
        <w:pStyle w:val="BodyText"/>
        <w:rPr>
          <w:sz w:val="20"/>
        </w:rPr>
      </w:pPr>
    </w:p>
    <w:p>
      <w:pPr>
        <w:spacing w:line="242" w:lineRule="auto" w:before="226"/>
        <w:ind w:left="4969" w:right="210" w:firstLine="0"/>
        <w:jc w:val="left"/>
        <w:rPr>
          <w:sz w:val="24"/>
        </w:rPr>
      </w:pPr>
      <w:r>
        <w:rPr>
          <w:sz w:val="24"/>
        </w:rPr>
        <w:t>projection is that employment may fall for a time, reflecting a period of output growth below trend. This will ease pressures on </w:t>
      </w:r>
      <w:r>
        <w:rPr>
          <w:spacing w:val="-4"/>
          <w:sz w:val="24"/>
        </w:rPr>
        <w:t>pay. </w:t>
      </w:r>
      <w:r>
        <w:rPr>
          <w:sz w:val="24"/>
        </w:rPr>
        <w:t>The LFS measure of inactivity has been rising, but this reflects a long-term structural increase due to such factors as the rise in the number of long-term sick. After adjusting for these, the inactivity rate is likely to be cyclical and to rise a little </w:t>
      </w:r>
      <w:r>
        <w:rPr>
          <w:spacing w:val="-9"/>
          <w:sz w:val="24"/>
        </w:rPr>
        <w:t>as </w:t>
      </w:r>
      <w:r>
        <w:rPr>
          <w:sz w:val="24"/>
        </w:rPr>
        <w:t>the economy slows. This matters for the projection because the inactive are assumed to exert much less downward pressure on the level of real earnings than the unemployed.</w:t>
      </w:r>
    </w:p>
    <w:p>
      <w:pPr>
        <w:pStyle w:val="BodyText"/>
        <w:spacing w:before="3"/>
        <w:rPr>
          <w:sz w:val="34"/>
        </w:rPr>
      </w:pPr>
    </w:p>
    <w:p>
      <w:pPr>
        <w:spacing w:line="242" w:lineRule="auto" w:before="0"/>
        <w:ind w:left="4969" w:right="217" w:firstLine="0"/>
        <w:jc w:val="left"/>
        <w:rPr>
          <w:sz w:val="24"/>
        </w:rPr>
      </w:pPr>
      <w:r>
        <w:rPr>
          <w:sz w:val="24"/>
        </w:rPr>
        <w:t>Over the past three years, as employment has grown strongly, measured productivity growth has been 1</w:t>
      </w:r>
      <w:r>
        <w:rPr>
          <w:position w:val="8"/>
          <w:sz w:val="12"/>
        </w:rPr>
        <w:t>1</w:t>
      </w:r>
      <w:r>
        <w:rPr>
          <w:sz w:val="24"/>
        </w:rPr>
        <w:t>/</w:t>
      </w:r>
      <w:r>
        <w:rPr>
          <w:sz w:val="12"/>
        </w:rPr>
        <w:t>2</w:t>
      </w:r>
      <w:r>
        <w:rPr>
          <w:sz w:val="24"/>
        </w:rPr>
        <w:t>%, somewhat below trend. Whole-economy productivity growth is judged likely to remain below its long-run average in 1999, before increasing towards the end of the forecast period. There are several possible explanations for weaker-than-average productivity growth over the recent past.  First, productivity may have been mismeasured. Second, the strength of employment growth as activity slowed has been surprising. This may reflect a timing effect as firms expect the slowdown in demand to be temporary, in which case measured productivity may eventually return to its long-run trend level. A third possibility is that the rate of increase in productivity has been temporarily weaker than its average historical rate because of structural changes in the labour market. For example, it is possible that labour market reforms have encouraged new workers into the labour market, or created new </w:t>
      </w:r>
      <w:r>
        <w:rPr>
          <w:spacing w:val="-4"/>
          <w:sz w:val="24"/>
        </w:rPr>
        <w:t>jobs, </w:t>
      </w:r>
      <w:r>
        <w:rPr>
          <w:sz w:val="24"/>
        </w:rPr>
        <w:t>with lower-than-average productivity, which reduced the measured level of productivity growth while the adjustment was taking place. Thereafter, productivity growth would be expected to return to its long-run average. These alternative possibilities have different implications for price-cost margins. A rapid rise in employment consistent with firms assuming that weakening demand was temporary would suggest that productive capacity is greater than previously thought, and hence put downward pressure on margins. But a shift in the level of average productivity would imply lower capacity and less downward pressure on margins. The central projection attaches some weight to all of these explanations, and taken together they raise the projection for inflation compared with the productivity assumption in the November </w:t>
      </w:r>
      <w:r>
        <w:rPr>
          <w:i/>
          <w:sz w:val="24"/>
        </w:rPr>
        <w:t>Report</w:t>
      </w:r>
      <w:r>
        <w:rPr>
          <w:sz w:val="24"/>
        </w:rPr>
        <w:t>. But there is a </w:t>
      </w:r>
      <w:r>
        <w:rPr>
          <w:spacing w:val="-4"/>
          <w:sz w:val="24"/>
        </w:rPr>
        <w:t>great </w:t>
      </w:r>
      <w:r>
        <w:rPr>
          <w:sz w:val="24"/>
        </w:rPr>
        <w:t>deal of uncertainty, and on balance there is a small downside risk to inflation from these factors relative to the central projection. The sensitivities are such that if one took the view that there had not been any shift in</w:t>
      </w:r>
    </w:p>
    <w:p>
      <w:pPr>
        <w:spacing w:after="0" w:line="242" w:lineRule="auto"/>
        <w:jc w:val="left"/>
        <w:rPr>
          <w:sz w:val="24"/>
        </w:rPr>
        <w:sectPr>
          <w:pgSz w:w="11900" w:h="16840"/>
          <w:pgMar w:header="584" w:footer="597" w:top="780" w:bottom="780" w:left="640" w:right="600"/>
        </w:sectPr>
      </w:pPr>
    </w:p>
    <w:p>
      <w:pPr>
        <w:pStyle w:val="BodyText"/>
        <w:rPr>
          <w:sz w:val="20"/>
        </w:rPr>
      </w:pPr>
    </w:p>
    <w:p>
      <w:pPr>
        <w:spacing w:line="242" w:lineRule="auto" w:before="216"/>
        <w:ind w:left="4977" w:right="478" w:firstLine="0"/>
        <w:jc w:val="left"/>
        <w:rPr>
          <w:sz w:val="24"/>
        </w:rPr>
      </w:pPr>
      <w:r>
        <w:rPr>
          <w:sz w:val="24"/>
        </w:rPr>
        <w:t>the level of average productivity, then the central projection for inflation would be about 0.2 percentage points lower.</w:t>
      </w:r>
    </w:p>
    <w:p>
      <w:pPr>
        <w:pStyle w:val="BodyText"/>
        <w:spacing w:before="7"/>
        <w:rPr>
          <w:sz w:val="24"/>
        </w:rPr>
      </w:pPr>
    </w:p>
    <w:p>
      <w:pPr>
        <w:spacing w:line="242" w:lineRule="auto" w:before="1"/>
        <w:ind w:left="4977" w:right="217" w:firstLine="0"/>
        <w:jc w:val="left"/>
        <w:rPr>
          <w:sz w:val="24"/>
        </w:rPr>
      </w:pPr>
      <w:r>
        <w:rPr>
          <w:sz w:val="24"/>
        </w:rPr>
        <w:t>Survey measures of capacity utilisation from the BCC and CBI are broadly consistent with estimates based on an examination of output relative to inputs of capital and labour. A fall in capacity utilisation was already under way at the end of 1998, which does not seem surprising given the slowing of output growth compared with its trend. The prospective fall from peak to trough is likely to be much smaller than in the early 1990s. This partly reflects the starting-point: capacity utilisation measures were much higher in the late 1980s than in the late 1990s. The effect of capacity utilisation on prices (relative to weighted costs) seems to be pro-cyclical.</w:t>
      </w:r>
    </w:p>
    <w:p>
      <w:pPr>
        <w:spacing w:line="242" w:lineRule="auto" w:before="15"/>
        <w:ind w:left="4977" w:right="397" w:firstLine="0"/>
        <w:jc w:val="left"/>
        <w:rPr>
          <w:sz w:val="24"/>
        </w:rPr>
      </w:pPr>
      <w:r>
        <w:rPr>
          <w:sz w:val="24"/>
        </w:rPr>
        <w:t>But prices respond to capacity utilisation with a lag, so the central projection is that the reduction in utilisation rates will continue to put downward pressure on inflation as growth picks up.</w:t>
      </w:r>
    </w:p>
    <w:p>
      <w:pPr>
        <w:pStyle w:val="BodyText"/>
        <w:spacing w:before="9"/>
        <w:rPr>
          <w:sz w:val="24"/>
        </w:rPr>
      </w:pPr>
    </w:p>
    <w:p>
      <w:pPr>
        <w:spacing w:line="242" w:lineRule="auto" w:before="0"/>
        <w:ind w:left="4977" w:right="384" w:firstLine="0"/>
        <w:jc w:val="left"/>
        <w:rPr>
          <w:sz w:val="24"/>
        </w:rPr>
      </w:pPr>
      <w:r>
        <w:rPr>
          <w:sz w:val="24"/>
        </w:rPr>
        <w:t>The MPC’s projection for the twelve-month RPIX inflation rate—assuming that nominal interest rates are constant at 5.5%—is shown in Chart 6.2.</w:t>
      </w:r>
      <w:r>
        <w:rPr>
          <w:position w:val="5"/>
          <w:sz w:val="16"/>
        </w:rPr>
        <w:t>(1) </w:t>
      </w:r>
      <w:r>
        <w:rPr>
          <w:sz w:val="24"/>
        </w:rPr>
        <w:t>The November projection, which corresponds to a 1.25% higher interest rate assumption, is shown alongside it (Chart 6.3). The most likely path is for RPIX inflation to stay close to the 2</w:t>
      </w:r>
      <w:r>
        <w:rPr>
          <w:position w:val="8"/>
          <w:sz w:val="12"/>
        </w:rPr>
        <w:t>1</w:t>
      </w:r>
      <w:r>
        <w:rPr>
          <w:sz w:val="24"/>
        </w:rPr>
        <w:t>/</w:t>
      </w:r>
      <w:r>
        <w:rPr>
          <w:sz w:val="12"/>
        </w:rPr>
        <w:t>2</w:t>
      </w:r>
      <w:r>
        <w:rPr>
          <w:sz w:val="24"/>
        </w:rPr>
        <w:t>% target for the next two years.</w:t>
      </w:r>
    </w:p>
    <w:p>
      <w:pPr>
        <w:pStyle w:val="BodyText"/>
        <w:spacing w:before="1"/>
        <w:rPr>
          <w:sz w:val="25"/>
        </w:rPr>
      </w:pPr>
    </w:p>
    <w:p>
      <w:pPr>
        <w:spacing w:line="242" w:lineRule="auto" w:before="0"/>
        <w:ind w:left="4977" w:right="214" w:firstLine="0"/>
        <w:jc w:val="left"/>
        <w:rPr>
          <w:sz w:val="24"/>
        </w:rPr>
      </w:pPr>
      <w:r>
        <w:rPr>
          <w:sz w:val="24"/>
        </w:rPr>
        <w:t>The profile for inflation through this year is a little </w:t>
      </w:r>
      <w:r>
        <w:rPr>
          <w:spacing w:val="-4"/>
          <w:sz w:val="24"/>
        </w:rPr>
        <w:t>lower </w:t>
      </w:r>
      <w:r>
        <w:rPr>
          <w:sz w:val="24"/>
        </w:rPr>
        <w:t>than in the November projection for 1999, but is broadly the same as in November by the end of the forecast period. This reflects a number of factors. The downturn in prospects for world activity implies a weaker outlook for both UK exports and world prices, and so lower UK inflation. And the starting-point and profile for the sterling effective exchange rate is a little higher than in November.  There is the also a prospect of slower growth of consumption and hence domestic demand.</w:t>
      </w:r>
    </w:p>
    <w:p>
      <w:pPr>
        <w:spacing w:line="242" w:lineRule="auto" w:before="13"/>
        <w:ind w:left="4977" w:right="261" w:firstLine="0"/>
        <w:jc w:val="left"/>
        <w:rPr>
          <w:sz w:val="24"/>
        </w:rPr>
      </w:pPr>
      <w:r>
        <w:rPr>
          <w:sz w:val="24"/>
        </w:rPr>
        <w:t>The starting-point and profile for earnings growth are lower in the current projection. But some factors have raised the central projection since November. Interest rates were reduced by 0.5% in December, 0.25% in January and 0.5% in February.</w:t>
      </w:r>
    </w:p>
    <w:p>
      <w:pPr>
        <w:pStyle w:val="BodyText"/>
        <w:spacing w:before="10"/>
        <w:rPr>
          <w:sz w:val="24"/>
        </w:rPr>
      </w:pPr>
    </w:p>
    <w:p>
      <w:pPr>
        <w:spacing w:line="242" w:lineRule="auto" w:before="0"/>
        <w:ind w:left="4977" w:right="337" w:firstLine="0"/>
        <w:jc w:val="left"/>
        <w:rPr>
          <w:sz w:val="24"/>
        </w:rPr>
      </w:pPr>
      <w:r>
        <w:rPr>
          <w:sz w:val="24"/>
        </w:rPr>
        <w:t>The balance of risks to output is on the downside throughout the forecast period, as at the time of the November </w:t>
      </w:r>
      <w:r>
        <w:rPr>
          <w:i/>
          <w:sz w:val="24"/>
        </w:rPr>
        <w:t>Report</w:t>
      </w:r>
      <w:r>
        <w:rPr>
          <w:sz w:val="24"/>
        </w:rPr>
        <w:t>. Overall, the risks to inflation are broadly balanced in the first year of the projection, but are slightly on the downside through the second year of</w:t>
      </w:r>
    </w:p>
    <w:p>
      <w:pPr>
        <w:pStyle w:val="BodyText"/>
        <w:spacing w:before="7"/>
        <w:rPr>
          <w:sz w:val="12"/>
        </w:rPr>
      </w:pPr>
      <w:r>
        <w:rPr/>
        <w:pict>
          <v:shape style="position:absolute;margin-left:279pt;margin-top:9.336689pt;width:276.5pt;height:.1pt;mso-position-horizontal-relative:page;mso-position-vertical-relative:paragraph;z-index:-15391744;mso-wrap-distance-left:0;mso-wrap-distance-right:0" coordorigin="5580,187" coordsize="5530,0" path="m5580,187l11110,187e" filled="false" stroked="true" strokeweight=".125pt" strokecolor="#000000">
            <v:path arrowok="t"/>
            <v:stroke dashstyle="solid"/>
            <w10:wrap type="topAndBottom"/>
          </v:shape>
        </w:pict>
      </w:r>
    </w:p>
    <w:p>
      <w:pPr>
        <w:pStyle w:val="ListParagraph"/>
        <w:numPr>
          <w:ilvl w:val="1"/>
          <w:numId w:val="31"/>
        </w:numPr>
        <w:tabs>
          <w:tab w:pos="5210" w:val="left" w:leader="none"/>
        </w:tabs>
        <w:spacing w:line="240" w:lineRule="auto" w:before="19" w:after="0"/>
        <w:ind w:left="5209" w:right="0" w:hanging="241"/>
        <w:jc w:val="left"/>
        <w:rPr>
          <w:sz w:val="16"/>
        </w:rPr>
      </w:pPr>
      <w:r>
        <w:rPr>
          <w:sz w:val="16"/>
        </w:rPr>
        <w:t>Also shown as Chart 2 in the Overview.</w:t>
      </w:r>
    </w:p>
    <w:p>
      <w:pPr>
        <w:spacing w:after="0" w:line="240" w:lineRule="auto"/>
        <w:jc w:val="left"/>
        <w:rPr>
          <w:sz w:val="16"/>
        </w:rPr>
        <w:sectPr>
          <w:pgSz w:w="11900" w:h="16840"/>
          <w:pgMar w:header="584" w:footer="617" w:top="780" w:bottom="800" w:left="640" w:right="600"/>
        </w:sectPr>
      </w:pPr>
    </w:p>
    <w:p>
      <w:pPr>
        <w:pStyle w:val="BodyText"/>
        <w:rPr>
          <w:sz w:val="20"/>
        </w:rPr>
      </w:pPr>
    </w:p>
    <w:p>
      <w:pPr>
        <w:pStyle w:val="BodyText"/>
        <w:rPr>
          <w:sz w:val="20"/>
        </w:rPr>
      </w:pPr>
    </w:p>
    <w:p>
      <w:pPr>
        <w:pStyle w:val="BodyText"/>
        <w:rPr>
          <w:sz w:val="20"/>
        </w:rPr>
      </w:pPr>
    </w:p>
    <w:p>
      <w:pPr>
        <w:pStyle w:val="BodyText"/>
        <w:rPr>
          <w:sz w:val="20"/>
        </w:rPr>
      </w:pPr>
    </w:p>
    <w:p>
      <w:pPr>
        <w:spacing w:after="0"/>
        <w:rPr>
          <w:sz w:val="20"/>
        </w:rPr>
        <w:sectPr>
          <w:pgSz w:w="11900" w:h="16840"/>
          <w:pgMar w:header="584" w:footer="597" w:top="780" w:bottom="780" w:left="640" w:right="600"/>
        </w:sectPr>
      </w:pPr>
    </w:p>
    <w:p>
      <w:pPr>
        <w:pStyle w:val="BodyText"/>
        <w:spacing w:before="1"/>
        <w:rPr>
          <w:sz w:val="23"/>
        </w:rPr>
      </w:pPr>
    </w:p>
    <w:p>
      <w:pPr>
        <w:pStyle w:val="Heading7"/>
        <w:spacing w:before="0"/>
        <w:ind w:left="169"/>
      </w:pPr>
      <w:bookmarkStart w:name="_bookmark32" w:id="80"/>
      <w:bookmarkEnd w:id="80"/>
      <w:r>
        <w:rPr>
          <w:b w:val="0"/>
        </w:rPr>
      </w:r>
      <w:r>
        <w:rPr>
          <w:color w:val="0093C1"/>
        </w:rPr>
        <w:t>Chart 6.2</w:t>
      </w:r>
    </w:p>
    <w:p>
      <w:pPr>
        <w:spacing w:line="249" w:lineRule="auto" w:before="10"/>
        <w:ind w:left="169" w:right="383" w:firstLine="0"/>
        <w:jc w:val="left"/>
        <w:rPr>
          <w:b/>
          <w:sz w:val="20"/>
        </w:rPr>
      </w:pPr>
      <w:r>
        <w:rPr>
          <w:b/>
          <w:color w:val="0093C1"/>
          <w:sz w:val="20"/>
        </w:rPr>
        <w:t>Current RPIX inflation projection based on constant nominal interest rates at 5.5%</w:t>
      </w:r>
    </w:p>
    <w:p>
      <w:pPr>
        <w:spacing w:before="170"/>
        <w:ind w:left="1912" w:right="0" w:firstLine="0"/>
        <w:jc w:val="left"/>
        <w:rPr>
          <w:sz w:val="12"/>
        </w:rPr>
      </w:pPr>
      <w:r>
        <w:rPr/>
        <w:pict>
          <v:line style="position:absolute;mso-position-horizontal-relative:page;mso-position-vertical-relative:paragraph;z-index:16070144" from="44.636002pt,16.434591pt" to="49.236002pt,16.434591pt" stroked="true" strokeweight=".5pt" strokecolor="#231f20">
            <v:stroke dashstyle="solid"/>
            <w10:wrap type="none"/>
          </v:line>
        </w:pict>
      </w:r>
      <w:r>
        <w:rPr/>
        <w:pict>
          <v:line style="position:absolute;mso-position-horizontal-relative:page;mso-position-vertical-relative:paragraph;z-index:-20944896" from="239.303003pt,16.434591pt" to="234.703003pt,16.434591pt" stroked="true" strokeweight=".5pt" strokecolor="#231f20">
            <v:stroke dashstyle="solid"/>
            <w10:wrap type="none"/>
          </v:line>
        </w:pict>
      </w:r>
      <w:r>
        <w:rPr>
          <w:sz w:val="12"/>
        </w:rPr>
        <w:t>Percentage increase in prices on a year earlier </w:t>
      </w:r>
      <w:r>
        <w:rPr>
          <w:position w:val="-6"/>
          <w:sz w:val="12"/>
        </w:rPr>
        <w:t>6</w:t>
      </w:r>
    </w:p>
    <w:p>
      <w:pPr>
        <w:pStyle w:val="BodyText"/>
        <w:spacing w:before="1"/>
        <w:rPr>
          <w:sz w:val="23"/>
        </w:rPr>
      </w:pPr>
      <w:r>
        <w:rPr/>
        <w:br w:type="column"/>
      </w:r>
      <w:r>
        <w:rPr>
          <w:sz w:val="23"/>
        </w:rPr>
      </w:r>
    </w:p>
    <w:p>
      <w:pPr>
        <w:pStyle w:val="Heading7"/>
        <w:spacing w:before="0"/>
        <w:ind w:left="168"/>
      </w:pPr>
      <w:r>
        <w:rPr>
          <w:color w:val="0093C1"/>
        </w:rPr>
        <w:t>Chart 6.3</w:t>
      </w:r>
    </w:p>
    <w:p>
      <w:pPr>
        <w:spacing w:line="249" w:lineRule="auto" w:before="10"/>
        <w:ind w:left="168" w:right="1527" w:firstLine="0"/>
        <w:jc w:val="left"/>
        <w:rPr>
          <w:b/>
          <w:sz w:val="20"/>
        </w:rPr>
      </w:pPr>
      <w:r>
        <w:rPr>
          <w:b/>
          <w:color w:val="0093C1"/>
          <w:sz w:val="20"/>
        </w:rPr>
        <w:t>RPIX inflation projection in November based on constant nominal interest rates at 6.75%</w:t>
      </w:r>
    </w:p>
    <w:p>
      <w:pPr>
        <w:spacing w:before="170"/>
        <w:ind w:left="1892" w:right="0" w:firstLine="0"/>
        <w:jc w:val="left"/>
        <w:rPr>
          <w:sz w:val="12"/>
        </w:rPr>
      </w:pPr>
      <w:r>
        <w:rPr/>
        <w:pict>
          <v:line style="position:absolute;mso-position-horizontal-relative:page;mso-position-vertical-relative:paragraph;z-index:16078336" from="283.635986pt,16.434591pt" to="288.235986pt,16.434591pt" stroked="true" strokeweight=".5pt" strokecolor="#231f20">
            <v:stroke dashstyle="solid"/>
            <w10:wrap type="none"/>
          </v:line>
        </w:pict>
      </w:r>
      <w:r>
        <w:rPr/>
        <w:pict>
          <v:line style="position:absolute;mso-position-horizontal-relative:page;mso-position-vertical-relative:paragraph;z-index:-20938752" from="476.303003pt,16.434591pt" to="471.703003pt,16.434591pt" stroked="true" strokeweight=".5pt" strokecolor="#231f20">
            <v:stroke dashstyle="solid"/>
            <w10:wrap type="none"/>
          </v:line>
        </w:pict>
      </w:r>
      <w:r>
        <w:rPr>
          <w:sz w:val="12"/>
        </w:rPr>
        <w:t>Percentage increase in prices on a year earlier </w:t>
      </w:r>
      <w:r>
        <w:rPr>
          <w:position w:val="-6"/>
          <w:sz w:val="12"/>
        </w:rPr>
        <w:t>6</w:t>
      </w:r>
    </w:p>
    <w:p>
      <w:pPr>
        <w:spacing w:after="0"/>
        <w:jc w:val="left"/>
        <w:rPr>
          <w:sz w:val="12"/>
        </w:rPr>
        <w:sectPr>
          <w:type w:val="continuous"/>
          <w:pgSz w:w="11900" w:h="16840"/>
          <w:pgMar w:top="1220" w:bottom="280" w:left="640" w:right="600"/>
          <w:cols w:num="2" w:equalWidth="0">
            <w:col w:w="4311" w:space="489"/>
            <w:col w:w="5860"/>
          </w:cols>
        </w:sectPr>
      </w:pPr>
    </w:p>
    <w:p>
      <w:pPr>
        <w:pStyle w:val="BodyText"/>
        <w:spacing w:before="8"/>
        <w:rPr>
          <w:sz w:val="22"/>
        </w:rPr>
      </w:pPr>
    </w:p>
    <w:p>
      <w:pPr>
        <w:tabs>
          <w:tab w:pos="8950" w:val="left" w:leader="none"/>
        </w:tabs>
        <w:spacing w:before="95"/>
        <w:ind w:left="4210" w:right="0" w:firstLine="0"/>
        <w:jc w:val="left"/>
        <w:rPr>
          <w:sz w:val="12"/>
        </w:rPr>
      </w:pPr>
      <w:r>
        <w:rPr/>
        <w:pict>
          <v:line style="position:absolute;mso-position-horizontal-relative:page;mso-position-vertical-relative:paragraph;z-index:16069632" from="44.636002pt,9.120573pt" to="49.236002pt,9.120573pt" stroked="true" strokeweight=".5pt" strokecolor="#231f20">
            <v:stroke dashstyle="solid"/>
            <w10:wrap type="none"/>
          </v:line>
        </w:pict>
      </w:r>
      <w:r>
        <w:rPr/>
        <w:pict>
          <v:line style="position:absolute;mso-position-horizontal-relative:page;mso-position-vertical-relative:paragraph;z-index:16072704" from="239.303003pt,9.120573pt" to="234.703003pt,9.120573pt" stroked="true" strokeweight=".5pt" strokecolor="#231f20">
            <v:stroke dashstyle="solid"/>
            <w10:wrap type="none"/>
          </v:line>
        </w:pict>
      </w:r>
      <w:r>
        <w:rPr/>
        <w:pict>
          <v:line style="position:absolute;mso-position-horizontal-relative:page;mso-position-vertical-relative:paragraph;z-index:-20940288" from="283.635986pt,9.120573pt" to="288.235986pt,9.120573pt" stroked="true" strokeweight=".5pt" strokecolor="#231f20">
            <v:stroke dashstyle="solid"/>
            <w10:wrap type="none"/>
          </v:line>
        </w:pict>
      </w:r>
      <w:r>
        <w:rPr/>
        <w:pict>
          <v:line style="position:absolute;mso-position-horizontal-relative:page;mso-position-vertical-relative:paragraph;z-index:-20939264" from="476.303003pt,9.120573pt" to="471.703003pt,9.120573pt" stroked="true" strokeweight=".5pt" strokecolor="#231f20">
            <v:stroke dashstyle="solid"/>
            <w10:wrap type="none"/>
          </v:line>
        </w:pict>
      </w:r>
      <w:r>
        <w:rPr>
          <w:sz w:val="12"/>
        </w:rPr>
        <w:t>5</w:t>
        <w:tab/>
        <w:t>5</w:t>
      </w:r>
    </w:p>
    <w:p>
      <w:pPr>
        <w:pStyle w:val="BodyText"/>
        <w:spacing w:before="8"/>
        <w:rPr>
          <w:sz w:val="22"/>
        </w:rPr>
      </w:pPr>
    </w:p>
    <w:p>
      <w:pPr>
        <w:tabs>
          <w:tab w:pos="8950" w:val="left" w:leader="none"/>
        </w:tabs>
        <w:spacing w:before="95"/>
        <w:ind w:left="4210" w:right="0" w:firstLine="0"/>
        <w:jc w:val="left"/>
        <w:rPr>
          <w:sz w:val="12"/>
        </w:rPr>
      </w:pPr>
      <w:r>
        <w:rPr/>
        <w:pict>
          <v:group style="position:absolute;margin-left:52.308998pt;margin-top:9.668337pt;width:178.4pt;height:75.5pt;mso-position-horizontal-relative:page;mso-position-vertical-relative:paragraph;z-index:16066560" coordorigin="1046,193" coordsize="3568,1510">
            <v:shape style="position:absolute;left:3471;top:193;width:1143;height:1510" coordorigin="3471,193" coordsize="1143,1510" path="m4613,193l4486,277,4360,317,4233,351,4106,376,3979,386,3852,494,3725,588,3598,766,3471,909,3598,1071,3725,1195,3852,1259,3979,1298,4106,1392,4233,1491,4360,1580,4486,1663,4613,1703,4613,193xe" filled="true" fillcolor="#fee7de" stroked="false">
              <v:path arrowok="t"/>
              <v:fill type="solid"/>
            </v:shape>
            <v:shape style="position:absolute;left:3471;top:350;width:1143;height:1175" coordorigin="3471,351" coordsize="1143,1175" path="m4613,351l4486,425,4360,454,4233,479,4106,494,3979,489,3852,583,3725,657,3598,800,3471,908,3598,1036,3725,1130,3852,1175,3979,1199,4106,1283,4233,1362,4360,1436,4486,1505,4613,1525,4613,351xe" filled="true" fillcolor="#fcd3c4" stroked="false">
              <v:path arrowok="t"/>
              <v:fill type="solid"/>
            </v:shape>
            <v:shape style="position:absolute;left:3471;top:455;width:1143;height:953" coordorigin="3471,455" coordsize="1143,953" path="m4613,455l4486,524,4360,549,4233,564,4106,573,3979,564,3852,642,3725,707,3598,825,3471,909,3598,1017,3725,1091,3852,1126,3979,1141,4106,1215,4233,1284,4360,1343,4486,1397,4613,1407,4613,455xe" filled="true" fillcolor="#fabeac" stroked="false">
              <v:path arrowok="t"/>
              <v:fill type="solid"/>
            </v:shape>
            <v:shape style="position:absolute;left:3471;top:533;width:1143;height:775" coordorigin="3471,534" coordsize="1143,775" path="m4613,534l4486,598,4360,618,4233,632,4106,637,3979,623,3852,692,3725,741,3598,845,3471,909,3598,1002,3725,1052,3852,1081,3979,1086,4106,1155,4233,1215,4360,1264,4486,1308,4613,1308,4613,534xe" filled="true" fillcolor="#f8aa95" stroked="false">
              <v:path arrowok="t"/>
              <v:fill type="solid"/>
            </v:shape>
            <v:shape style="position:absolute;left:3471;top:605;width:1143;height:632" coordorigin="3471,605" coordsize="1143,632" path="m4613,605l4486,665,4360,679,4233,689,4106,689,3979,665,3852,729,3725,773,3598,857,3471,906,3598,985,3725,1025,3852,1044,3979,1044,4106,1109,4233,1158,4360,1202,4486,1237,4613,1227,4613,605xe" filled="true" fillcolor="#f69780" stroked="false">
              <v:path arrowok="t"/>
              <v:fill type="solid"/>
            </v:shape>
            <v:shape style="position:absolute;left:3471;top:672;width:1143;height:499" coordorigin="3471,672" coordsize="1143,499" path="m4613,672l4486,727,4360,741,4106,741,3979,712,3852,771,3725,806,3598,875,3471,909,3598,973,3725,1003,3852,1013,3979,1008,4106,1067,4360,1146,4486,1171,4613,1156,4613,672xe" filled="true" fillcolor="#f5846d" stroked="false">
              <v:path arrowok="t"/>
              <v:fill type="solid"/>
            </v:shape>
            <v:shape style="position:absolute;left:3471;top:729;width:1143;height:380" coordorigin="3471,730" coordsize="1143,380" path="m4613,730l4486,784,4360,789,4233,789,4106,784,3979,755,3852,799,3725,829,3598,888,3471,907,3598,962,3725,977,3852,981,3979,972,4106,1026,4233,1060,4360,1090,4486,1110,4613,1085,4613,730xe" filled="true" fillcolor="#f3715b" stroked="false">
              <v:path arrowok="t"/>
              <v:fill type="solid"/>
            </v:shape>
            <v:shape style="position:absolute;left:3471;top:783;width:1143;height:267" coordorigin="3471,784" coordsize="1143,267" path="m4613,784l4486,833,4360,838,4233,838,4106,828,3979,794,3852,833,3725,858,3598,902,3471,907,3598,947,3725,951,3852,951,3979,932,4106,986,4233,1016,4360,1035,4486,1050,4613,1021,4613,784xe" filled="true" fillcolor="#f15b4a" stroked="false">
              <v:path arrowok="t"/>
              <v:fill type="solid"/>
            </v:shape>
            <v:shape style="position:absolute;left:3471;top:834;width:1143;height:163" coordorigin="3471,834" coordsize="1143,163" path="m3981,834l3854,869,3725,884,3598,918,3471,908,3598,938,3852,928,3979,903,4106,953,4233,972,4360,987,4486,997,4613,958,4613,839,4486,889,4360,889,4233,884,4106,874,3981,834xe" filled="true" fillcolor="#ed1b2d" stroked="false">
              <v:path arrowok="t"/>
              <v:fill type="solid"/>
            </v:shape>
            <v:shape style="position:absolute;left:1056;top:710;width:762;height:375" coordorigin="1056,710" coordsize="762,375" path="m1183,967l1056,824m1310,1085l1183,967m1437,1051l1310,1085m1564,779l1437,1051m1691,799l1564,779m1818,710l1691,799e" filled="false" stroked="true" strokeweight="1pt" strokecolor="#ed1b2d">
              <v:path arrowok="t"/>
              <v:stroke dashstyle="solid"/>
            </v:shape>
            <v:line style="position:absolute" from="1808,713" to="1954,713" stroked="true" strokeweight="1.246pt" strokecolor="#ed1b2d">
              <v:stroke dashstyle="solid"/>
            </v:line>
            <v:shape style="position:absolute;left:1944;top:567;width:1523;height:341" coordorigin="1944,567" coordsize="1523,341" path="m2071,760l1944,715m2198,779l2071,760m2325,740l2198,779m2452,567l2325,740m2579,745l2452,567m2706,893l2579,745m2833,755l2706,893m2960,799l2833,755m3087,898l2960,799m3213,681l3087,898m3340,888l3213,681m3467,908l3340,888e" filled="false" stroked="true" strokeweight="1pt" strokecolor="#ed1b2d">
              <v:path arrowok="t"/>
              <v:stroke dashstyle="solid"/>
            </v:shape>
            <v:shape style="position:absolute;left:1046;top:193;width:3568;height:1510" type="#_x0000_t202" filled="false" stroked="false">
              <v:textbox inset="0,0,0,0">
                <w:txbxContent>
                  <w:p>
                    <w:pPr>
                      <w:spacing w:line="240" w:lineRule="auto" w:before="0"/>
                      <w:rPr>
                        <w:sz w:val="12"/>
                      </w:rPr>
                    </w:pPr>
                  </w:p>
                  <w:p>
                    <w:pPr>
                      <w:spacing w:line="240" w:lineRule="auto" w:before="0"/>
                      <w:rPr>
                        <w:sz w:val="12"/>
                      </w:rPr>
                    </w:pPr>
                  </w:p>
                  <w:p>
                    <w:pPr>
                      <w:spacing w:line="240" w:lineRule="auto" w:before="0"/>
                      <w:rPr>
                        <w:sz w:val="12"/>
                      </w:rPr>
                    </w:pPr>
                  </w:p>
                  <w:p>
                    <w:pPr>
                      <w:spacing w:line="240" w:lineRule="auto" w:before="0"/>
                      <w:rPr>
                        <w:sz w:val="12"/>
                      </w:rPr>
                    </w:pPr>
                  </w:p>
                  <w:p>
                    <w:pPr>
                      <w:tabs>
                        <w:tab w:pos="3563" w:val="left" w:leader="none"/>
                      </w:tabs>
                      <w:spacing w:before="91"/>
                      <w:ind w:left="7" w:right="0" w:firstLine="0"/>
                      <w:jc w:val="left"/>
                      <w:rPr>
                        <w:sz w:val="12"/>
                      </w:rPr>
                    </w:pPr>
                    <w:r>
                      <w:rPr>
                        <w:sz w:val="12"/>
                        <w:u w:val="single"/>
                      </w:rPr>
                      <w:t> </w:t>
                      <w:tab/>
                    </w:r>
                  </w:p>
                </w:txbxContent>
              </v:textbox>
              <w10:wrap type="none"/>
            </v:shape>
            <w10:wrap type="none"/>
          </v:group>
        </w:pict>
      </w:r>
      <w:r>
        <w:rPr/>
        <w:pict>
          <v:line style="position:absolute;mso-position-horizontal-relative:page;mso-position-vertical-relative:paragraph;z-index:16069120" from="44.636002pt,9.119337pt" to="49.236002pt,9.119337pt" stroked="true" strokeweight=".5pt" strokecolor="#231f20">
            <v:stroke dashstyle="solid"/>
            <w10:wrap type="none"/>
          </v:line>
        </w:pict>
      </w:r>
      <w:r>
        <w:rPr/>
        <w:pict>
          <v:line style="position:absolute;mso-position-horizontal-relative:page;mso-position-vertical-relative:paragraph;z-index:16072192" from="239.303003pt,9.119337pt" to="234.703003pt,9.119337pt" stroked="true" strokeweight=".5pt" strokecolor="#231f20">
            <v:stroke dashstyle="solid"/>
            <w10:wrap type="none"/>
          </v:line>
        </w:pict>
      </w:r>
      <w:r>
        <w:rPr/>
        <w:pict>
          <v:group style="position:absolute;margin-left:291.421997pt;margin-top:8.869337pt;width:185.2pt;height:79.9pt;mso-position-horizontal-relative:page;mso-position-vertical-relative:paragraph;z-index:-20943360" coordorigin="5828,177" coordsize="3704,1598">
            <v:shape style="position:absolute;left:8207;top:205;width:1183;height:1569" coordorigin="8208,206" coordsize="1183,1569" path="m9390,206l9259,230,9128,250,8996,265,8865,290,8733,275,8602,378,8470,536,8339,724,8208,887,8339,1035,8470,1158,8602,1153,8733,1207,8865,1326,8996,1434,9128,1553,9259,1666,9390,1775,9390,206xe" filled="true" fillcolor="#fee7de" stroked="false">
              <v:path arrowok="t"/>
              <v:fill type="solid"/>
            </v:shape>
            <v:shape style="position:absolute;left:8207;top:368;width:1183;height:1224" coordorigin="8208,369" coordsize="1183,1224" path="m9390,369l9128,398,8996,408,8865,423,8733,393,8602,477,8470,615,8339,763,8208,887,8339,1005,8470,1099,8602,1079,8733,1118,8865,1227,8996,1316,9128,1414,9390,1592,9390,369xe" filled="true" fillcolor="#fcd3c4" stroked="false">
              <v:path arrowok="t"/>
              <v:fill type="solid"/>
            </v:shape>
            <v:shape style="position:absolute;left:8207;top:467;width:1183;height:1002" coordorigin="8208,467" coordsize="1183,1002" path="m8733,467l8602,541,8339,788,8208,886,8339,985,8470,1054,8602,1029,8733,1054,8865,1158,8996,1232,9128,1316,9259,1394,9390,1468,9390,477,9128,497,8996,497,8865,506,8733,467xe" filled="true" fillcolor="#fabeac" stroked="false">
              <v:path arrowok="t"/>
              <v:fill type="solid"/>
            </v:shape>
            <v:shape style="position:absolute;left:8207;top:532;width:1183;height:839" coordorigin="8208,532" coordsize="1183,839" path="m8733,532l8602,591,8470,705,8339,813,8208,887,8339,971,8470,1025,8602,991,8733,1011,8865,1109,8996,1173,9128,1243,9390,1371,9390,567,9128,577,8996,572,8865,577,8733,532xe" filled="true" fillcolor="#f8aa95" stroked="false">
              <v:path arrowok="t"/>
              <v:fill type="solid"/>
            </v:shape>
            <v:shape style="position:absolute;left:8207;top:587;width:1183;height:701" coordorigin="8208,587" coordsize="1183,701" path="m8733,587l8602,637,8470,745,8339,829,8208,888,8339,957,8470,997,8602,957,8733,967,8865,1061,8996,1115,9128,1179,9390,1288,9390,642,9128,642,8996,637,8865,637,8733,587xe" filled="true" fillcolor="#f69780" stroked="false">
              <v:path arrowok="t"/>
              <v:fill type="solid"/>
            </v:shape>
            <v:shape style="position:absolute;left:8207;top:635;width:1183;height:578" coordorigin="8208,636" coordsize="1183,578" path="m8733,636l8602,675,8470,774,8339,848,8208,887,8339,947,8470,971,8602,927,8733,932,8865,1021,8996,1065,9128,1119,9259,1169,9390,1213,9390,710,9259,705,9128,705,8996,690,8865,690,8733,636xe" filled="true" fillcolor="#f5846d" stroked="false">
              <v:path arrowok="t"/>
              <v:fill type="solid"/>
            </v:shape>
            <v:shape style="position:absolute;left:8207;top:679;width:1183;height:464" coordorigin="8208,679" coordsize="1183,464" path="m8733,679l8602,714,8470,803,8339,862,8208,886,8339,931,8470,951,8602,896,8733,896,8865,980,8996,1020,9128,1064,9390,1143,9390,773,9259,768,9128,758,8996,743,8865,738,8733,679xe" filled="true" fillcolor="#f3715b" stroked="false">
              <v:path arrowok="t"/>
              <v:fill type="solid"/>
            </v:shape>
            <v:shape style="position:absolute;left:8207;top:720;width:1183;height:356" coordorigin="8208,721" coordsize="1183,356" path="m8733,721l8602,750,8470,834,8339,873,8208,888,8339,923,8470,928,8602,869,8733,869,8865,947,8996,977,9128,1017,9390,1076,9390,834,9128,814,8996,795,8865,785,8733,721xe" filled="true" fillcolor="#f15b4a" stroked="false">
              <v:path arrowok="t"/>
              <v:fill type="solid"/>
            </v:shape>
            <v:shape style="position:absolute;left:8207;top:765;width:1183;height:247" coordorigin="8208,765" coordsize="1183,247" path="m8736,765l8602,785,8470,864,8339,889,8208,889,8339,913,8470,908,8602,844,8733,834,8865,913,8996,933,9128,968,9259,987,9390,1012,9390,889,9259,879,9128,864,8996,844,8867,834,8736,765xe" filled="true" fillcolor="#ed1b2d" stroked="false">
              <v:path arrowok="t"/>
              <v:fill type="solid"/>
            </v:shape>
            <v:shape style="position:absolute;left:9434;top:182;width:92;height:1480" coordorigin="9434,182" coordsize="92,1480" path="m9526,1662l9434,1662m9526,1169l9434,1169m9526,676l9434,676m9526,182l9434,182e" filled="false" stroked="true" strokeweight=".5pt" strokecolor="#231f20">
              <v:path arrowok="t"/>
              <v:stroke dashstyle="solid"/>
            </v:shape>
            <v:shape style="position:absolute;left:5838;top:710;width:789;height:375" coordorigin="5838,710" coordsize="789,375" path="m5970,967l5838,824m6101,1085l5970,967m6233,1051l6101,1085m6364,779l6233,1051m6496,799l6364,779m6627,710l6496,799e" filled="false" stroked="true" strokeweight="1pt" strokecolor="#ed1b2d">
              <v:path arrowok="t"/>
              <v:stroke dashstyle="solid"/>
            </v:shape>
            <v:line style="position:absolute" from="6617,713" to="6768,713" stroked="true" strokeweight="1.246pt" strokecolor="#ed1b2d">
              <v:stroke dashstyle="solid"/>
            </v:line>
            <v:shape style="position:absolute;left:6758;top:567;width:1446;height:331" coordorigin="6758,567" coordsize="1446,331" path="m6890,760l6758,715m7021,779l6890,760m7153,740l7021,779m7284,567l7153,740m7416,745l7284,567m7547,893l7416,745m7678,755l7547,893m7810,799l7678,755m7941,898l7810,799m8073,681l7941,898m8204,888l8073,681e" filled="false" stroked="true" strokeweight="1pt" strokecolor="#ed1b2d">
              <v:path arrowok="t"/>
              <v:stroke dashstyle="solid"/>
            </v:shape>
            <v:line style="position:absolute" from="9532,916" to="9440,916" stroked="true" strokeweight=".5pt" strokecolor="#000000">
              <v:stroke dashstyle="solid"/>
            </v:line>
            <v:shape style="position:absolute;left:5828;top:177;width:3704;height:1598" type="#_x0000_t202" filled="false" stroked="false">
              <v:textbox inset="0,0,0,0">
                <w:txbxContent>
                  <w:p>
                    <w:pPr>
                      <w:spacing w:line="240" w:lineRule="auto" w:before="0"/>
                      <w:rPr>
                        <w:sz w:val="12"/>
                      </w:rPr>
                    </w:pPr>
                  </w:p>
                  <w:p>
                    <w:pPr>
                      <w:spacing w:line="240" w:lineRule="auto" w:before="0"/>
                      <w:rPr>
                        <w:sz w:val="12"/>
                      </w:rPr>
                    </w:pPr>
                  </w:p>
                  <w:p>
                    <w:pPr>
                      <w:spacing w:line="240" w:lineRule="auto" w:before="0"/>
                      <w:rPr>
                        <w:sz w:val="12"/>
                      </w:rPr>
                    </w:pPr>
                  </w:p>
                  <w:p>
                    <w:pPr>
                      <w:spacing w:line="240" w:lineRule="auto" w:before="0"/>
                      <w:rPr>
                        <w:sz w:val="12"/>
                      </w:rPr>
                    </w:pPr>
                  </w:p>
                  <w:p>
                    <w:pPr>
                      <w:tabs>
                        <w:tab w:pos="3550" w:val="left" w:leader="none"/>
                      </w:tabs>
                      <w:spacing w:before="107"/>
                      <w:ind w:left="4" w:right="0" w:firstLine="0"/>
                      <w:jc w:val="left"/>
                      <w:rPr>
                        <w:sz w:val="12"/>
                      </w:rPr>
                    </w:pPr>
                    <w:r>
                      <w:rPr>
                        <w:sz w:val="12"/>
                        <w:u w:val="single"/>
                      </w:rPr>
                      <w:t> </w:t>
                      <w:tab/>
                    </w:r>
                  </w:p>
                </w:txbxContent>
              </v:textbox>
              <w10:wrap type="none"/>
            </v:shape>
            <w10:wrap type="none"/>
          </v:group>
        </w:pict>
      </w:r>
      <w:r>
        <w:rPr/>
        <w:pict>
          <v:line style="position:absolute;mso-position-horizontal-relative:page;mso-position-vertical-relative:paragraph;z-index:-20940800" from="283.635986pt,9.119337pt" to="288.235986pt,9.119337pt" stroked="true" strokeweight=".5pt" strokecolor="#231f20">
            <v:stroke dashstyle="solid"/>
            <w10:wrap type="none"/>
          </v:line>
        </w:pict>
      </w:r>
      <w:r>
        <w:rPr>
          <w:sz w:val="12"/>
        </w:rPr>
        <w:t>4</w:t>
        <w:tab/>
        <w:t>4</w:t>
      </w:r>
    </w:p>
    <w:p>
      <w:pPr>
        <w:pStyle w:val="BodyText"/>
        <w:spacing w:before="7"/>
        <w:rPr>
          <w:sz w:val="22"/>
        </w:rPr>
      </w:pPr>
    </w:p>
    <w:p>
      <w:pPr>
        <w:spacing w:after="0"/>
        <w:rPr>
          <w:sz w:val="22"/>
        </w:rPr>
        <w:sectPr>
          <w:type w:val="continuous"/>
          <w:pgSz w:w="11900" w:h="16840"/>
          <w:pgMar w:top="1220" w:bottom="280" w:left="640" w:right="600"/>
        </w:sectPr>
      </w:pPr>
    </w:p>
    <w:p>
      <w:pPr>
        <w:spacing w:before="95"/>
        <w:ind w:left="0" w:right="137" w:firstLine="0"/>
        <w:jc w:val="right"/>
        <w:rPr>
          <w:sz w:val="12"/>
        </w:rPr>
      </w:pPr>
      <w:r>
        <w:rPr/>
        <w:pict>
          <v:line style="position:absolute;mso-position-horizontal-relative:page;mso-position-vertical-relative:paragraph;z-index:16068608" from="44.636002pt,9.119162pt" to="49.236002pt,9.119162pt" stroked="true" strokeweight=".5pt" strokecolor="#231f20">
            <v:stroke dashstyle="solid"/>
            <w10:wrap type="none"/>
          </v:line>
        </w:pict>
      </w:r>
      <w:r>
        <w:rPr/>
        <w:pict>
          <v:line style="position:absolute;mso-position-horizontal-relative:page;mso-position-vertical-relative:paragraph;z-index:16071680" from="239.303003pt,9.119162pt" to="234.703003pt,9.119162pt" stroked="true" strokeweight=".5pt" strokecolor="#231f20">
            <v:stroke dashstyle="solid"/>
            <w10:wrap type="none"/>
          </v:line>
        </w:pict>
      </w:r>
      <w:r>
        <w:rPr>
          <w:sz w:val="12"/>
        </w:rPr>
        <w:t>3</w:t>
      </w:r>
    </w:p>
    <w:p>
      <w:pPr>
        <w:pStyle w:val="BodyText"/>
        <w:spacing w:before="7"/>
        <w:rPr>
          <w:sz w:val="9"/>
        </w:rPr>
      </w:pPr>
    </w:p>
    <w:p>
      <w:pPr>
        <w:spacing w:before="0"/>
        <w:ind w:left="0" w:right="38" w:firstLine="0"/>
        <w:jc w:val="right"/>
        <w:rPr>
          <w:sz w:val="12"/>
        </w:rPr>
      </w:pPr>
      <w:r>
        <w:rPr>
          <w:sz w:val="12"/>
          <w:u w:val="single"/>
        </w:rPr>
        <w:t>   </w:t>
      </w:r>
      <w:r>
        <w:rPr>
          <w:sz w:val="12"/>
        </w:rPr>
        <w:t>  2.5</w:t>
      </w:r>
    </w:p>
    <w:p>
      <w:pPr>
        <w:spacing w:before="107"/>
        <w:ind w:left="0" w:right="137" w:firstLine="0"/>
        <w:jc w:val="right"/>
        <w:rPr>
          <w:sz w:val="12"/>
        </w:rPr>
      </w:pPr>
      <w:r>
        <w:rPr/>
        <w:pict>
          <v:line style="position:absolute;mso-position-horizontal-relative:page;mso-position-vertical-relative:paragraph;z-index:16068096" from="44.636002pt,9.718987pt" to="49.236002pt,9.718987pt" stroked="true" strokeweight=".5pt" strokecolor="#231f20">
            <v:stroke dashstyle="solid"/>
            <w10:wrap type="none"/>
          </v:line>
        </w:pict>
      </w:r>
      <w:r>
        <w:rPr/>
        <w:pict>
          <v:line style="position:absolute;mso-position-horizontal-relative:page;mso-position-vertical-relative:paragraph;z-index:16071168" from="239.303003pt,9.718987pt" to="234.703003pt,9.718987pt" stroked="true" strokeweight=".5pt" strokecolor="#231f20">
            <v:stroke dashstyle="solid"/>
            <w10:wrap type="none"/>
          </v:line>
        </w:pict>
      </w:r>
      <w:r>
        <w:rPr>
          <w:sz w:val="12"/>
        </w:rPr>
        <w:t>2</w:t>
      </w:r>
    </w:p>
    <w:p>
      <w:pPr>
        <w:spacing w:before="95"/>
        <w:ind w:left="0" w:right="1647" w:firstLine="0"/>
        <w:jc w:val="right"/>
        <w:rPr>
          <w:sz w:val="12"/>
        </w:rPr>
      </w:pPr>
      <w:r>
        <w:rPr/>
        <w:br w:type="column"/>
      </w:r>
      <w:r>
        <w:rPr>
          <w:sz w:val="12"/>
        </w:rPr>
        <w:t>3</w:t>
      </w:r>
    </w:p>
    <w:p>
      <w:pPr>
        <w:spacing w:before="91"/>
        <w:ind w:left="0" w:right="1548" w:firstLine="0"/>
        <w:jc w:val="right"/>
        <w:rPr>
          <w:sz w:val="12"/>
        </w:rPr>
      </w:pPr>
      <w:r>
        <w:rPr/>
        <w:pict>
          <v:line style="position:absolute;mso-position-horizontal-relative:page;mso-position-vertical-relative:paragraph;z-index:16076800" from="283.635986pt,-2.515226pt" to="288.235986pt,-2.515226pt" stroked="true" strokeweight=".5pt" strokecolor="#231f20">
            <v:stroke dashstyle="solid"/>
            <w10:wrap type="none"/>
          </v:line>
        </w:pict>
      </w:r>
      <w:r>
        <w:rPr>
          <w:sz w:val="12"/>
        </w:rPr>
        <w:t>2.5</w:t>
      </w:r>
    </w:p>
    <w:p>
      <w:pPr>
        <w:pStyle w:val="BodyText"/>
        <w:rPr>
          <w:sz w:val="11"/>
        </w:rPr>
      </w:pPr>
    </w:p>
    <w:p>
      <w:pPr>
        <w:spacing w:before="0"/>
        <w:ind w:left="0" w:right="1647" w:firstLine="0"/>
        <w:jc w:val="right"/>
        <w:rPr>
          <w:sz w:val="12"/>
        </w:rPr>
      </w:pPr>
      <w:r>
        <w:rPr/>
        <w:pict>
          <v:line style="position:absolute;mso-position-horizontal-relative:page;mso-position-vertical-relative:paragraph;z-index:16076288" from="283.635986pt,4.368986pt" to="288.235986pt,4.368986pt" stroked="true" strokeweight=".5pt" strokecolor="#231f20">
            <v:stroke dashstyle="solid"/>
            <w10:wrap type="none"/>
          </v:line>
        </w:pict>
      </w:r>
      <w:r>
        <w:rPr>
          <w:sz w:val="12"/>
        </w:rPr>
        <w:t>2</w:t>
      </w:r>
    </w:p>
    <w:p>
      <w:pPr>
        <w:spacing w:after="0"/>
        <w:jc w:val="right"/>
        <w:rPr>
          <w:sz w:val="12"/>
        </w:rPr>
        <w:sectPr>
          <w:type w:val="continuous"/>
          <w:pgSz w:w="11900" w:h="16840"/>
          <w:pgMar w:top="1220" w:bottom="280" w:left="640" w:right="600"/>
          <w:cols w:num="2" w:equalWidth="0">
            <w:col w:w="4410" w:space="484"/>
            <w:col w:w="5766"/>
          </w:cols>
        </w:sectPr>
      </w:pPr>
    </w:p>
    <w:p>
      <w:pPr>
        <w:pStyle w:val="BodyText"/>
        <w:spacing w:before="7"/>
        <w:rPr>
          <w:sz w:val="22"/>
        </w:rPr>
      </w:pPr>
    </w:p>
    <w:p>
      <w:pPr>
        <w:tabs>
          <w:tab w:pos="8950" w:val="left" w:leader="none"/>
        </w:tabs>
        <w:spacing w:before="95"/>
        <w:ind w:left="4210" w:right="0" w:firstLine="0"/>
        <w:jc w:val="left"/>
        <w:rPr>
          <w:sz w:val="12"/>
        </w:rPr>
      </w:pPr>
      <w:r>
        <w:rPr/>
        <w:pict>
          <v:line style="position:absolute;mso-position-horizontal-relative:page;mso-position-vertical-relative:paragraph;z-index:16067584" from="44.636002pt,9.117750pt" to="49.236002pt,9.117750pt" stroked="true" strokeweight=".5pt" strokecolor="#231f20">
            <v:stroke dashstyle="solid"/>
            <w10:wrap type="none"/>
          </v:line>
        </w:pict>
      </w:r>
      <w:r>
        <w:rPr/>
        <w:pict>
          <v:line style="position:absolute;mso-position-horizontal-relative:page;mso-position-vertical-relative:paragraph;z-index:16070656" from="239.303003pt,9.117750pt" to="234.703003pt,9.117750pt" stroked="true" strokeweight=".5pt" strokecolor="#231f20">
            <v:stroke dashstyle="solid"/>
            <w10:wrap type="none"/>
          </v:line>
        </w:pict>
      </w:r>
      <w:r>
        <w:rPr/>
        <w:pict>
          <v:line style="position:absolute;mso-position-horizontal-relative:page;mso-position-vertical-relative:paragraph;z-index:-20942336" from="283.635986pt,9.117750pt" to="288.235986pt,9.117750pt" stroked="true" strokeweight=".5pt" strokecolor="#231f20">
            <v:stroke dashstyle="solid"/>
            <w10:wrap type="none"/>
          </v:line>
        </w:pict>
      </w:r>
      <w:r>
        <w:rPr>
          <w:sz w:val="12"/>
        </w:rPr>
        <w:t>1</w:t>
        <w:tab/>
        <w:t>1</w:t>
      </w:r>
    </w:p>
    <w:p>
      <w:pPr>
        <w:pStyle w:val="BodyText"/>
        <w:spacing w:before="8"/>
        <w:rPr>
          <w:sz w:val="22"/>
        </w:rPr>
      </w:pPr>
    </w:p>
    <w:p>
      <w:pPr>
        <w:spacing w:after="0"/>
        <w:rPr>
          <w:sz w:val="22"/>
        </w:rPr>
        <w:sectPr>
          <w:type w:val="continuous"/>
          <w:pgSz w:w="11900" w:h="16840"/>
          <w:pgMar w:top="1220" w:bottom="280" w:left="640" w:right="600"/>
        </w:sectPr>
      </w:pPr>
    </w:p>
    <w:p>
      <w:pPr>
        <w:pStyle w:val="BodyText"/>
        <w:rPr>
          <w:sz w:val="12"/>
        </w:rPr>
      </w:pPr>
    </w:p>
    <w:p>
      <w:pPr>
        <w:tabs>
          <w:tab w:pos="1128" w:val="left" w:leader="none"/>
        </w:tabs>
        <w:spacing w:before="73"/>
        <w:ind w:left="569" w:right="0" w:firstLine="0"/>
        <w:jc w:val="left"/>
        <w:rPr>
          <w:sz w:val="12"/>
        </w:rPr>
      </w:pPr>
      <w:r>
        <w:rPr>
          <w:sz w:val="12"/>
        </w:rPr>
        <w:t>1994</w:t>
        <w:tab/>
      </w:r>
      <w:r>
        <w:rPr>
          <w:spacing w:val="-10"/>
          <w:sz w:val="12"/>
        </w:rPr>
        <w:t>95</w:t>
      </w:r>
    </w:p>
    <w:p>
      <w:pPr>
        <w:pStyle w:val="BodyText"/>
        <w:rPr>
          <w:sz w:val="12"/>
        </w:rPr>
      </w:pPr>
      <w:r>
        <w:rPr/>
        <w:br w:type="column"/>
      </w:r>
      <w:r>
        <w:rPr>
          <w:sz w:val="12"/>
        </w:rPr>
      </w:r>
    </w:p>
    <w:p>
      <w:pPr>
        <w:tabs>
          <w:tab w:pos="853" w:val="left" w:leader="none"/>
        </w:tabs>
        <w:spacing w:before="73"/>
        <w:ind w:left="346" w:right="0" w:firstLine="0"/>
        <w:jc w:val="left"/>
        <w:rPr>
          <w:sz w:val="12"/>
        </w:rPr>
      </w:pPr>
      <w:r>
        <w:rPr>
          <w:sz w:val="12"/>
        </w:rPr>
        <w:t>96</w:t>
        <w:tab/>
      </w:r>
      <w:r>
        <w:rPr>
          <w:spacing w:val="-10"/>
          <w:sz w:val="12"/>
        </w:rPr>
        <w:t>97</w:t>
      </w:r>
    </w:p>
    <w:p>
      <w:pPr>
        <w:pStyle w:val="BodyText"/>
        <w:rPr>
          <w:sz w:val="12"/>
        </w:rPr>
      </w:pPr>
      <w:r>
        <w:rPr/>
        <w:br w:type="column"/>
      </w:r>
      <w:r>
        <w:rPr>
          <w:sz w:val="12"/>
        </w:rPr>
      </w:r>
    </w:p>
    <w:p>
      <w:pPr>
        <w:tabs>
          <w:tab w:pos="853" w:val="left" w:leader="none"/>
        </w:tabs>
        <w:spacing w:before="73"/>
        <w:ind w:left="346" w:right="0" w:firstLine="0"/>
        <w:jc w:val="left"/>
        <w:rPr>
          <w:sz w:val="12"/>
        </w:rPr>
      </w:pPr>
      <w:r>
        <w:rPr>
          <w:sz w:val="12"/>
        </w:rPr>
        <w:t>98</w:t>
        <w:tab/>
      </w:r>
      <w:r>
        <w:rPr>
          <w:spacing w:val="-10"/>
          <w:sz w:val="12"/>
        </w:rPr>
        <w:t>99</w:t>
      </w:r>
    </w:p>
    <w:p>
      <w:pPr>
        <w:spacing w:line="127" w:lineRule="exact" w:before="95"/>
        <w:ind w:left="894" w:right="0" w:firstLine="0"/>
        <w:jc w:val="left"/>
        <w:rPr>
          <w:sz w:val="12"/>
        </w:rPr>
      </w:pPr>
      <w:r>
        <w:rPr/>
        <w:br w:type="column"/>
      </w:r>
      <w:r>
        <w:rPr>
          <w:sz w:val="12"/>
        </w:rPr>
        <w:t>0</w:t>
      </w:r>
    </w:p>
    <w:p>
      <w:pPr>
        <w:spacing w:line="127" w:lineRule="exact" w:before="0"/>
        <w:ind w:left="274" w:right="0" w:firstLine="0"/>
        <w:jc w:val="left"/>
        <w:rPr>
          <w:sz w:val="12"/>
        </w:rPr>
      </w:pPr>
      <w:r>
        <w:rPr/>
        <w:pict>
          <v:shape style="position:absolute;margin-left:44.636002pt;margin-top:-6.676631pt;width:186.05pt;height:4.8pt;mso-position-horizontal-relative:page;mso-position-vertical-relative:paragraph;z-index:16067072" coordorigin="893,-134" coordsize="3721,96" path="m1049,-40l4610,-40m1057,-39l1057,-131m1185,-46l1185,-83m1307,-46l1307,-83m1441,-45l1441,-82m1566,-40l1566,-132m1689,-44l1689,-81m1817,-46l1817,-83m1943,-45l1943,-82m2071,-39l2071,-131m2201,-45l2201,-82m2325,-45l2325,-82m2449,-44l2449,-81m2578,-41l2578,-134m2707,-46l2707,-83m2832,-46l2832,-83m2960,-46l2960,-83m3084,-40l3084,-132m3210,-46l3210,-83m3340,-46l3340,-83m3466,-46l3466,-83m3596,-43l3596,-133m3726,-44l3726,-81m3849,-44l3849,-81m3976,-44l3976,-81m4105,-39l4105,-132m4486,-44l4486,-81m893,-40l985,-40m4356,-45l4356,-82m4229,-42l4229,-85m4613,-38l4613,-131e" filled="false" stroked="true" strokeweight=".5pt" strokecolor="#231f20">
            <v:path arrowok="t"/>
            <v:stroke dashstyle="solid"/>
            <w10:wrap type="none"/>
          </v:shape>
        </w:pict>
      </w:r>
      <w:r>
        <w:rPr/>
        <w:pict>
          <v:line style="position:absolute;mso-position-horizontal-relative:page;mso-position-vertical-relative:paragraph;z-index:16073728" from="239.269998pt,-2.326631pt" to="234.669998pt,-2.326631pt" stroked="true" strokeweight=".5pt" strokecolor="#000000">
            <v:stroke dashstyle="solid"/>
            <w10:wrap type="none"/>
          </v:line>
        </w:pict>
      </w:r>
      <w:r>
        <w:rPr>
          <w:sz w:val="12"/>
        </w:rPr>
        <w:t>2000 01</w:t>
      </w:r>
    </w:p>
    <w:p>
      <w:pPr>
        <w:pStyle w:val="BodyText"/>
        <w:rPr>
          <w:sz w:val="12"/>
        </w:rPr>
      </w:pPr>
      <w:r>
        <w:rPr/>
        <w:br w:type="column"/>
      </w:r>
      <w:r>
        <w:rPr>
          <w:sz w:val="12"/>
        </w:rPr>
      </w:r>
    </w:p>
    <w:p>
      <w:pPr>
        <w:tabs>
          <w:tab w:pos="1148" w:val="left" w:leader="none"/>
          <w:tab w:pos="1688" w:val="left" w:leader="none"/>
          <w:tab w:pos="2202" w:val="left" w:leader="none"/>
          <w:tab w:pos="2742" w:val="left" w:leader="none"/>
          <w:tab w:pos="3255" w:val="left" w:leader="none"/>
        </w:tabs>
        <w:spacing w:before="105"/>
        <w:ind w:left="568" w:right="0" w:firstLine="0"/>
        <w:jc w:val="left"/>
        <w:rPr>
          <w:sz w:val="12"/>
        </w:rPr>
      </w:pPr>
      <w:r>
        <w:rPr>
          <w:sz w:val="12"/>
        </w:rPr>
        <w:t>1994</w:t>
        <w:tab/>
        <w:t>95</w:t>
        <w:tab/>
        <w:t>96</w:t>
        <w:tab/>
        <w:t>97</w:t>
        <w:tab/>
        <w:t>98</w:t>
        <w:tab/>
      </w:r>
      <w:r>
        <w:rPr>
          <w:spacing w:val="-10"/>
          <w:sz w:val="12"/>
        </w:rPr>
        <w:t>99</w:t>
      </w:r>
    </w:p>
    <w:p>
      <w:pPr>
        <w:spacing w:before="95"/>
        <w:ind w:left="757" w:right="0" w:firstLine="0"/>
        <w:jc w:val="left"/>
        <w:rPr>
          <w:sz w:val="12"/>
        </w:rPr>
      </w:pPr>
      <w:r>
        <w:rPr/>
        <w:br w:type="column"/>
      </w:r>
      <w:r>
        <w:rPr>
          <w:sz w:val="12"/>
        </w:rPr>
        <w:t>0</w:t>
      </w:r>
    </w:p>
    <w:p>
      <w:pPr>
        <w:spacing w:before="10"/>
        <w:ind w:left="299" w:right="0" w:firstLine="0"/>
        <w:jc w:val="left"/>
        <w:rPr>
          <w:sz w:val="12"/>
        </w:rPr>
      </w:pPr>
      <w:r>
        <w:rPr/>
        <w:pict>
          <v:group style="position:absolute;margin-left:283.635986pt;margin-top:-7.998409pt;width:192.65pt;height:5.7pt;mso-position-horizontal-relative:page;mso-position-vertical-relative:paragraph;z-index:16075264" coordorigin="5673,-160" coordsize="3853,114">
            <v:shape style="position:absolute;left:5672;top:-160;width:3722;height:109" coordorigin="5673,-160" coordsize="3722,109" path="m5829,-51l9395,-51m5829,-64l5829,-157m5978,-58l5978,-95m6109,-58l6109,-95m6240,-58l6240,-95m6365,-55l6365,-147m6503,-58l6503,-95m6635,-58l6635,-95m6766,-58l6766,-95m6912,-55l6912,-147m7029,-58l7029,-95m7160,-58l7160,-95m7292,-58l7292,-95m7437,-55l7437,-147m7555,-58l7555,-95m7686,-58l7686,-95m7818,-58l7818,-95m7942,-67l7942,-160m8080,-58l8080,-95m8212,-58l8212,-95m8343,-58l8343,-95m8467,-58l8467,-151m8606,-58l8606,-95m8738,-58l8738,-95m8862,-60l8862,-97m8997,-62l8997,-155m9263,-58l9263,-95m9395,-58l9395,-95m5673,-51l5765,-51e" filled="false" stroked="true" strokeweight=".5pt" strokecolor="#231f20">
              <v:path arrowok="t"/>
              <v:stroke dashstyle="solid"/>
            </v:shape>
            <v:line style="position:absolute" from="9525,-58" to="9433,-58" stroked="true" strokeweight=".5pt" strokecolor="#000000">
              <v:stroke dashstyle="solid"/>
            </v:line>
            <v:line style="position:absolute" from="9129,-57" to="9129,-94" stroked="true" strokeweight=".5pt" strokecolor="#231f20">
              <v:stroke dashstyle="solid"/>
            </v:line>
            <w10:wrap type="none"/>
          </v:group>
        </w:pict>
      </w:r>
      <w:r>
        <w:rPr>
          <w:sz w:val="12"/>
        </w:rPr>
        <w:t>2000</w:t>
      </w:r>
    </w:p>
    <w:p>
      <w:pPr>
        <w:spacing w:after="0"/>
        <w:jc w:val="left"/>
        <w:rPr>
          <w:sz w:val="12"/>
        </w:rPr>
        <w:sectPr>
          <w:type w:val="continuous"/>
          <w:pgSz w:w="11900" w:h="16840"/>
          <w:pgMar w:top="1220" w:bottom="280" w:left="640" w:right="600"/>
          <w:cols w:num="6" w:equalWidth="0">
            <w:col w:w="1250" w:space="40"/>
            <w:col w:w="974" w:space="39"/>
            <w:col w:w="974" w:space="39"/>
            <w:col w:w="995" w:space="466"/>
            <w:col w:w="3376" w:space="40"/>
            <w:col w:w="2467"/>
          </w:cols>
        </w:sectPr>
      </w:pPr>
    </w:p>
    <w:p>
      <w:pPr>
        <w:pStyle w:val="BodyText"/>
        <w:spacing w:before="7"/>
        <w:rPr>
          <w:sz w:val="23"/>
        </w:rPr>
      </w:pPr>
    </w:p>
    <w:p>
      <w:pPr>
        <w:spacing w:line="208" w:lineRule="auto" w:before="113"/>
        <w:ind w:left="168" w:right="896" w:firstLine="0"/>
        <w:jc w:val="left"/>
        <w:rPr>
          <w:sz w:val="16"/>
        </w:rPr>
      </w:pPr>
      <w:r>
        <w:rPr>
          <w:sz w:val="16"/>
        </w:rPr>
        <w:t>The fan chart depicting the probability distribution for inflation is rather like a contour map. At any given point during the forecast period, the depth of shading represents the height of the probability density function over a range of outcomes for inflation. The darkest band includes the central (single most likely) projection and covers 10% of the probability. Each successive pair of bands is drawn to cover a further 10% of the probability, until 90% of the probability distribution is covered. The bands widen as the time horizon is extended, indicating increasing uncertainty about outcomes. See box on page 52.</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19"/>
        </w:rPr>
      </w:pPr>
    </w:p>
    <w:p>
      <w:pPr>
        <w:spacing w:after="0"/>
        <w:rPr>
          <w:sz w:val="19"/>
        </w:rPr>
        <w:sectPr>
          <w:type w:val="continuous"/>
          <w:pgSz w:w="11900" w:h="16840"/>
          <w:pgMar w:top="1220" w:bottom="280" w:left="640" w:right="600"/>
        </w:sectPr>
      </w:pPr>
    </w:p>
    <w:p>
      <w:pPr>
        <w:pStyle w:val="Heading7"/>
        <w:spacing w:before="102"/>
        <w:ind w:left="169"/>
      </w:pPr>
      <w:r>
        <w:rPr>
          <w:color w:val="0093C1"/>
        </w:rPr>
        <w:t>Chart 6.4</w:t>
      </w:r>
    </w:p>
    <w:p>
      <w:pPr>
        <w:spacing w:line="249" w:lineRule="auto" w:before="10"/>
        <w:ind w:left="169" w:right="237" w:firstLine="0"/>
        <w:jc w:val="left"/>
        <w:rPr>
          <w:b/>
          <w:sz w:val="20"/>
        </w:rPr>
      </w:pPr>
      <w:r>
        <w:rPr>
          <w:b/>
          <w:color w:val="0093C1"/>
          <w:sz w:val="20"/>
        </w:rPr>
        <w:t>Current projection for the percentage increase in RPIX in the year to 2001 Q1</w:t>
      </w:r>
    </w:p>
    <w:p>
      <w:pPr>
        <w:spacing w:line="127" w:lineRule="exact" w:before="76"/>
        <w:ind w:left="2955" w:right="0" w:firstLine="0"/>
        <w:jc w:val="left"/>
        <w:rPr>
          <w:sz w:val="12"/>
        </w:rPr>
      </w:pPr>
      <w:r>
        <w:rPr>
          <w:w w:val="105"/>
          <w:sz w:val="12"/>
        </w:rPr>
        <w:t>Probability in per cent (a)</w:t>
      </w:r>
    </w:p>
    <w:p>
      <w:pPr>
        <w:spacing w:line="127" w:lineRule="exact" w:before="0"/>
        <w:ind w:left="4303" w:right="0" w:firstLine="0"/>
        <w:jc w:val="left"/>
        <w:rPr>
          <w:sz w:val="12"/>
        </w:rPr>
      </w:pPr>
      <w:r>
        <w:rPr/>
        <w:pict>
          <v:shape style="position:absolute;margin-left:41.346001pt;margin-top:3.632164pt;width:5.95pt;height:.1pt;mso-position-horizontal-relative:page;mso-position-vertical-relative:paragraph;z-index:16080896" coordorigin="827,73" coordsize="119,0" path="m827,73l945,73m827,73l945,73m827,73l945,73m827,73l945,73m827,73l945,73m827,73l945,73m827,73l945,73m827,73l945,73m827,73l945,73m827,73l945,73m827,73l945,73m827,73l945,73m827,73l945,73m827,73l945,73m827,73l945,73m827,73l945,73m827,73l945,73e" filled="false" stroked="true" strokeweight=".5pt" strokecolor="#000000">
            <v:path arrowok="t"/>
            <v:stroke dashstyle="solid"/>
            <w10:wrap type="none"/>
          </v:shape>
        </w:pict>
      </w:r>
      <w:r>
        <w:rPr/>
        <w:pict>
          <v:shape style="position:absolute;margin-left:239.393005pt;margin-top:3.632164pt;width:5.95pt;height:.1pt;mso-position-horizontal-relative:page;mso-position-vertical-relative:paragraph;z-index:16083456" coordorigin="4788,73" coordsize="119,0" path="m4788,73l4906,73m4788,73l4906,73m4788,73l4906,73m4788,73l4906,73m4788,73l4906,73m4788,73l4906,73m4788,73l4906,73m4788,73l4906,73m4788,73l4906,73m4788,73l4906,73m4788,73l4906,73m4788,73l4906,73m4788,73l4906,73m4788,73l4906,73m4788,73l4906,73m4788,73l4906,73m4788,73l4906,73m4788,73l4906,73m4788,73l4906,73m4788,73l4906,73m4788,73l4906,73m4788,73l4906,73m4788,73l4906,73e" filled="false" stroked="true" strokeweight=".5pt" strokecolor="#000000">
            <v:path arrowok="t"/>
            <v:stroke dashstyle="solid"/>
            <w10:wrap type="none"/>
          </v:shape>
        </w:pict>
      </w:r>
      <w:r>
        <w:rPr>
          <w:w w:val="105"/>
          <w:sz w:val="12"/>
        </w:rPr>
        <w:t>5</w:t>
      </w:r>
    </w:p>
    <w:p>
      <w:pPr>
        <w:pStyle w:val="BodyText"/>
        <w:rPr>
          <w:sz w:val="12"/>
        </w:rPr>
      </w:pPr>
    </w:p>
    <w:p>
      <w:pPr>
        <w:pStyle w:val="BodyText"/>
        <w:rPr>
          <w:sz w:val="12"/>
        </w:rPr>
      </w:pPr>
    </w:p>
    <w:p>
      <w:pPr>
        <w:pStyle w:val="BodyText"/>
        <w:spacing w:before="5"/>
        <w:rPr>
          <w:sz w:val="17"/>
        </w:rPr>
      </w:pPr>
    </w:p>
    <w:p>
      <w:pPr>
        <w:spacing w:before="0"/>
        <w:ind w:left="0" w:right="38" w:firstLine="0"/>
        <w:jc w:val="right"/>
        <w:rPr>
          <w:sz w:val="12"/>
        </w:rPr>
      </w:pPr>
      <w:r>
        <w:rPr/>
        <w:pict>
          <v:group style="position:absolute;margin-left:41.346001pt;margin-top:-6.07544pt;width:204pt;height:134.2pt;mso-position-horizontal-relative:page;mso-position-vertical-relative:paragraph;z-index:16080384" coordorigin="827,-122" coordsize="4080,2684">
            <v:shape style="position:absolute;left:826;top:2505;width:709;height:56" coordorigin="827,2506" coordsize="709,56" path="m1003,2506l1003,2562m827,2506l945,2506m1535,2506l1535,2562e" filled="false" stroked="true" strokeweight=".5pt" strokecolor="#000000">
              <v:path arrowok="t"/>
              <v:stroke dashstyle="solid"/>
            </v:shape>
            <v:shape style="position:absolute;left:1003;top:2347;width:635;height:159" coordorigin="1003,2347" coordsize="635,159" path="m1003,2506l1121,2506,1156,2501,1220,2496,1335,2481,1496,2431,1595,2375,1637,2347e" filled="false" stroked="true" strokeweight="1pt" strokecolor="#ed1b2d">
              <v:path arrowok="t"/>
              <v:stroke dashstyle="solid"/>
            </v:shape>
            <v:shape style="position:absolute;left:2067;top:2505;width:1597;height:56" coordorigin="2068,2506" coordsize="1597,56" path="m2068,2506l2068,2562m2600,2506l2600,2562m3132,2506l3132,2562m3664,2506l3664,2562e" filled="false" stroked="true" strokeweight=".5pt" strokecolor="#000000">
              <v:path arrowok="t"/>
              <v:stroke dashstyle="solid"/>
            </v:shape>
            <v:shape style="position:absolute;left:2018;top:-107;width:1637;height:2608" coordorigin="2018,-106" coordsize="1637,2608" path="m2906,-106l2866,-106,2807,-69,2748,-13,2708,61,2649,155,2590,266,2531,415,2492,546,2432,713,2373,862,2334,1030,2216,1328,2176,1477,2058,1738,2018,1850,2018,2502,3655,2502,3655,1868,3595,1738,3556,1589,3438,1254,3398,1067,3339,881,3280,713,3221,527,3182,359,3122,210,3063,99,3024,-13,2965,-69,2906,-106xe" filled="true" fillcolor="#eeeeee" stroked="false">
              <v:path arrowok="t"/>
              <v:fill type="solid"/>
            </v:shape>
            <v:shape style="position:absolute;left:2018;top:-107;width:1637;height:2608" coordorigin="2018,-106" coordsize="1637,2608" path="m3655,2502l3655,1868,3595,1738,3556,1589,3438,1254,3398,1067,3339,881,3280,713,3221,527,3182,359,3122,210,3063,99,3024,-13,2965,-69,2906,-106,2866,-106,2807,-69,2748,-13,2708,61,2649,155,2590,266,2531,415,2492,546,2432,713,2373,862,2334,1030,2216,1328,2176,1477,2058,1738,2018,1850,2018,2502,3655,2502xe" filled="false" stroked="true" strokeweight="1pt" strokecolor="#eeefef">
              <v:path arrowok="t"/>
              <v:stroke dashstyle="solid"/>
            </v:shape>
            <v:shape style="position:absolute;left:4196;top:84;width:710;height:2478" coordorigin="4197,84" coordsize="710,2478" path="m4197,2506l4197,2562m4729,2506l4729,2562m4788,2506l4906,2506m4788,84l4906,84m4788,84l4906,84m4788,84l4906,84m4788,84l4906,84m4788,84l4906,84m4788,84l4906,84m4788,84l4906,84m4788,84l4906,84m4788,84l4906,84m4788,84l4906,84m4788,84l4906,84m4788,84l4906,84m4788,84l4906,84m4788,84l4906,84m4788,84l4906,84m4788,84l4906,84m4788,84l4906,84m4788,84l4906,84m4788,84l4906,84m4788,84l4906,84m4788,84l4906,84m4788,84l4906,84m4788,84l4906,84m4788,680l4906,680m4788,680l4906,680m4788,680l4906,680m4788,680l4906,680m4788,680l4906,680m4788,680l4906,680m4788,680l4906,680m4788,680l4906,680m4788,680l4906,680m4788,680l4906,680m4788,680l4906,680m4788,680l4906,680m4788,680l4906,680m4788,680l4906,680m4788,680l4906,680m4788,680l4906,680m4788,680l4906,680m4788,680l4906,680m4788,680l4906,680m4788,680l4906,680m4788,680l4906,680m4788,680l4906,680m4788,680l4906,680m4788,1295l4906,1295m4788,1295l4906,1295m4788,1295l4906,1295m4788,1295l4906,1295m4788,1295l4906,1295m4788,1295l4906,1295m4788,1295l4906,1295m4788,1295l4906,1295m4788,1295l4906,1295m4788,1295l4906,1295m4788,1295l4906,1295m4788,1295l4906,1295m4788,1295l4906,1295m4788,1295l4906,1295m4788,1295l4906,1295m4788,1295l4906,1295m4788,1295l4906,1295m4788,1295l4906,1295m4788,1295l4906,1295m4788,1295l4906,1295m4788,1295l4906,1295m4788,1295l4906,1295m4788,1295l4906,1295m4788,1910l4906,1910m4788,1910l4906,1910m4788,1910l4906,1910m4788,1910l4906,1910m4788,1910l4906,1910m4788,1910l4906,1910m4788,1910l4906,1910m4788,1910l4906,1910m4788,1910l4906,1910m4788,1910l4906,1910m4788,1910l4906,1910m4788,1910l4906,1910m4788,1910l4906,1910m4788,1910l4906,1910m4788,1910l4906,1910m4788,1910l4906,1910m4788,1910l4906,1910m4788,1910l4906,1910m4788,1910l4906,1910m4788,1910l4906,1910m4788,1910l4906,1910m4788,1910l4906,1910m4788,1910l4906,1910e" filled="false" stroked="true" strokeweight=".5pt" strokecolor="#000000">
              <v:path arrowok="t"/>
              <v:stroke dashstyle="solid"/>
            </v:shape>
            <v:shape style="position:absolute;left:1637;top:-112;width:3092;height:2618" coordorigin="1637,-112" coordsize="3092,2618" path="m4729,2506l4453,2506,4399,2503,4295,2487,4197,2468,4138,2450,4076,2420,3980,2350,3928,2294,3881,2245,3822,2170,3763,2077,3714,1989,3664,1877,3659,1866,3664,1872,3607,1738,3561,1600,3497,1414,3448,1258,3401,1071,3339,881,3290,717,3229,527,3182,354,3132,214,3075,95,3028,2,2965,-69,2866,-112,2815,-82,2755,-23,2718,30,2662,135,2590,261,2536,391,2498,523,2442,688,2402,800,2342,984,2284,1153,2231,1284,2204,1376,2127,1579,2070,1707,2032,1809,1966,1956,1913,2049,1858,2136,1811,2195,1756,2254,1710,2295,1637,2347e" filled="false" stroked="true" strokeweight="1pt" strokecolor="#ed1b2d">
              <v:path arrowok="t"/>
              <v:stroke dashstyle="solid"/>
            </v:shape>
            <v:line style="position:absolute" from="3664,298" to="3162,773" stroked="true" strokeweight=".5pt" strokecolor="#000000">
              <v:stroke dashstyle="solid"/>
            </v:line>
            <v:shape style="position:absolute;left:3114;top:745;width:77;height:73" coordorigin="3115,746" coordsize="77,73" path="m3156,746l3125,803,3115,818,3122,813,3131,808,3152,796,3173,786,3191,779,3156,746xe" filled="true" fillcolor="#000000" stroked="false">
              <v:path arrowok="t"/>
              <v:fill type="solid"/>
            </v:shape>
            <v:line style="position:absolute" from="1003,2506" to="4729,2506" stroked="true" strokeweight=".5pt" strokecolor="#000000">
              <v:stroke dashstyle="solid"/>
            </v:line>
            <v:shape style="position:absolute;left:3477;top:154;width:1022;height:133" type="#_x0000_t202" filled="false" stroked="false">
              <v:textbox inset="0,0,0,0">
                <w:txbxContent>
                  <w:p>
                    <w:pPr>
                      <w:spacing w:line="133" w:lineRule="exact" w:before="0"/>
                      <w:ind w:left="0" w:right="0" w:firstLine="0"/>
                      <w:jc w:val="left"/>
                      <w:rPr>
                        <w:sz w:val="12"/>
                      </w:rPr>
                    </w:pPr>
                    <w:r>
                      <w:rPr>
                        <w:w w:val="105"/>
                        <w:sz w:val="12"/>
                      </w:rPr>
                      <w:t>90% probability (b)</w:t>
                    </w:r>
                  </w:p>
                </w:txbxContent>
              </v:textbox>
              <w10:wrap type="none"/>
            </v:shape>
            <w10:wrap type="none"/>
          </v:group>
        </w:pict>
      </w:r>
      <w:r>
        <w:rPr/>
        <w:pict>
          <v:shape style="position:absolute;margin-left:41.346001pt;margin-top:4.20456pt;width:5.95pt;height:.1pt;mso-position-horizontal-relative:page;mso-position-vertical-relative:paragraph;z-index:16081408" coordorigin="827,84" coordsize="119,0" path="m827,84l945,84m827,84l945,84m827,84l945,84m827,84l945,84m827,84l945,84m827,84l945,84m827,84l945,84m827,84l945,84m827,84l945,84m827,84l945,84m827,84l945,84m827,84l945,84m827,84l945,84m827,84l945,84m827,84l945,84m827,84l945,84m827,84l945,84m827,84l945,84m827,84l945,84m827,84l945,84m827,84l945,84e" filled="false" stroked="true" strokeweight=".5pt" strokecolor="#000000">
            <v:path arrowok="t"/>
            <v:stroke dashstyle="solid"/>
            <w10:wrap type="none"/>
          </v:shape>
        </w:pict>
      </w:r>
      <w:r>
        <w:rPr>
          <w:w w:val="105"/>
          <w:sz w:val="12"/>
        </w:rPr>
        <w:t>4</w:t>
      </w:r>
    </w:p>
    <w:p>
      <w:pPr>
        <w:pStyle w:val="BodyText"/>
        <w:rPr>
          <w:sz w:val="12"/>
        </w:rPr>
      </w:pPr>
    </w:p>
    <w:p>
      <w:pPr>
        <w:pStyle w:val="BodyText"/>
        <w:rPr>
          <w:sz w:val="12"/>
        </w:rPr>
      </w:pPr>
    </w:p>
    <w:p>
      <w:pPr>
        <w:pStyle w:val="BodyText"/>
        <w:spacing w:before="10"/>
        <w:rPr>
          <w:sz w:val="15"/>
        </w:rPr>
      </w:pPr>
    </w:p>
    <w:p>
      <w:pPr>
        <w:spacing w:before="0"/>
        <w:ind w:left="0" w:right="38" w:firstLine="0"/>
        <w:jc w:val="right"/>
        <w:rPr>
          <w:sz w:val="12"/>
        </w:rPr>
      </w:pPr>
      <w:r>
        <w:rPr/>
        <w:pict>
          <v:shape style="position:absolute;margin-left:41.346001pt;margin-top:4.204574pt;width:5.95pt;height:.1pt;mso-position-horizontal-relative:page;mso-position-vertical-relative:paragraph;z-index:16081920" coordorigin="827,84" coordsize="119,0" path="m827,84l945,84m827,84l945,84m827,84l945,84m827,84l945,84m827,84l945,84m827,84l945,84m827,84l945,84m827,84l945,84m827,84l945,84m827,84l945,84m827,84l945,84m827,84l945,84m827,84l945,84m827,84l945,84m827,84l945,84m827,84l945,84m827,84l945,84m827,84l945,84m827,84l945,84m827,84l945,84m827,84l945,84m827,84l945,84e" filled="false" stroked="true" strokeweight=".5pt" strokecolor="#000000">
            <v:path arrowok="t"/>
            <v:stroke dashstyle="solid"/>
            <w10:wrap type="none"/>
          </v:shape>
        </w:pict>
      </w:r>
      <w:r>
        <w:rPr>
          <w:w w:val="105"/>
          <w:sz w:val="12"/>
        </w:rPr>
        <w:t>3</w:t>
      </w:r>
    </w:p>
    <w:p>
      <w:pPr>
        <w:pStyle w:val="BodyText"/>
        <w:rPr>
          <w:sz w:val="12"/>
        </w:rPr>
      </w:pPr>
    </w:p>
    <w:p>
      <w:pPr>
        <w:pStyle w:val="BodyText"/>
        <w:rPr>
          <w:sz w:val="12"/>
        </w:rPr>
      </w:pPr>
    </w:p>
    <w:p>
      <w:pPr>
        <w:pStyle w:val="BodyText"/>
        <w:spacing w:before="5"/>
        <w:rPr>
          <w:sz w:val="17"/>
        </w:rPr>
      </w:pPr>
    </w:p>
    <w:p>
      <w:pPr>
        <w:spacing w:before="0"/>
        <w:ind w:left="0" w:right="38" w:firstLine="0"/>
        <w:jc w:val="right"/>
        <w:rPr>
          <w:sz w:val="12"/>
        </w:rPr>
      </w:pPr>
      <w:r>
        <w:rPr/>
        <w:pict>
          <v:shape style="position:absolute;margin-left:41.346001pt;margin-top:4.204558pt;width:5.95pt;height:.1pt;mso-position-horizontal-relative:page;mso-position-vertical-relative:paragraph;z-index:16082432" coordorigin="827,84" coordsize="119,0" path="m827,84l945,84m827,84l945,84m827,84l945,84m827,84l945,84m827,84l945,84m827,84l945,84m827,84l945,84m827,84l945,84m827,84l945,84m827,84l945,84m827,84l945,84m827,84l945,84m827,84l945,84m827,84l945,84m827,84l945,84m827,84l945,84m827,84l945,84m827,84l945,84m827,84l945,84m827,84l945,84m827,84l945,84m827,84l945,84e" filled="false" stroked="true" strokeweight=".5pt" strokecolor="#000000">
            <v:path arrowok="t"/>
            <v:stroke dashstyle="solid"/>
            <w10:wrap type="none"/>
          </v:shape>
        </w:pict>
      </w:r>
      <w:r>
        <w:rPr>
          <w:w w:val="105"/>
          <w:sz w:val="12"/>
        </w:rPr>
        <w:t>2</w:t>
      </w:r>
    </w:p>
    <w:p>
      <w:pPr>
        <w:pStyle w:val="BodyText"/>
        <w:rPr>
          <w:sz w:val="12"/>
        </w:rPr>
      </w:pPr>
    </w:p>
    <w:p>
      <w:pPr>
        <w:pStyle w:val="BodyText"/>
        <w:rPr>
          <w:sz w:val="12"/>
        </w:rPr>
      </w:pPr>
    </w:p>
    <w:p>
      <w:pPr>
        <w:pStyle w:val="BodyText"/>
        <w:spacing w:before="5"/>
        <w:rPr>
          <w:sz w:val="17"/>
        </w:rPr>
      </w:pPr>
    </w:p>
    <w:p>
      <w:pPr>
        <w:spacing w:before="0"/>
        <w:ind w:left="0" w:right="38" w:firstLine="0"/>
        <w:jc w:val="right"/>
        <w:rPr>
          <w:sz w:val="12"/>
        </w:rPr>
      </w:pPr>
      <w:r>
        <w:rPr/>
        <w:pict>
          <v:shape style="position:absolute;margin-left:41.346001pt;margin-top:4.204566pt;width:5.95pt;height:.1pt;mso-position-horizontal-relative:page;mso-position-vertical-relative:paragraph;z-index:16082944" coordorigin="827,84" coordsize="119,0" path="m827,84l945,84m827,84l945,84m827,84l945,84m827,84l945,84m827,84l945,84m827,84l945,84m827,84l945,84m827,84l945,84m827,84l945,84m827,84l945,84m827,84l945,84m827,84l945,84m827,84l945,84m827,84l945,84m827,84l945,84m827,84l945,84m827,84l945,84m827,84l945,84m827,84l945,84m827,84l945,84m827,84l945,84e" filled="false" stroked="true" strokeweight=".5pt" strokecolor="#000000">
            <v:path arrowok="t"/>
            <v:stroke dashstyle="solid"/>
            <w10:wrap type="none"/>
          </v:shape>
        </w:pict>
      </w:r>
      <w:r>
        <w:rPr>
          <w:w w:val="105"/>
          <w:sz w:val="12"/>
        </w:rPr>
        <w:t>1</w:t>
      </w:r>
    </w:p>
    <w:p>
      <w:pPr>
        <w:pStyle w:val="Heading7"/>
        <w:spacing w:before="92"/>
        <w:ind w:left="168"/>
      </w:pPr>
      <w:r>
        <w:rPr>
          <w:b w:val="0"/>
        </w:rPr>
        <w:br w:type="column"/>
      </w:r>
      <w:r>
        <w:rPr>
          <w:color w:val="0093C1"/>
        </w:rPr>
        <w:t>Chart 6.5</w:t>
      </w:r>
    </w:p>
    <w:p>
      <w:pPr>
        <w:spacing w:line="249" w:lineRule="auto" w:before="10"/>
        <w:ind w:left="168" w:right="1516" w:firstLine="0"/>
        <w:jc w:val="left"/>
        <w:rPr>
          <w:b/>
          <w:sz w:val="20"/>
        </w:rPr>
      </w:pPr>
      <w:r>
        <w:rPr>
          <w:b/>
          <w:color w:val="0093C1"/>
          <w:sz w:val="20"/>
        </w:rPr>
        <w:t>November projection for the percentage increase in RPIX in the year to 2000 Q4</w:t>
      </w:r>
    </w:p>
    <w:p>
      <w:pPr>
        <w:spacing w:line="126" w:lineRule="exact" w:before="99"/>
        <w:ind w:left="0" w:right="1525" w:firstLine="0"/>
        <w:jc w:val="right"/>
        <w:rPr>
          <w:sz w:val="12"/>
        </w:rPr>
      </w:pPr>
      <w:r>
        <w:rPr>
          <w:sz w:val="12"/>
        </w:rPr>
        <w:t>Probability in per cent (a)</w:t>
      </w:r>
    </w:p>
    <w:p>
      <w:pPr>
        <w:spacing w:line="126" w:lineRule="exact" w:before="0"/>
        <w:ind w:left="0" w:right="1430" w:firstLine="0"/>
        <w:jc w:val="right"/>
        <w:rPr>
          <w:sz w:val="12"/>
        </w:rPr>
      </w:pPr>
      <w:r>
        <w:rPr/>
        <w:pict>
          <v:line style="position:absolute;mso-position-horizontal-relative:page;mso-position-vertical-relative:paragraph;z-index:16084992" from="283.450012pt,3.575358pt" to="288.450012pt,3.575358pt" stroked="true" strokeweight=".5pt" strokecolor="#000000">
            <v:stroke dashstyle="solid"/>
            <w10:wrap type="none"/>
          </v:line>
        </w:pict>
      </w:r>
      <w:r>
        <w:rPr/>
        <w:pict>
          <v:line style="position:absolute;mso-position-horizontal-relative:page;mso-position-vertical-relative:paragraph;z-index:16085504" from="482.450012pt,3.575358pt" to="488.450012pt,3.575358pt" stroked="true" strokeweight=".5pt" strokecolor="#000000">
            <v:stroke dashstyle="solid"/>
            <w10:wrap type="none"/>
          </v:line>
        </w:pict>
      </w:r>
      <w:r>
        <w:rPr>
          <w:sz w:val="12"/>
        </w:rPr>
        <w:t>5</w:t>
      </w:r>
    </w:p>
    <w:p>
      <w:pPr>
        <w:pStyle w:val="BodyText"/>
        <w:rPr>
          <w:sz w:val="12"/>
        </w:rPr>
      </w:pPr>
    </w:p>
    <w:p>
      <w:pPr>
        <w:pStyle w:val="BodyText"/>
        <w:rPr>
          <w:sz w:val="12"/>
        </w:rPr>
      </w:pPr>
    </w:p>
    <w:p>
      <w:pPr>
        <w:pStyle w:val="BodyText"/>
        <w:spacing w:before="9"/>
        <w:rPr>
          <w:sz w:val="16"/>
        </w:rPr>
      </w:pPr>
    </w:p>
    <w:p>
      <w:pPr>
        <w:spacing w:before="0"/>
        <w:ind w:left="0" w:right="1430" w:firstLine="0"/>
        <w:jc w:val="right"/>
        <w:rPr>
          <w:sz w:val="12"/>
        </w:rPr>
      </w:pPr>
      <w:r>
        <w:rPr/>
        <w:pict>
          <v:group style="position:absolute;margin-left:283.450012pt;margin-top:-.982122pt;width:205pt;height:128.5500pt;mso-position-horizontal-relative:page;mso-position-vertical-relative:paragraph;z-index:16084480" coordorigin="5669,-20" coordsize="4100,2571">
            <v:shape style="position:absolute;left:6779;top:-2;width:1688;height:2507" coordorigin="6779,-2" coordsize="1688,2507" path="m7679,-2l7639,-2,7579,17,7519,74,7479,131,7359,321,7319,454,7199,719,7159,871,7039,1175,6999,1308,6939,1460,6879,1574,6839,1707,6779,1820,6779,2504,8467,2505,8467,1858,8451,1824,8439,1801,8379,1669,8339,1517,8219,1213,8179,1042,8119,871,8059,719,7999,549,7959,416,7899,283,7799,93,7739,17,7679,-2xe" filled="true" fillcolor="#eeefef" stroked="false">
              <v:path arrowok="t"/>
              <v:fill type="solid"/>
            </v:shape>
            <v:shape style="position:absolute;left:6779;top:-2;width:1688;height:2507" coordorigin="6779,-2" coordsize="1688,2507" path="m8451,1824l8439,1801,8379,1669,8339,1517,8219,1213,8179,1042,8119,871,8059,719,7999,549,7959,416,7899,283,7799,93,7739,17,7679,-2,7639,-2,7579,17,7519,74,7479,131,7359,321,7319,454,7199,719,7159,871,7039,1175,6999,1308,6939,1460,6879,1574,6839,1707,6779,1820,6779,1858,6779,1820,6779,2504,8467,2505,8467,1858,8451,1824xe" filled="false" stroked="true" strokeweight=".5pt" strokecolor="#eeefef">
              <v:path arrowok="t"/>
              <v:stroke dashstyle="solid"/>
            </v:shape>
            <v:shape style="position:absolute;left:5669;top:83;width:4100;height:2430" coordorigin="5669,84" coordsize="4100,2430" path="m5669,84l5769,84m5669,691l5769,691m5669,1298l5769,1298m5669,1906l5769,1906m5669,2513l5769,2513m9649,84l9769,84m9649,691l9769,691m9649,1298l9769,1298m9649,1906l9769,1906m9649,2513l9769,2513e" filled="false" stroked="true" strokeweight=".5pt" strokecolor="#000000">
              <v:path arrowok="t"/>
              <v:stroke dashstyle="solid"/>
            </v:shape>
            <v:shape style="position:absolute;left:5839;top:-7;width:3730;height:2520" coordorigin="5839,-7" coordsize="3730,2520" path="m5839,2501l5914,2501,5977,2499,6044,2492,6152,2464,6259,2421,6319,2392,6409,2324,6464,2278,6519,2226,6574,2165,6629,2096,6677,2022,6739,1900,6806,1750,6886,1550,6956,1404,6984,1335,6989,1317,7054,1125,7122,947,7159,844,7239,622,7262,568,7312,439,7367,307,7422,209,7482,117,7527,60,7597,5,7659,-7,7709,-2,7809,103,7909,292,7969,425,8009,558,8069,729,8129,881,8184,1060,8229,1217,8276,1350,8329,1498,8379,1645,8449,1811,8506,1940,8566,2040,8619,2130,8682,2220,8719,2270,8782,2320,8829,2361,8884,2399,8929,2418,8989,2437,9042,2456,9094,2468,9149,2475,9179,2483,9214,2490,9304,2501,9334,2504,9409,2513,9569,2513e" filled="false" stroked="true" strokeweight="1.0pt" strokecolor="#ed1b2d">
              <v:path arrowok="t"/>
              <v:stroke dashstyle="solid"/>
            </v:shape>
            <v:shape style="position:absolute;left:5849;top:2513;width:3740;height:38" coordorigin="5849,2513" coordsize="3740,38" path="m5849,2513l5849,2551m6329,2513l6329,2551m6909,2513l6909,2551m7449,2513l7449,2551m7989,2513l7989,2551m8509,2513l8509,2551m9049,2513l9049,2551m9589,2513l9589,2551m9589,2513l5849,2513e" filled="false" stroked="true" strokeweight=".5pt" strokecolor="#000000">
              <v:path arrowok="t"/>
              <v:stroke dashstyle="solid"/>
            </v:shape>
            <v:shape style="position:absolute;left:7839;top:620;width:72;height:79" coordorigin="7840,620" coordsize="72,79" path="m7872,620l7849,682,7840,699,7846,693,7855,686,7875,672,7894,660,7912,650,7872,620xe" filled="true" fillcolor="#000000" stroked="false">
              <v:path arrowok="t"/>
              <v:fill type="solid"/>
            </v:shape>
            <v:line style="position:absolute" from="8302,135" to="7882,648" stroked="true" strokeweight=".5pt" strokecolor="#000000">
              <v:stroke dashstyle="solid"/>
            </v:line>
            <v:shape style="position:absolute;left:8091;top:-20;width:967;height:133" type="#_x0000_t202" filled="false" stroked="false">
              <v:textbox inset="0,0,0,0">
                <w:txbxContent>
                  <w:p>
                    <w:pPr>
                      <w:spacing w:line="133" w:lineRule="exact" w:before="0"/>
                      <w:ind w:left="0" w:right="0" w:firstLine="0"/>
                      <w:jc w:val="left"/>
                      <w:rPr>
                        <w:sz w:val="12"/>
                      </w:rPr>
                    </w:pPr>
                    <w:r>
                      <w:rPr>
                        <w:sz w:val="12"/>
                      </w:rPr>
                      <w:t>90% probability (b)</w:t>
                    </w:r>
                  </w:p>
                </w:txbxContent>
              </v:textbox>
              <w10:wrap type="none"/>
            </v:shape>
            <w10:wrap type="none"/>
          </v:group>
        </w:pict>
      </w:r>
      <w:r>
        <w:rPr>
          <w:sz w:val="12"/>
        </w:rPr>
        <w:t>4</w:t>
      </w:r>
    </w:p>
    <w:p>
      <w:pPr>
        <w:pStyle w:val="BodyText"/>
        <w:rPr>
          <w:sz w:val="12"/>
        </w:rPr>
      </w:pPr>
    </w:p>
    <w:p>
      <w:pPr>
        <w:pStyle w:val="BodyText"/>
        <w:rPr>
          <w:sz w:val="12"/>
        </w:rPr>
      </w:pPr>
    </w:p>
    <w:p>
      <w:pPr>
        <w:pStyle w:val="BodyText"/>
        <w:spacing w:before="10"/>
        <w:rPr>
          <w:sz w:val="16"/>
        </w:rPr>
      </w:pPr>
    </w:p>
    <w:p>
      <w:pPr>
        <w:spacing w:before="0"/>
        <w:ind w:left="0" w:right="1430" w:firstLine="0"/>
        <w:jc w:val="right"/>
        <w:rPr>
          <w:sz w:val="12"/>
        </w:rPr>
      </w:pPr>
      <w:r>
        <w:rPr>
          <w:sz w:val="12"/>
        </w:rPr>
        <w:t>3</w:t>
      </w:r>
    </w:p>
    <w:p>
      <w:pPr>
        <w:pStyle w:val="BodyText"/>
        <w:rPr>
          <w:sz w:val="12"/>
        </w:rPr>
      </w:pPr>
    </w:p>
    <w:p>
      <w:pPr>
        <w:pStyle w:val="BodyText"/>
        <w:rPr>
          <w:sz w:val="12"/>
        </w:rPr>
      </w:pPr>
    </w:p>
    <w:p>
      <w:pPr>
        <w:pStyle w:val="BodyText"/>
        <w:spacing w:before="9"/>
        <w:rPr>
          <w:sz w:val="16"/>
        </w:rPr>
      </w:pPr>
    </w:p>
    <w:p>
      <w:pPr>
        <w:spacing w:before="0"/>
        <w:ind w:left="0" w:right="1430" w:firstLine="0"/>
        <w:jc w:val="right"/>
        <w:rPr>
          <w:sz w:val="12"/>
        </w:rPr>
      </w:pPr>
      <w:r>
        <w:rPr>
          <w:sz w:val="12"/>
        </w:rPr>
        <w:t>2</w:t>
      </w:r>
    </w:p>
    <w:p>
      <w:pPr>
        <w:pStyle w:val="BodyText"/>
        <w:rPr>
          <w:sz w:val="12"/>
        </w:rPr>
      </w:pPr>
    </w:p>
    <w:p>
      <w:pPr>
        <w:pStyle w:val="BodyText"/>
        <w:rPr>
          <w:sz w:val="12"/>
        </w:rPr>
      </w:pPr>
    </w:p>
    <w:p>
      <w:pPr>
        <w:pStyle w:val="BodyText"/>
        <w:spacing w:before="10"/>
        <w:rPr>
          <w:sz w:val="16"/>
        </w:rPr>
      </w:pPr>
    </w:p>
    <w:p>
      <w:pPr>
        <w:spacing w:before="0"/>
        <w:ind w:left="0" w:right="1410" w:firstLine="0"/>
        <w:jc w:val="right"/>
        <w:rPr>
          <w:sz w:val="12"/>
        </w:rPr>
      </w:pPr>
      <w:r>
        <w:rPr>
          <w:sz w:val="12"/>
        </w:rPr>
        <w:t>1</w:t>
      </w:r>
    </w:p>
    <w:p>
      <w:pPr>
        <w:spacing w:after="0"/>
        <w:jc w:val="right"/>
        <w:rPr>
          <w:sz w:val="12"/>
        </w:rPr>
        <w:sectPr>
          <w:type w:val="continuous"/>
          <w:pgSz w:w="11900" w:h="16840"/>
          <w:pgMar w:top="1220" w:bottom="280" w:left="640" w:right="600"/>
          <w:cols w:num="2" w:equalWidth="0">
            <w:col w:w="4408" w:space="377"/>
            <w:col w:w="5875"/>
          </w:cols>
        </w:sectPr>
      </w:pPr>
    </w:p>
    <w:p>
      <w:pPr>
        <w:pStyle w:val="BodyText"/>
        <w:rPr>
          <w:sz w:val="20"/>
        </w:rPr>
      </w:pPr>
    </w:p>
    <w:p>
      <w:pPr>
        <w:spacing w:after="0"/>
        <w:rPr>
          <w:sz w:val="20"/>
        </w:rPr>
        <w:sectPr>
          <w:type w:val="continuous"/>
          <w:pgSz w:w="11900" w:h="16840"/>
          <w:pgMar w:top="1220" w:bottom="280" w:left="640" w:right="600"/>
        </w:sectPr>
      </w:pPr>
    </w:p>
    <w:p>
      <w:pPr>
        <w:pStyle w:val="BodyText"/>
        <w:rPr>
          <w:sz w:val="12"/>
        </w:rPr>
      </w:pPr>
    </w:p>
    <w:p>
      <w:pPr>
        <w:pStyle w:val="BodyText"/>
        <w:rPr>
          <w:sz w:val="12"/>
        </w:rPr>
      </w:pPr>
    </w:p>
    <w:p>
      <w:pPr>
        <w:pStyle w:val="BodyText"/>
        <w:spacing w:before="2"/>
        <w:rPr>
          <w:sz w:val="11"/>
        </w:rPr>
      </w:pPr>
    </w:p>
    <w:p>
      <w:pPr>
        <w:tabs>
          <w:tab w:pos="860" w:val="left" w:leader="none"/>
        </w:tabs>
        <w:spacing w:before="0"/>
        <w:ind w:left="293" w:right="0" w:firstLine="0"/>
        <w:jc w:val="left"/>
        <w:rPr>
          <w:sz w:val="12"/>
        </w:rPr>
      </w:pPr>
      <w:r>
        <w:rPr>
          <w:w w:val="105"/>
          <w:sz w:val="12"/>
        </w:rPr>
        <w:t>-1</w:t>
        <w:tab/>
        <w:t>0</w:t>
      </w:r>
    </w:p>
    <w:p>
      <w:pPr>
        <w:pStyle w:val="BodyText"/>
        <w:rPr>
          <w:sz w:val="12"/>
        </w:rPr>
      </w:pPr>
      <w:r>
        <w:rPr/>
        <w:br w:type="column"/>
      </w:r>
      <w:r>
        <w:rPr>
          <w:sz w:val="12"/>
        </w:rPr>
      </w:r>
    </w:p>
    <w:p>
      <w:pPr>
        <w:spacing w:before="89"/>
        <w:ind w:left="0" w:right="38" w:firstLine="0"/>
        <w:jc w:val="right"/>
        <w:rPr>
          <w:sz w:val="12"/>
        </w:rPr>
      </w:pPr>
      <w:r>
        <w:rPr>
          <w:w w:val="105"/>
          <w:sz w:val="12"/>
        </w:rPr>
        <w:t>0</w:t>
      </w:r>
    </w:p>
    <w:p>
      <w:pPr>
        <w:tabs>
          <w:tab w:pos="816" w:val="left" w:leader="none"/>
          <w:tab w:pos="1358" w:val="left" w:leader="none"/>
          <w:tab w:pos="1880" w:val="left" w:leader="none"/>
          <w:tab w:pos="2413" w:val="left" w:leader="none"/>
          <w:tab w:pos="2955" w:val="left" w:leader="none"/>
        </w:tabs>
        <w:spacing w:line="147" w:lineRule="exact" w:before="28"/>
        <w:ind w:left="293" w:right="0" w:firstLine="0"/>
        <w:jc w:val="left"/>
        <w:rPr>
          <w:sz w:val="12"/>
        </w:rPr>
      </w:pPr>
      <w:r>
        <w:rPr>
          <w:w w:val="105"/>
          <w:position w:val="3"/>
          <w:sz w:val="12"/>
        </w:rPr>
        <w:t>1</w:t>
        <w:tab/>
      </w:r>
      <w:r>
        <w:rPr>
          <w:w w:val="105"/>
          <w:position w:val="2"/>
          <w:sz w:val="12"/>
        </w:rPr>
        <w:t>2</w:t>
        <w:tab/>
        <w:t>3</w:t>
        <w:tab/>
      </w:r>
      <w:r>
        <w:rPr>
          <w:w w:val="105"/>
          <w:position w:val="3"/>
          <w:sz w:val="12"/>
        </w:rPr>
        <w:t>4</w:t>
        <w:tab/>
      </w:r>
      <w:r>
        <w:rPr>
          <w:w w:val="105"/>
          <w:position w:val="1"/>
          <w:sz w:val="12"/>
        </w:rPr>
        <w:t>5</w:t>
        <w:tab/>
      </w:r>
      <w:r>
        <w:rPr>
          <w:w w:val="105"/>
          <w:sz w:val="12"/>
        </w:rPr>
        <w:t>6</w:t>
      </w:r>
    </w:p>
    <w:p>
      <w:pPr>
        <w:spacing w:line="117" w:lineRule="exact" w:before="0"/>
        <w:ind w:left="919" w:right="0" w:firstLine="0"/>
        <w:jc w:val="left"/>
        <w:rPr>
          <w:sz w:val="12"/>
        </w:rPr>
      </w:pPr>
      <w:r>
        <w:rPr>
          <w:w w:val="105"/>
          <w:sz w:val="12"/>
        </w:rPr>
        <w:t>Inflation</w:t>
      </w:r>
    </w:p>
    <w:p>
      <w:pPr>
        <w:pStyle w:val="BodyText"/>
        <w:rPr>
          <w:sz w:val="12"/>
        </w:rPr>
      </w:pPr>
      <w:r>
        <w:rPr/>
        <w:br w:type="column"/>
      </w:r>
      <w:r>
        <w:rPr>
          <w:sz w:val="12"/>
        </w:rPr>
      </w:r>
    </w:p>
    <w:p>
      <w:pPr>
        <w:pStyle w:val="BodyText"/>
        <w:rPr>
          <w:sz w:val="12"/>
        </w:rPr>
      </w:pPr>
    </w:p>
    <w:p>
      <w:pPr>
        <w:pStyle w:val="BodyText"/>
        <w:spacing w:before="1"/>
        <w:rPr>
          <w:sz w:val="10"/>
        </w:rPr>
      </w:pPr>
    </w:p>
    <w:p>
      <w:pPr>
        <w:tabs>
          <w:tab w:pos="813" w:val="left" w:leader="none"/>
        </w:tabs>
        <w:spacing w:before="0"/>
        <w:ind w:left="293" w:right="0" w:firstLine="0"/>
        <w:jc w:val="left"/>
        <w:rPr>
          <w:sz w:val="12"/>
        </w:rPr>
      </w:pPr>
      <w:r>
        <w:rPr>
          <w:sz w:val="12"/>
        </w:rPr>
        <w:t>-1</w:t>
        <w:tab/>
        <w:t>0</w:t>
      </w:r>
    </w:p>
    <w:p>
      <w:pPr>
        <w:pStyle w:val="BodyText"/>
        <w:rPr>
          <w:sz w:val="12"/>
        </w:rPr>
      </w:pPr>
      <w:r>
        <w:rPr/>
        <w:br w:type="column"/>
      </w:r>
      <w:r>
        <w:rPr>
          <w:sz w:val="12"/>
        </w:rPr>
      </w:r>
    </w:p>
    <w:p>
      <w:pPr>
        <w:spacing w:before="101"/>
        <w:ind w:left="3244" w:right="0" w:firstLine="0"/>
        <w:jc w:val="left"/>
        <w:rPr>
          <w:sz w:val="12"/>
        </w:rPr>
      </w:pPr>
      <w:r>
        <w:rPr>
          <w:sz w:val="12"/>
        </w:rPr>
        <w:t>0</w:t>
      </w:r>
    </w:p>
    <w:p>
      <w:pPr>
        <w:tabs>
          <w:tab w:pos="833" w:val="left" w:leader="none"/>
          <w:tab w:pos="1373" w:val="left" w:leader="none"/>
          <w:tab w:pos="1893" w:val="left" w:leader="none"/>
          <w:tab w:pos="2433" w:val="left" w:leader="none"/>
          <w:tab w:pos="2973" w:val="left" w:leader="none"/>
        </w:tabs>
        <w:spacing w:before="14"/>
        <w:ind w:left="293" w:right="0" w:firstLine="0"/>
        <w:jc w:val="left"/>
        <w:rPr>
          <w:sz w:val="12"/>
        </w:rPr>
      </w:pPr>
      <w:r>
        <w:rPr>
          <w:sz w:val="12"/>
        </w:rPr>
        <w:t>1</w:t>
        <w:tab/>
        <w:t>2</w:t>
        <w:tab/>
        <w:t>3</w:t>
        <w:tab/>
        <w:t>4</w:t>
        <w:tab/>
        <w:t>5</w:t>
        <w:tab/>
        <w:t>6</w:t>
      </w:r>
    </w:p>
    <w:p>
      <w:pPr>
        <w:spacing w:before="14"/>
        <w:ind w:left="914" w:right="0" w:firstLine="0"/>
        <w:jc w:val="left"/>
        <w:rPr>
          <w:sz w:val="12"/>
        </w:rPr>
      </w:pPr>
      <w:r>
        <w:rPr>
          <w:sz w:val="12"/>
        </w:rPr>
        <w:t>Inflation</w:t>
      </w:r>
    </w:p>
    <w:p>
      <w:pPr>
        <w:spacing w:after="0"/>
        <w:jc w:val="left"/>
        <w:rPr>
          <w:sz w:val="12"/>
        </w:rPr>
        <w:sectPr>
          <w:type w:val="continuous"/>
          <w:pgSz w:w="11900" w:h="16840"/>
          <w:pgMar w:top="1220" w:bottom="280" w:left="640" w:right="600"/>
          <w:cols w:num="4" w:equalWidth="0">
            <w:col w:w="965" w:space="144"/>
            <w:col w:w="3305" w:space="431"/>
            <w:col w:w="914" w:space="186"/>
            <w:col w:w="4715"/>
          </w:cols>
        </w:sectPr>
      </w:pPr>
    </w:p>
    <w:p>
      <w:pPr>
        <w:pStyle w:val="BodyText"/>
        <w:spacing w:before="7"/>
        <w:rPr>
          <w:sz w:val="15"/>
        </w:rPr>
      </w:pPr>
    </w:p>
    <w:p>
      <w:pPr>
        <w:spacing w:before="0"/>
        <w:ind w:left="169" w:right="0" w:firstLine="0"/>
        <w:jc w:val="left"/>
        <w:rPr>
          <w:sz w:val="16"/>
        </w:rPr>
      </w:pPr>
      <w:r>
        <w:rPr>
          <w:sz w:val="16"/>
        </w:rPr>
        <w:t>Source: Bank of England.</w:t>
      </w:r>
    </w:p>
    <w:p>
      <w:pPr>
        <w:pStyle w:val="ListParagraph"/>
        <w:numPr>
          <w:ilvl w:val="1"/>
          <w:numId w:val="29"/>
        </w:numPr>
        <w:tabs>
          <w:tab w:pos="410" w:val="left" w:leader="none"/>
        </w:tabs>
        <w:spacing w:line="208" w:lineRule="auto" w:before="155" w:after="0"/>
        <w:ind w:left="408" w:right="1510" w:hanging="240"/>
        <w:jc w:val="left"/>
        <w:rPr>
          <w:sz w:val="16"/>
        </w:rPr>
      </w:pPr>
      <w:r>
        <w:rPr>
          <w:sz w:val="16"/>
        </w:rPr>
        <w:t>Probability of inflation being within ±0.05 percentage point of any given inflation rate, specified to one decimal place. For example, </w:t>
      </w:r>
      <w:r>
        <w:rPr>
          <w:spacing w:val="-5"/>
          <w:sz w:val="16"/>
        </w:rPr>
        <w:t>the </w:t>
      </w:r>
      <w:r>
        <w:rPr>
          <w:sz w:val="16"/>
        </w:rPr>
        <w:t>probability of inflation being 2.5% (between 2.45% and 2.55%) in the current projection is around 4%.</w:t>
      </w:r>
    </w:p>
    <w:p>
      <w:pPr>
        <w:pStyle w:val="ListParagraph"/>
        <w:numPr>
          <w:ilvl w:val="1"/>
          <w:numId w:val="29"/>
        </w:numPr>
        <w:tabs>
          <w:tab w:pos="410" w:val="left" w:leader="none"/>
        </w:tabs>
        <w:spacing w:line="208" w:lineRule="auto" w:before="0" w:after="0"/>
        <w:ind w:left="408" w:right="1664" w:hanging="240"/>
        <w:jc w:val="left"/>
        <w:rPr>
          <w:sz w:val="16"/>
        </w:rPr>
      </w:pPr>
      <w:r>
        <w:rPr>
          <w:sz w:val="16"/>
        </w:rPr>
        <w:t>The areas shaded light grey contain 90% of the probability, and are consistent with the widest bands shown in Charts 6.2 and 6.3. </w:t>
      </w:r>
      <w:r>
        <w:rPr>
          <w:spacing w:val="-6"/>
          <w:sz w:val="16"/>
        </w:rPr>
        <w:t>For </w:t>
      </w:r>
      <w:r>
        <w:rPr>
          <w:sz w:val="16"/>
        </w:rPr>
        <w:t>further details see ‘The </w:t>
      </w:r>
      <w:r>
        <w:rPr>
          <w:i/>
          <w:sz w:val="16"/>
        </w:rPr>
        <w:t>Inflation Report </w:t>
      </w:r>
      <w:r>
        <w:rPr>
          <w:sz w:val="16"/>
        </w:rPr>
        <w:t>projections: understanding the fan chart’, February 1998 </w:t>
      </w:r>
      <w:r>
        <w:rPr>
          <w:i/>
          <w:sz w:val="16"/>
        </w:rPr>
        <w:t>Quarterly Bulletin</w:t>
      </w:r>
      <w:r>
        <w:rPr>
          <w:sz w:val="16"/>
        </w:rPr>
        <w:t>, pages</w:t>
      </w:r>
      <w:r>
        <w:rPr>
          <w:spacing w:val="-3"/>
          <w:sz w:val="16"/>
        </w:rPr>
        <w:t> </w:t>
      </w:r>
      <w:r>
        <w:rPr>
          <w:sz w:val="16"/>
        </w:rPr>
        <w:t>30–37.</w:t>
      </w:r>
    </w:p>
    <w:p>
      <w:pPr>
        <w:spacing w:after="0" w:line="208" w:lineRule="auto"/>
        <w:jc w:val="left"/>
        <w:rPr>
          <w:sz w:val="16"/>
        </w:rPr>
        <w:sectPr>
          <w:type w:val="continuous"/>
          <w:pgSz w:w="11900" w:h="16840"/>
          <w:pgMar w:top="1220" w:bottom="280" w:left="640" w:right="600"/>
        </w:sectPr>
      </w:pPr>
    </w:p>
    <w:p>
      <w:pPr>
        <w:pStyle w:val="BodyText"/>
        <w:rPr>
          <w:sz w:val="20"/>
        </w:rPr>
      </w:pPr>
    </w:p>
    <w:p>
      <w:pPr>
        <w:spacing w:after="0"/>
        <w:rPr>
          <w:sz w:val="20"/>
        </w:rPr>
        <w:sectPr>
          <w:pgSz w:w="11900" w:h="16840"/>
          <w:pgMar w:header="584" w:footer="617" w:top="780" w:bottom="800" w:left="640" w:right="600"/>
        </w:sectPr>
      </w:pPr>
    </w:p>
    <w:p>
      <w:pPr>
        <w:pStyle w:val="BodyText"/>
        <w:rPr>
          <w:sz w:val="22"/>
        </w:rPr>
      </w:pPr>
    </w:p>
    <w:p>
      <w:pPr>
        <w:pStyle w:val="BodyText"/>
        <w:rPr>
          <w:sz w:val="22"/>
        </w:rPr>
      </w:pPr>
    </w:p>
    <w:p>
      <w:pPr>
        <w:pStyle w:val="BodyText"/>
        <w:rPr>
          <w:sz w:val="22"/>
        </w:rPr>
      </w:pPr>
    </w:p>
    <w:p>
      <w:pPr>
        <w:pStyle w:val="BodyText"/>
        <w:spacing w:before="8"/>
        <w:rPr>
          <w:sz w:val="26"/>
        </w:rPr>
      </w:pPr>
    </w:p>
    <w:p>
      <w:pPr>
        <w:pStyle w:val="Heading7"/>
        <w:spacing w:before="0"/>
        <w:ind w:left="169"/>
        <w:jc w:val="both"/>
      </w:pPr>
      <w:r>
        <w:rPr>
          <w:color w:val="0093C1"/>
        </w:rPr>
        <w:t>Table 6.A</w:t>
      </w:r>
    </w:p>
    <w:p>
      <w:pPr>
        <w:spacing w:line="249" w:lineRule="auto" w:before="10"/>
        <w:ind w:left="169" w:right="38" w:firstLine="0"/>
        <w:jc w:val="both"/>
        <w:rPr>
          <w:sz w:val="12"/>
        </w:rPr>
      </w:pPr>
      <w:r>
        <w:rPr>
          <w:b/>
          <w:color w:val="0093C1"/>
          <w:sz w:val="20"/>
        </w:rPr>
        <w:t>The MPC’s expectations for RPIX inflation and GDP growth based on constant nominal interest rates</w:t>
      </w:r>
      <w:r>
        <w:rPr>
          <w:position w:val="4"/>
          <w:sz w:val="12"/>
        </w:rPr>
        <w:t>(a)</w:t>
      </w:r>
    </w:p>
    <w:p>
      <w:pPr>
        <w:spacing w:before="64"/>
        <w:ind w:left="189" w:right="0" w:firstLine="0"/>
        <w:jc w:val="both"/>
        <w:rPr>
          <w:b/>
          <w:sz w:val="14"/>
        </w:rPr>
      </w:pPr>
      <w:r>
        <w:rPr>
          <w:b/>
          <w:sz w:val="14"/>
        </w:rPr>
        <w:t>RPIX inflation</w:t>
      </w:r>
    </w:p>
    <w:p>
      <w:pPr>
        <w:pStyle w:val="BodyText"/>
        <w:spacing w:before="9"/>
        <w:rPr>
          <w:b/>
          <w:sz w:val="13"/>
        </w:rPr>
      </w:pPr>
    </w:p>
    <w:p>
      <w:pPr>
        <w:tabs>
          <w:tab w:pos="1440" w:val="left" w:leader="none"/>
          <w:tab w:pos="3215" w:val="left" w:leader="none"/>
        </w:tabs>
        <w:spacing w:line="160" w:lineRule="exact" w:before="0"/>
        <w:ind w:left="0" w:right="902" w:firstLine="0"/>
        <w:jc w:val="right"/>
        <w:rPr>
          <w:sz w:val="14"/>
        </w:rPr>
      </w:pPr>
      <w:r>
        <w:rPr>
          <w:sz w:val="14"/>
        </w:rPr>
        <w:t>Probability, per cent</w:t>
        <w:tab/>
      </w:r>
      <w:r>
        <w:rPr>
          <w:sz w:val="14"/>
          <w:u w:val="single"/>
        </w:rPr>
        <w:t>Range:</w:t>
        <w:tab/>
      </w:r>
    </w:p>
    <w:p>
      <w:pPr>
        <w:tabs>
          <w:tab w:pos="479" w:val="left" w:leader="none"/>
        </w:tabs>
        <w:spacing w:line="160" w:lineRule="exact" w:before="0"/>
        <w:ind w:left="0" w:right="950" w:firstLine="0"/>
        <w:jc w:val="right"/>
        <w:rPr>
          <w:sz w:val="14"/>
        </w:rPr>
      </w:pPr>
      <w:r>
        <w:rPr>
          <w:sz w:val="14"/>
        </w:rPr>
        <w:t>less</w:t>
        <w:tab/>
        <w:t>1.5% 2.5%</w:t>
      </w:r>
      <w:r>
        <w:rPr>
          <w:spacing w:val="26"/>
          <w:sz w:val="14"/>
        </w:rPr>
        <w:t> </w:t>
      </w:r>
      <w:r>
        <w:rPr>
          <w:sz w:val="14"/>
        </w:rPr>
        <w:t>more</w:t>
      </w:r>
    </w:p>
    <w:p>
      <w:pPr>
        <w:pStyle w:val="Heading4"/>
        <w:spacing w:line="242" w:lineRule="auto" w:before="206"/>
        <w:ind w:left="168" w:right="387"/>
      </w:pPr>
      <w:r>
        <w:rPr/>
        <w:br w:type="column"/>
      </w:r>
      <w:hyperlink w:history="true" w:anchor="_bookmark33">
        <w:r>
          <w:rPr/>
          <w:t>the projection. The box on page 52</w:t>
        </w:r>
      </w:hyperlink>
      <w:r>
        <w:rPr/>
        <w:t> explains in more detail how fan charts are drawn, and Charts 6.4 and 6.5 show the overall balance of risks to inflation at the end of the forecast period. Table 6.A shows the MPC’s assessment of the probabilities of various outturns for inflation and output growth.</w:t>
      </w:r>
    </w:p>
    <w:p>
      <w:pPr>
        <w:pStyle w:val="BodyText"/>
        <w:rPr>
          <w:sz w:val="25"/>
        </w:rPr>
      </w:pPr>
    </w:p>
    <w:p>
      <w:pPr>
        <w:spacing w:line="242" w:lineRule="auto" w:before="0"/>
        <w:ind w:left="168" w:right="387" w:firstLine="0"/>
        <w:jc w:val="left"/>
        <w:rPr>
          <w:sz w:val="24"/>
        </w:rPr>
      </w:pPr>
      <w:r>
        <w:rPr>
          <w:sz w:val="24"/>
        </w:rPr>
        <w:t>The market expectation of the likely path of </w:t>
      </w:r>
      <w:r>
        <w:rPr>
          <w:spacing w:val="-3"/>
          <w:sz w:val="24"/>
        </w:rPr>
        <w:t>interest </w:t>
      </w:r>
      <w:r>
        <w:rPr>
          <w:sz w:val="24"/>
        </w:rPr>
        <w:t>rates has fallen since the November </w:t>
      </w:r>
      <w:r>
        <w:rPr>
          <w:i/>
          <w:sz w:val="24"/>
        </w:rPr>
        <w:t>Report</w:t>
      </w:r>
      <w:r>
        <w:rPr>
          <w:sz w:val="24"/>
        </w:rPr>
        <w:t>.</w:t>
      </w:r>
      <w:r>
        <w:rPr>
          <w:spacing w:val="59"/>
          <w:sz w:val="24"/>
        </w:rPr>
        <w:t> </w:t>
      </w:r>
      <w:r>
        <w:rPr>
          <w:sz w:val="24"/>
        </w:rPr>
        <w:t>On</w:t>
      </w:r>
    </w:p>
    <w:p>
      <w:pPr>
        <w:spacing w:after="0" w:line="242" w:lineRule="auto"/>
        <w:jc w:val="left"/>
        <w:rPr>
          <w:sz w:val="24"/>
        </w:rPr>
        <w:sectPr>
          <w:type w:val="continuous"/>
          <w:pgSz w:w="11900" w:h="16840"/>
          <w:pgMar w:top="1220" w:bottom="280" w:left="640" w:right="600"/>
          <w:cols w:num="2" w:equalWidth="0">
            <w:col w:w="4310" w:space="476"/>
            <w:col w:w="5874"/>
          </w:cols>
        </w:sectPr>
      </w:pPr>
    </w:p>
    <w:tbl>
      <w:tblPr>
        <w:tblW w:w="0" w:type="auto"/>
        <w:jc w:val="left"/>
        <w:tblInd w:w="14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13"/>
        <w:gridCol w:w="887"/>
        <w:gridCol w:w="455"/>
        <w:gridCol w:w="504"/>
        <w:gridCol w:w="1182"/>
        <w:gridCol w:w="6300"/>
      </w:tblGrid>
      <w:tr>
        <w:trPr>
          <w:trHeight w:val="275" w:hRule="atLeast"/>
        </w:trPr>
        <w:tc>
          <w:tcPr>
            <w:tcW w:w="1013" w:type="dxa"/>
          </w:tcPr>
          <w:p>
            <w:pPr>
              <w:pStyle w:val="TableParagraph"/>
              <w:spacing w:line="240" w:lineRule="auto"/>
              <w:rPr>
                <w:sz w:val="18"/>
              </w:rPr>
            </w:pPr>
          </w:p>
        </w:tc>
        <w:tc>
          <w:tcPr>
            <w:tcW w:w="887" w:type="dxa"/>
          </w:tcPr>
          <w:p>
            <w:pPr>
              <w:pStyle w:val="TableParagraph"/>
              <w:spacing w:line="140" w:lineRule="exact" w:before="4"/>
              <w:ind w:left="476"/>
              <w:rPr>
                <w:sz w:val="14"/>
              </w:rPr>
            </w:pPr>
            <w:r>
              <w:rPr>
                <w:sz w:val="14"/>
              </w:rPr>
              <w:t>than </w:t>
            </w:r>
            <w:r>
              <w:rPr>
                <w:sz w:val="14"/>
                <w:u w:val="single"/>
              </w:rPr>
              <w:t>1.5% </w:t>
            </w:r>
          </w:p>
        </w:tc>
        <w:tc>
          <w:tcPr>
            <w:tcW w:w="455" w:type="dxa"/>
          </w:tcPr>
          <w:p>
            <w:pPr>
              <w:pStyle w:val="TableParagraph"/>
              <w:spacing w:line="140" w:lineRule="exact" w:before="4"/>
              <w:ind w:left="70" w:right="73" w:hanging="1"/>
              <w:rPr>
                <w:sz w:val="14"/>
              </w:rPr>
            </w:pPr>
            <w:r>
              <w:rPr>
                <w:sz w:val="14"/>
              </w:rPr>
              <w:t>to </w:t>
            </w:r>
            <w:r>
              <w:rPr>
                <w:sz w:val="14"/>
                <w:u w:val="single"/>
              </w:rPr>
              <w:t>2.5%</w:t>
            </w:r>
          </w:p>
        </w:tc>
        <w:tc>
          <w:tcPr>
            <w:tcW w:w="504" w:type="dxa"/>
          </w:tcPr>
          <w:p>
            <w:pPr>
              <w:pStyle w:val="TableParagraph"/>
              <w:spacing w:line="140" w:lineRule="exact" w:before="4"/>
              <w:ind w:left="95" w:right="29" w:hanging="1"/>
              <w:rPr>
                <w:sz w:val="14"/>
              </w:rPr>
            </w:pPr>
            <w:r>
              <w:rPr>
                <w:sz w:val="14"/>
              </w:rPr>
              <w:t>to </w:t>
            </w:r>
            <w:r>
              <w:rPr>
                <w:sz w:val="14"/>
                <w:u w:val="single"/>
              </w:rPr>
              <w:t>3.5% </w:t>
            </w:r>
          </w:p>
        </w:tc>
        <w:tc>
          <w:tcPr>
            <w:tcW w:w="1182" w:type="dxa"/>
          </w:tcPr>
          <w:p>
            <w:pPr>
              <w:pStyle w:val="TableParagraph"/>
              <w:spacing w:line="140" w:lineRule="exact" w:before="4"/>
              <w:ind w:left="71" w:right="599" w:hanging="1"/>
              <w:rPr>
                <w:sz w:val="14"/>
              </w:rPr>
            </w:pPr>
            <w:r>
              <w:rPr>
                <w:sz w:val="14"/>
              </w:rPr>
              <w:t>than </w:t>
            </w:r>
            <w:r>
              <w:rPr>
                <w:sz w:val="14"/>
                <w:u w:val="single"/>
              </w:rPr>
              <w:t>3.5% </w:t>
            </w:r>
          </w:p>
        </w:tc>
        <w:tc>
          <w:tcPr>
            <w:tcW w:w="6300" w:type="dxa"/>
          </w:tcPr>
          <w:p>
            <w:pPr>
              <w:pStyle w:val="TableParagraph"/>
              <w:spacing w:line="251" w:lineRule="exact" w:before="5"/>
              <w:ind w:left="774"/>
              <w:rPr>
                <w:sz w:val="24"/>
              </w:rPr>
            </w:pPr>
            <w:r>
              <w:rPr>
                <w:sz w:val="24"/>
              </w:rPr>
              <w:t>3 February, implied interest rates on short-sterling</w:t>
            </w:r>
          </w:p>
        </w:tc>
      </w:tr>
      <w:tr>
        <w:trPr>
          <w:trHeight w:val="267" w:hRule="atLeast"/>
        </w:trPr>
        <w:tc>
          <w:tcPr>
            <w:tcW w:w="1013" w:type="dxa"/>
          </w:tcPr>
          <w:p>
            <w:pPr>
              <w:pStyle w:val="TableParagraph"/>
              <w:spacing w:line="126" w:lineRule="exact" w:before="122"/>
              <w:ind w:left="50"/>
              <w:rPr>
                <w:sz w:val="14"/>
              </w:rPr>
            </w:pPr>
            <w:r>
              <w:rPr>
                <w:sz w:val="14"/>
              </w:rPr>
              <w:t>1999 Q4</w:t>
            </w:r>
          </w:p>
        </w:tc>
        <w:tc>
          <w:tcPr>
            <w:tcW w:w="887" w:type="dxa"/>
          </w:tcPr>
          <w:p>
            <w:pPr>
              <w:pStyle w:val="TableParagraph"/>
              <w:spacing w:line="126" w:lineRule="exact" w:before="122"/>
              <w:ind w:left="567"/>
              <w:rPr>
                <w:sz w:val="14"/>
              </w:rPr>
            </w:pPr>
            <w:r>
              <w:rPr>
                <w:sz w:val="14"/>
              </w:rPr>
              <w:t>2</w:t>
            </w:r>
          </w:p>
        </w:tc>
        <w:tc>
          <w:tcPr>
            <w:tcW w:w="455" w:type="dxa"/>
          </w:tcPr>
          <w:p>
            <w:pPr>
              <w:pStyle w:val="TableParagraph"/>
              <w:spacing w:line="126" w:lineRule="exact" w:before="122"/>
              <w:ind w:left="90"/>
              <w:rPr>
                <w:sz w:val="14"/>
              </w:rPr>
            </w:pPr>
            <w:r>
              <w:rPr>
                <w:sz w:val="14"/>
              </w:rPr>
              <w:t>37</w:t>
            </w:r>
          </w:p>
        </w:tc>
        <w:tc>
          <w:tcPr>
            <w:tcW w:w="504" w:type="dxa"/>
          </w:tcPr>
          <w:p>
            <w:pPr>
              <w:pStyle w:val="TableParagraph"/>
              <w:spacing w:line="126" w:lineRule="exact" w:before="122"/>
              <w:ind w:left="115"/>
              <w:rPr>
                <w:sz w:val="14"/>
              </w:rPr>
            </w:pPr>
            <w:r>
              <w:rPr>
                <w:sz w:val="14"/>
              </w:rPr>
              <w:t>54</w:t>
            </w:r>
          </w:p>
        </w:tc>
        <w:tc>
          <w:tcPr>
            <w:tcW w:w="1182" w:type="dxa"/>
          </w:tcPr>
          <w:p>
            <w:pPr>
              <w:pStyle w:val="TableParagraph"/>
              <w:spacing w:line="126" w:lineRule="exact" w:before="122"/>
              <w:ind w:left="161"/>
              <w:rPr>
                <w:sz w:val="14"/>
              </w:rPr>
            </w:pPr>
            <w:r>
              <w:rPr>
                <w:sz w:val="14"/>
              </w:rPr>
              <w:t>7</w:t>
            </w:r>
          </w:p>
        </w:tc>
        <w:tc>
          <w:tcPr>
            <w:tcW w:w="6300" w:type="dxa"/>
          </w:tcPr>
          <w:p>
            <w:pPr>
              <w:pStyle w:val="TableParagraph"/>
              <w:spacing w:line="247" w:lineRule="exact" w:before="1"/>
              <w:ind w:left="774"/>
              <w:rPr>
                <w:sz w:val="24"/>
              </w:rPr>
            </w:pPr>
            <w:r>
              <w:rPr>
                <w:sz w:val="24"/>
              </w:rPr>
              <w:t>contracts suggested that the market expectation was for a</w:t>
            </w:r>
          </w:p>
        </w:tc>
      </w:tr>
    </w:tbl>
    <w:p>
      <w:pPr>
        <w:spacing w:after="0" w:line="247" w:lineRule="exact"/>
        <w:rPr>
          <w:sz w:val="24"/>
        </w:rPr>
        <w:sectPr>
          <w:type w:val="continuous"/>
          <w:pgSz w:w="11900" w:h="16840"/>
          <w:pgMar w:top="1220" w:bottom="280" w:left="640" w:right="600"/>
        </w:sectPr>
      </w:pPr>
    </w:p>
    <w:p>
      <w:pPr>
        <w:tabs>
          <w:tab w:pos="1648" w:val="left" w:leader="none"/>
          <w:tab w:pos="2129" w:val="left" w:leader="none"/>
          <w:tab w:pos="2609" w:val="left" w:leader="none"/>
          <w:tab w:pos="3229" w:val="right" w:leader="none"/>
        </w:tabs>
        <w:spacing w:line="138" w:lineRule="exact" w:before="0"/>
        <w:ind w:left="189" w:right="0" w:firstLine="0"/>
        <w:jc w:val="left"/>
        <w:rPr>
          <w:sz w:val="14"/>
        </w:rPr>
      </w:pPr>
      <w:r>
        <w:rPr>
          <w:sz w:val="14"/>
        </w:rPr>
        <w:t>2000 Q4</w:t>
        <w:tab/>
        <w:t>15</w:t>
        <w:tab/>
        <w:t>39</w:t>
        <w:tab/>
        <w:t>36</w:t>
        <w:tab/>
        <w:t>10</w:t>
      </w:r>
    </w:p>
    <w:p>
      <w:pPr>
        <w:tabs>
          <w:tab w:pos="1648" w:val="left" w:leader="none"/>
          <w:tab w:pos="2129" w:val="left" w:leader="none"/>
          <w:tab w:pos="2609" w:val="left" w:leader="none"/>
          <w:tab w:pos="3229" w:val="right" w:leader="none"/>
        </w:tabs>
        <w:spacing w:line="150" w:lineRule="exact" w:before="0"/>
        <w:ind w:left="189" w:right="0" w:firstLine="0"/>
        <w:jc w:val="left"/>
        <w:rPr>
          <w:sz w:val="14"/>
        </w:rPr>
      </w:pPr>
      <w:r>
        <w:rPr>
          <w:sz w:val="14"/>
        </w:rPr>
        <w:t>2001 Q1</w:t>
        <w:tab/>
        <w:t>16</w:t>
        <w:tab/>
        <w:t>35</w:t>
        <w:tab/>
        <w:t>36</w:t>
        <w:tab/>
        <w:t>13</w:t>
      </w:r>
    </w:p>
    <w:p>
      <w:pPr>
        <w:spacing w:before="119"/>
        <w:ind w:left="189" w:right="0" w:firstLine="0"/>
        <w:jc w:val="left"/>
        <w:rPr>
          <w:b/>
          <w:sz w:val="14"/>
        </w:rPr>
      </w:pPr>
      <w:r>
        <w:rPr>
          <w:b/>
          <w:sz w:val="14"/>
        </w:rPr>
        <w:t>GDP growth</w:t>
      </w:r>
    </w:p>
    <w:p>
      <w:pPr>
        <w:tabs>
          <w:tab w:pos="1609" w:val="left" w:leader="none"/>
          <w:tab w:pos="4354" w:val="left" w:leader="none"/>
        </w:tabs>
        <w:spacing w:before="159"/>
        <w:ind w:left="189" w:right="0" w:firstLine="0"/>
        <w:jc w:val="left"/>
        <w:rPr>
          <w:sz w:val="14"/>
        </w:rPr>
      </w:pPr>
      <w:r>
        <w:rPr/>
        <w:pict>
          <v:shape style="position:absolute;margin-left:38.950001pt;margin-top:14.406099pt;width:509.65pt;height:55.3pt;mso-position-horizontal-relative:page;mso-position-vertical-relative:paragraph;z-index:16099328"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13"/>
                    <w:gridCol w:w="885"/>
                    <w:gridCol w:w="470"/>
                    <w:gridCol w:w="490"/>
                    <w:gridCol w:w="463"/>
                    <w:gridCol w:w="467"/>
                    <w:gridCol w:w="722"/>
                    <w:gridCol w:w="5682"/>
                  </w:tblGrid>
                  <w:tr>
                    <w:trPr>
                      <w:trHeight w:val="552" w:hRule="atLeast"/>
                    </w:trPr>
                    <w:tc>
                      <w:tcPr>
                        <w:tcW w:w="1013" w:type="dxa"/>
                      </w:tcPr>
                      <w:p>
                        <w:pPr>
                          <w:pStyle w:val="TableParagraph"/>
                          <w:spacing w:line="240" w:lineRule="auto"/>
                          <w:rPr>
                            <w:sz w:val="18"/>
                          </w:rPr>
                        </w:pPr>
                      </w:p>
                    </w:tc>
                    <w:tc>
                      <w:tcPr>
                        <w:tcW w:w="885" w:type="dxa"/>
                      </w:tcPr>
                      <w:p>
                        <w:pPr>
                          <w:pStyle w:val="TableParagraph"/>
                          <w:spacing w:line="208" w:lineRule="auto" w:before="48"/>
                          <w:ind w:left="476" w:right="1"/>
                          <w:rPr>
                            <w:sz w:val="14"/>
                          </w:rPr>
                        </w:pPr>
                        <w:r>
                          <w:rPr>
                            <w:sz w:val="14"/>
                          </w:rPr>
                          <w:t>less than </w:t>
                        </w:r>
                        <w:r>
                          <w:rPr>
                            <w:sz w:val="14"/>
                            <w:u w:val="single"/>
                          </w:rPr>
                          <w:t>0% </w:t>
                        </w:r>
                      </w:p>
                    </w:tc>
                    <w:tc>
                      <w:tcPr>
                        <w:tcW w:w="470" w:type="dxa"/>
                      </w:tcPr>
                      <w:p>
                        <w:pPr>
                          <w:pStyle w:val="TableParagraph"/>
                          <w:spacing w:line="150" w:lineRule="exact" w:before="31"/>
                          <w:ind w:left="72"/>
                          <w:rPr>
                            <w:sz w:val="14"/>
                          </w:rPr>
                        </w:pPr>
                        <w:r>
                          <w:rPr>
                            <w:sz w:val="14"/>
                          </w:rPr>
                          <w:t>0%</w:t>
                        </w:r>
                      </w:p>
                      <w:p>
                        <w:pPr>
                          <w:pStyle w:val="TableParagraph"/>
                          <w:spacing w:line="208" w:lineRule="auto" w:before="6"/>
                          <w:ind w:left="72" w:right="103" w:hanging="1"/>
                          <w:rPr>
                            <w:sz w:val="14"/>
                          </w:rPr>
                        </w:pPr>
                        <w:r>
                          <w:rPr>
                            <w:sz w:val="14"/>
                          </w:rPr>
                          <w:t>to </w:t>
                        </w:r>
                        <w:r>
                          <w:rPr>
                            <w:sz w:val="14"/>
                            <w:u w:val="single"/>
                          </w:rPr>
                          <w:t>1%</w:t>
                        </w:r>
                        <w:r>
                          <w:rPr>
                            <w:spacing w:val="-11"/>
                            <w:sz w:val="14"/>
                            <w:u w:val="single"/>
                          </w:rPr>
                          <w:t> </w:t>
                        </w:r>
                      </w:p>
                    </w:tc>
                    <w:tc>
                      <w:tcPr>
                        <w:tcW w:w="490" w:type="dxa"/>
                      </w:tcPr>
                      <w:p>
                        <w:pPr>
                          <w:pStyle w:val="TableParagraph"/>
                          <w:spacing w:line="150" w:lineRule="exact" w:before="31"/>
                          <w:ind w:left="82"/>
                          <w:rPr>
                            <w:sz w:val="14"/>
                          </w:rPr>
                        </w:pPr>
                        <w:r>
                          <w:rPr>
                            <w:sz w:val="14"/>
                          </w:rPr>
                          <w:t>1%</w:t>
                        </w:r>
                      </w:p>
                      <w:p>
                        <w:pPr>
                          <w:pStyle w:val="TableParagraph"/>
                          <w:spacing w:line="140" w:lineRule="exact"/>
                          <w:ind w:left="81"/>
                          <w:rPr>
                            <w:sz w:val="14"/>
                          </w:rPr>
                        </w:pPr>
                        <w:r>
                          <w:rPr>
                            <w:sz w:val="14"/>
                          </w:rPr>
                          <w:t>to</w:t>
                        </w:r>
                      </w:p>
                      <w:p>
                        <w:pPr>
                          <w:pStyle w:val="TableParagraph"/>
                          <w:spacing w:line="150" w:lineRule="exact"/>
                          <w:ind w:left="82"/>
                          <w:rPr>
                            <w:sz w:val="14"/>
                          </w:rPr>
                        </w:pPr>
                        <w:r>
                          <w:rPr>
                            <w:sz w:val="14"/>
                            <w:u w:val="single"/>
                          </w:rPr>
                          <w:t>2% </w:t>
                        </w:r>
                      </w:p>
                    </w:tc>
                    <w:tc>
                      <w:tcPr>
                        <w:tcW w:w="463" w:type="dxa"/>
                      </w:tcPr>
                      <w:p>
                        <w:pPr>
                          <w:pStyle w:val="TableParagraph"/>
                          <w:spacing w:line="150" w:lineRule="exact" w:before="31"/>
                          <w:ind w:left="72"/>
                          <w:rPr>
                            <w:sz w:val="14"/>
                          </w:rPr>
                        </w:pPr>
                        <w:r>
                          <w:rPr>
                            <w:sz w:val="14"/>
                          </w:rPr>
                          <w:t>2%</w:t>
                        </w:r>
                      </w:p>
                      <w:p>
                        <w:pPr>
                          <w:pStyle w:val="TableParagraph"/>
                          <w:spacing w:line="140" w:lineRule="exact"/>
                          <w:ind w:left="71"/>
                          <w:rPr>
                            <w:sz w:val="14"/>
                          </w:rPr>
                        </w:pPr>
                        <w:r>
                          <w:rPr>
                            <w:sz w:val="14"/>
                          </w:rPr>
                          <w:t>to</w:t>
                        </w:r>
                      </w:p>
                      <w:p>
                        <w:pPr>
                          <w:pStyle w:val="TableParagraph"/>
                          <w:spacing w:line="150" w:lineRule="exact"/>
                          <w:ind w:left="72"/>
                          <w:rPr>
                            <w:sz w:val="14"/>
                          </w:rPr>
                        </w:pPr>
                        <w:r>
                          <w:rPr>
                            <w:sz w:val="14"/>
                            <w:u w:val="single"/>
                          </w:rPr>
                          <w:t>3% </w:t>
                        </w:r>
                      </w:p>
                    </w:tc>
                    <w:tc>
                      <w:tcPr>
                        <w:tcW w:w="467" w:type="dxa"/>
                      </w:tcPr>
                      <w:p>
                        <w:pPr>
                          <w:pStyle w:val="TableParagraph"/>
                          <w:spacing w:line="150" w:lineRule="exact" w:before="31"/>
                          <w:ind w:left="89"/>
                          <w:rPr>
                            <w:sz w:val="14"/>
                          </w:rPr>
                        </w:pPr>
                        <w:r>
                          <w:rPr>
                            <w:sz w:val="14"/>
                          </w:rPr>
                          <w:t>3%</w:t>
                        </w:r>
                      </w:p>
                      <w:p>
                        <w:pPr>
                          <w:pStyle w:val="TableParagraph"/>
                          <w:spacing w:line="140" w:lineRule="exact"/>
                          <w:ind w:left="88"/>
                          <w:rPr>
                            <w:sz w:val="14"/>
                          </w:rPr>
                        </w:pPr>
                        <w:r>
                          <w:rPr>
                            <w:sz w:val="14"/>
                          </w:rPr>
                          <w:t>to</w:t>
                        </w:r>
                      </w:p>
                      <w:p>
                        <w:pPr>
                          <w:pStyle w:val="TableParagraph"/>
                          <w:spacing w:line="150" w:lineRule="exact"/>
                          <w:ind w:left="55"/>
                          <w:rPr>
                            <w:sz w:val="14"/>
                          </w:rPr>
                        </w:pPr>
                        <w:r>
                          <w:rPr>
                            <w:sz w:val="14"/>
                            <w:u w:val="single"/>
                          </w:rPr>
                          <w:t> 4% </w:t>
                        </w:r>
                      </w:p>
                    </w:tc>
                    <w:tc>
                      <w:tcPr>
                        <w:tcW w:w="722" w:type="dxa"/>
                      </w:tcPr>
                      <w:p>
                        <w:pPr>
                          <w:pStyle w:val="TableParagraph"/>
                          <w:spacing w:line="208" w:lineRule="auto" w:before="48"/>
                          <w:ind w:left="101" w:right="213" w:firstLine="1"/>
                          <w:rPr>
                            <w:sz w:val="14"/>
                          </w:rPr>
                        </w:pPr>
                        <w:r>
                          <w:rPr>
                            <w:sz w:val="14"/>
                          </w:rPr>
                          <w:t>more than </w:t>
                        </w:r>
                        <w:r>
                          <w:rPr>
                            <w:sz w:val="14"/>
                            <w:u w:val="single"/>
                          </w:rPr>
                          <w:t>4% </w:t>
                        </w:r>
                      </w:p>
                    </w:tc>
                    <w:tc>
                      <w:tcPr>
                        <w:tcW w:w="5682" w:type="dxa"/>
                      </w:tcPr>
                      <w:p>
                        <w:pPr>
                          <w:pStyle w:val="TableParagraph"/>
                          <w:spacing w:line="266" w:lineRule="exact"/>
                          <w:ind w:left="305"/>
                          <w:rPr>
                            <w:sz w:val="24"/>
                          </w:rPr>
                        </w:pPr>
                        <w:r>
                          <w:rPr>
                            <w:sz w:val="24"/>
                          </w:rPr>
                          <w:t>follow market expectations differ somewhat from those</w:t>
                        </w:r>
                      </w:p>
                      <w:p>
                        <w:pPr>
                          <w:pStyle w:val="TableParagraph"/>
                          <w:spacing w:line="263" w:lineRule="exact" w:before="4"/>
                          <w:ind w:left="305"/>
                          <w:rPr>
                            <w:sz w:val="24"/>
                          </w:rPr>
                        </w:pPr>
                        <w:r>
                          <w:rPr>
                            <w:sz w:val="24"/>
                          </w:rPr>
                          <w:t>in the central projection (see Charts 6.6 and 6.7). The</w:t>
                        </w:r>
                      </w:p>
                    </w:tc>
                  </w:tr>
                  <w:tr>
                    <w:trPr>
                      <w:trHeight w:val="280" w:hRule="atLeast"/>
                    </w:trPr>
                    <w:tc>
                      <w:tcPr>
                        <w:tcW w:w="1013" w:type="dxa"/>
                      </w:tcPr>
                      <w:p>
                        <w:pPr>
                          <w:pStyle w:val="TableParagraph"/>
                          <w:spacing w:line="150" w:lineRule="exact" w:before="38"/>
                          <w:ind w:left="50"/>
                          <w:rPr>
                            <w:sz w:val="14"/>
                          </w:rPr>
                        </w:pPr>
                        <w:r>
                          <w:rPr>
                            <w:sz w:val="14"/>
                          </w:rPr>
                          <w:t>1999 Q4</w:t>
                        </w:r>
                      </w:p>
                      <w:p>
                        <w:pPr>
                          <w:pStyle w:val="TableParagraph"/>
                          <w:spacing w:line="72" w:lineRule="exact"/>
                          <w:ind w:left="50"/>
                          <w:rPr>
                            <w:sz w:val="14"/>
                          </w:rPr>
                        </w:pPr>
                        <w:r>
                          <w:rPr>
                            <w:sz w:val="14"/>
                          </w:rPr>
                          <w:t>2000 Q4</w:t>
                        </w:r>
                      </w:p>
                    </w:tc>
                    <w:tc>
                      <w:tcPr>
                        <w:tcW w:w="885" w:type="dxa"/>
                      </w:tcPr>
                      <w:p>
                        <w:pPr>
                          <w:pStyle w:val="TableParagraph"/>
                          <w:spacing w:line="150" w:lineRule="exact" w:before="38"/>
                          <w:ind w:left="497"/>
                          <w:rPr>
                            <w:sz w:val="14"/>
                          </w:rPr>
                        </w:pPr>
                        <w:r>
                          <w:rPr>
                            <w:sz w:val="14"/>
                          </w:rPr>
                          <w:t>19</w:t>
                        </w:r>
                      </w:p>
                      <w:p>
                        <w:pPr>
                          <w:pStyle w:val="TableParagraph"/>
                          <w:spacing w:line="72" w:lineRule="exact"/>
                          <w:ind w:left="567"/>
                          <w:rPr>
                            <w:sz w:val="14"/>
                          </w:rPr>
                        </w:pPr>
                        <w:r>
                          <w:rPr>
                            <w:sz w:val="14"/>
                          </w:rPr>
                          <w:t>3</w:t>
                        </w:r>
                      </w:p>
                    </w:tc>
                    <w:tc>
                      <w:tcPr>
                        <w:tcW w:w="470" w:type="dxa"/>
                      </w:tcPr>
                      <w:p>
                        <w:pPr>
                          <w:pStyle w:val="TableParagraph"/>
                          <w:spacing w:line="150" w:lineRule="exact" w:before="38"/>
                          <w:ind w:left="92"/>
                          <w:rPr>
                            <w:sz w:val="14"/>
                          </w:rPr>
                        </w:pPr>
                        <w:r>
                          <w:rPr>
                            <w:sz w:val="14"/>
                          </w:rPr>
                          <w:t>40</w:t>
                        </w:r>
                      </w:p>
                      <w:p>
                        <w:pPr>
                          <w:pStyle w:val="TableParagraph"/>
                          <w:spacing w:line="72" w:lineRule="exact"/>
                          <w:ind w:left="92"/>
                          <w:rPr>
                            <w:sz w:val="14"/>
                          </w:rPr>
                        </w:pPr>
                        <w:r>
                          <w:rPr>
                            <w:sz w:val="14"/>
                          </w:rPr>
                          <w:t>10</w:t>
                        </w:r>
                      </w:p>
                    </w:tc>
                    <w:tc>
                      <w:tcPr>
                        <w:tcW w:w="490" w:type="dxa"/>
                      </w:tcPr>
                      <w:p>
                        <w:pPr>
                          <w:pStyle w:val="TableParagraph"/>
                          <w:spacing w:line="150" w:lineRule="exact" w:before="38"/>
                          <w:ind w:left="102"/>
                          <w:rPr>
                            <w:sz w:val="14"/>
                          </w:rPr>
                        </w:pPr>
                        <w:r>
                          <w:rPr>
                            <w:sz w:val="14"/>
                          </w:rPr>
                          <w:t>32</w:t>
                        </w:r>
                      </w:p>
                      <w:p>
                        <w:pPr>
                          <w:pStyle w:val="TableParagraph"/>
                          <w:spacing w:line="72" w:lineRule="exact"/>
                          <w:ind w:left="102"/>
                          <w:rPr>
                            <w:sz w:val="14"/>
                          </w:rPr>
                        </w:pPr>
                        <w:r>
                          <w:rPr>
                            <w:sz w:val="14"/>
                          </w:rPr>
                          <w:t>22</w:t>
                        </w:r>
                      </w:p>
                    </w:tc>
                    <w:tc>
                      <w:tcPr>
                        <w:tcW w:w="463" w:type="dxa"/>
                      </w:tcPr>
                      <w:p>
                        <w:pPr>
                          <w:pStyle w:val="TableParagraph"/>
                          <w:spacing w:line="150" w:lineRule="exact" w:before="38"/>
                          <w:ind w:right="66"/>
                          <w:jc w:val="center"/>
                          <w:rPr>
                            <w:sz w:val="14"/>
                          </w:rPr>
                        </w:pPr>
                        <w:r>
                          <w:rPr>
                            <w:sz w:val="14"/>
                          </w:rPr>
                          <w:t>8</w:t>
                        </w:r>
                      </w:p>
                      <w:p>
                        <w:pPr>
                          <w:pStyle w:val="TableParagraph"/>
                          <w:spacing w:line="72" w:lineRule="exact"/>
                          <w:ind w:left="73" w:right="209"/>
                          <w:jc w:val="center"/>
                          <w:rPr>
                            <w:sz w:val="14"/>
                          </w:rPr>
                        </w:pPr>
                        <w:r>
                          <w:rPr>
                            <w:sz w:val="14"/>
                          </w:rPr>
                          <w:t>30</w:t>
                        </w:r>
                      </w:p>
                    </w:tc>
                    <w:tc>
                      <w:tcPr>
                        <w:tcW w:w="467" w:type="dxa"/>
                      </w:tcPr>
                      <w:p>
                        <w:pPr>
                          <w:pStyle w:val="TableParagraph"/>
                          <w:spacing w:line="150" w:lineRule="exact" w:before="38"/>
                          <w:ind w:right="36"/>
                          <w:jc w:val="center"/>
                          <w:rPr>
                            <w:sz w:val="14"/>
                          </w:rPr>
                        </w:pPr>
                        <w:r>
                          <w:rPr>
                            <w:sz w:val="14"/>
                          </w:rPr>
                          <w:t>1</w:t>
                        </w:r>
                      </w:p>
                      <w:p>
                        <w:pPr>
                          <w:pStyle w:val="TableParagraph"/>
                          <w:spacing w:line="72" w:lineRule="exact"/>
                          <w:ind w:left="90" w:right="196"/>
                          <w:jc w:val="center"/>
                          <w:rPr>
                            <w:sz w:val="14"/>
                          </w:rPr>
                        </w:pPr>
                        <w:r>
                          <w:rPr>
                            <w:sz w:val="14"/>
                          </w:rPr>
                          <w:t>23</w:t>
                        </w:r>
                      </w:p>
                    </w:tc>
                    <w:tc>
                      <w:tcPr>
                        <w:tcW w:w="722" w:type="dxa"/>
                      </w:tcPr>
                      <w:p>
                        <w:pPr>
                          <w:pStyle w:val="TableParagraph"/>
                          <w:spacing w:line="150" w:lineRule="exact" w:before="38"/>
                          <w:ind w:left="152"/>
                          <w:rPr>
                            <w:sz w:val="14"/>
                          </w:rPr>
                        </w:pPr>
                        <w:r>
                          <w:rPr>
                            <w:sz w:val="14"/>
                          </w:rPr>
                          <w:t>0</w:t>
                        </w:r>
                      </w:p>
                      <w:p>
                        <w:pPr>
                          <w:pStyle w:val="TableParagraph"/>
                          <w:spacing w:line="72" w:lineRule="exact"/>
                          <w:ind w:left="82"/>
                          <w:rPr>
                            <w:sz w:val="14"/>
                          </w:rPr>
                        </w:pPr>
                        <w:r>
                          <w:rPr>
                            <w:sz w:val="14"/>
                          </w:rPr>
                          <w:t>12</w:t>
                        </w:r>
                      </w:p>
                    </w:tc>
                    <w:tc>
                      <w:tcPr>
                        <w:tcW w:w="5682" w:type="dxa"/>
                      </w:tcPr>
                      <w:p>
                        <w:pPr>
                          <w:pStyle w:val="TableParagraph"/>
                          <w:spacing w:line="260" w:lineRule="exact"/>
                          <w:ind w:left="305"/>
                          <w:rPr>
                            <w:sz w:val="24"/>
                          </w:rPr>
                        </w:pPr>
                        <w:r>
                          <w:rPr>
                            <w:sz w:val="24"/>
                          </w:rPr>
                          <w:t>path of interest rates is below the constant interest rate</w:t>
                        </w:r>
                      </w:p>
                    </w:tc>
                  </w:tr>
                  <w:tr>
                    <w:trPr>
                      <w:trHeight w:val="272" w:hRule="atLeast"/>
                    </w:trPr>
                    <w:tc>
                      <w:tcPr>
                        <w:tcW w:w="1013" w:type="dxa"/>
                      </w:tcPr>
                      <w:p>
                        <w:pPr>
                          <w:pStyle w:val="TableParagraph"/>
                          <w:spacing w:line="240" w:lineRule="auto" w:before="38"/>
                          <w:ind w:left="50"/>
                          <w:rPr>
                            <w:sz w:val="14"/>
                          </w:rPr>
                        </w:pPr>
                        <w:r>
                          <w:rPr>
                            <w:sz w:val="14"/>
                          </w:rPr>
                          <w:t>2001 Q1</w:t>
                        </w:r>
                      </w:p>
                    </w:tc>
                    <w:tc>
                      <w:tcPr>
                        <w:tcW w:w="885" w:type="dxa"/>
                      </w:tcPr>
                      <w:p>
                        <w:pPr>
                          <w:pStyle w:val="TableParagraph"/>
                          <w:spacing w:line="240" w:lineRule="auto" w:before="38"/>
                          <w:ind w:left="567"/>
                          <w:rPr>
                            <w:sz w:val="14"/>
                          </w:rPr>
                        </w:pPr>
                        <w:r>
                          <w:rPr>
                            <w:sz w:val="14"/>
                          </w:rPr>
                          <w:t>3</w:t>
                        </w:r>
                      </w:p>
                    </w:tc>
                    <w:tc>
                      <w:tcPr>
                        <w:tcW w:w="470" w:type="dxa"/>
                      </w:tcPr>
                      <w:p>
                        <w:pPr>
                          <w:pStyle w:val="TableParagraph"/>
                          <w:spacing w:line="240" w:lineRule="auto" w:before="38"/>
                          <w:ind w:right="73"/>
                          <w:jc w:val="center"/>
                          <w:rPr>
                            <w:sz w:val="14"/>
                          </w:rPr>
                        </w:pPr>
                        <w:r>
                          <w:rPr>
                            <w:sz w:val="14"/>
                          </w:rPr>
                          <w:t>8</w:t>
                        </w:r>
                      </w:p>
                    </w:tc>
                    <w:tc>
                      <w:tcPr>
                        <w:tcW w:w="490" w:type="dxa"/>
                      </w:tcPr>
                      <w:p>
                        <w:pPr>
                          <w:pStyle w:val="TableParagraph"/>
                          <w:spacing w:line="240" w:lineRule="auto" w:before="38"/>
                          <w:ind w:left="102"/>
                          <w:rPr>
                            <w:sz w:val="14"/>
                          </w:rPr>
                        </w:pPr>
                        <w:r>
                          <w:rPr>
                            <w:sz w:val="14"/>
                          </w:rPr>
                          <w:t>19</w:t>
                        </w:r>
                      </w:p>
                    </w:tc>
                    <w:tc>
                      <w:tcPr>
                        <w:tcW w:w="463" w:type="dxa"/>
                      </w:tcPr>
                      <w:p>
                        <w:pPr>
                          <w:pStyle w:val="TableParagraph"/>
                          <w:spacing w:line="240" w:lineRule="auto" w:before="38"/>
                          <w:ind w:left="92"/>
                          <w:rPr>
                            <w:sz w:val="14"/>
                          </w:rPr>
                        </w:pPr>
                        <w:r>
                          <w:rPr>
                            <w:sz w:val="14"/>
                          </w:rPr>
                          <w:t>28</w:t>
                        </w:r>
                      </w:p>
                    </w:tc>
                    <w:tc>
                      <w:tcPr>
                        <w:tcW w:w="467" w:type="dxa"/>
                      </w:tcPr>
                      <w:p>
                        <w:pPr>
                          <w:pStyle w:val="TableParagraph"/>
                          <w:spacing w:line="240" w:lineRule="auto" w:before="38"/>
                          <w:ind w:left="109"/>
                          <w:rPr>
                            <w:sz w:val="14"/>
                          </w:rPr>
                        </w:pPr>
                        <w:r>
                          <w:rPr>
                            <w:sz w:val="14"/>
                          </w:rPr>
                          <w:t>25</w:t>
                        </w:r>
                      </w:p>
                    </w:tc>
                    <w:tc>
                      <w:tcPr>
                        <w:tcW w:w="722" w:type="dxa"/>
                      </w:tcPr>
                      <w:p>
                        <w:pPr>
                          <w:pStyle w:val="TableParagraph"/>
                          <w:spacing w:line="240" w:lineRule="auto" w:before="38"/>
                          <w:ind w:left="82"/>
                          <w:rPr>
                            <w:sz w:val="14"/>
                          </w:rPr>
                        </w:pPr>
                        <w:r>
                          <w:rPr>
                            <w:sz w:val="14"/>
                          </w:rPr>
                          <w:t>17</w:t>
                        </w:r>
                      </w:p>
                    </w:tc>
                    <w:tc>
                      <w:tcPr>
                        <w:tcW w:w="5682" w:type="dxa"/>
                      </w:tcPr>
                      <w:p>
                        <w:pPr>
                          <w:pStyle w:val="TableParagraph"/>
                          <w:spacing w:line="253" w:lineRule="exact"/>
                          <w:ind w:left="305"/>
                          <w:rPr>
                            <w:sz w:val="24"/>
                          </w:rPr>
                        </w:pPr>
                        <w:r>
                          <w:rPr>
                            <w:sz w:val="24"/>
                          </w:rPr>
                          <w:t>assumption, implying slightly faster growth and</w:t>
                        </w:r>
                      </w:p>
                    </w:tc>
                  </w:tr>
                </w:tbl>
                <w:p>
                  <w:pPr>
                    <w:pStyle w:val="BodyText"/>
                  </w:pPr>
                </w:p>
              </w:txbxContent>
            </v:textbox>
            <w10:wrap type="none"/>
          </v:shape>
        </w:pict>
      </w:r>
      <w:r>
        <w:rPr>
          <w:sz w:val="14"/>
        </w:rPr>
        <w:t>Probability, per cent</w:t>
        <w:tab/>
      </w:r>
      <w:r>
        <w:rPr>
          <w:sz w:val="14"/>
          <w:u w:val="single"/>
        </w:rPr>
        <w:t> Range:</w:t>
        <w:tab/>
      </w:r>
    </w:p>
    <w:p>
      <w:pPr>
        <w:pStyle w:val="Heading4"/>
        <w:spacing w:line="242" w:lineRule="auto" w:before="6"/>
        <w:ind w:left="188"/>
      </w:pPr>
      <w:r>
        <w:rPr/>
        <w:br w:type="column"/>
      </w:r>
      <w:r>
        <w:rPr/>
        <w:t>fall in official interest rates to around 5% by the end of 1999. The MPC’s projections for inflation and output growth under the assumption that official interest rates</w:t>
      </w:r>
    </w:p>
    <w:p>
      <w:pPr>
        <w:spacing w:after="0" w:line="242" w:lineRule="auto"/>
        <w:sectPr>
          <w:type w:val="continuous"/>
          <w:pgSz w:w="11900" w:h="16840"/>
          <w:pgMar w:top="1220" w:bottom="280" w:left="640" w:right="600"/>
          <w:cols w:num="2" w:equalWidth="0">
            <w:col w:w="4395" w:space="370"/>
            <w:col w:w="5895"/>
          </w:cols>
        </w:sect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5"/>
        <w:rPr>
          <w:sz w:val="14"/>
        </w:rPr>
      </w:pPr>
    </w:p>
    <w:p>
      <w:pPr>
        <w:pStyle w:val="ListParagraph"/>
        <w:numPr>
          <w:ilvl w:val="0"/>
          <w:numId w:val="32"/>
        </w:numPr>
        <w:tabs>
          <w:tab w:pos="439" w:val="left" w:leader="none"/>
        </w:tabs>
        <w:spacing w:line="208" w:lineRule="auto" w:before="0" w:after="0"/>
        <w:ind w:left="438" w:right="38" w:hanging="250"/>
        <w:jc w:val="left"/>
        <w:rPr>
          <w:sz w:val="12"/>
        </w:rPr>
      </w:pPr>
      <w:r>
        <w:rPr>
          <w:sz w:val="12"/>
        </w:rPr>
        <w:t>These figures are from the same distributions as the GDP and inflation fan </w:t>
      </w:r>
      <w:r>
        <w:rPr>
          <w:spacing w:val="-3"/>
          <w:sz w:val="12"/>
        </w:rPr>
        <w:t>charts, </w:t>
      </w:r>
      <w:r>
        <w:rPr>
          <w:sz w:val="12"/>
        </w:rPr>
        <w:t>Charts 6.1 and 6.2.</w:t>
      </w:r>
    </w:p>
    <w:p>
      <w:pPr>
        <w:pStyle w:val="BodyText"/>
        <w:rPr>
          <w:sz w:val="26"/>
        </w:rPr>
      </w:pPr>
      <w:r>
        <w:rPr/>
        <w:br w:type="column"/>
      </w:r>
      <w:r>
        <w:rPr>
          <w:sz w:val="26"/>
        </w:rPr>
      </w:r>
    </w:p>
    <w:p>
      <w:pPr>
        <w:pStyle w:val="BodyText"/>
        <w:rPr>
          <w:sz w:val="26"/>
        </w:rPr>
      </w:pPr>
    </w:p>
    <w:p>
      <w:pPr>
        <w:pStyle w:val="BodyText"/>
        <w:rPr>
          <w:sz w:val="26"/>
        </w:rPr>
      </w:pPr>
    </w:p>
    <w:p>
      <w:pPr>
        <w:pStyle w:val="Heading4"/>
        <w:spacing w:line="242" w:lineRule="auto" w:before="181"/>
        <w:ind w:left="188" w:right="448"/>
      </w:pPr>
      <w:r>
        <w:rPr/>
        <w:t>consequently higher inflation than in the central projection which, at the two-year horizon, is above the target.</w:t>
      </w:r>
    </w:p>
    <w:p>
      <w:pPr>
        <w:spacing w:after="0" w:line="242" w:lineRule="auto"/>
        <w:sectPr>
          <w:type w:val="continuous"/>
          <w:pgSz w:w="11900" w:h="16840"/>
          <w:pgMar w:top="1220" w:bottom="280" w:left="640" w:right="600"/>
          <w:cols w:num="2" w:equalWidth="0">
            <w:col w:w="4398" w:space="367"/>
            <w:col w:w="5895"/>
          </w:cols>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spacing w:after="0"/>
        <w:rPr>
          <w:sz w:val="20"/>
        </w:rPr>
        <w:sectPr>
          <w:type w:val="continuous"/>
          <w:pgSz w:w="11900" w:h="16840"/>
          <w:pgMar w:top="1220" w:bottom="280" w:left="640" w:right="600"/>
        </w:sectPr>
      </w:pPr>
    </w:p>
    <w:p>
      <w:pPr>
        <w:pStyle w:val="BodyText"/>
        <w:spacing w:before="10"/>
        <w:rPr>
          <w:sz w:val="19"/>
        </w:rPr>
      </w:pPr>
    </w:p>
    <w:p>
      <w:pPr>
        <w:pStyle w:val="Heading7"/>
        <w:spacing w:before="0"/>
        <w:ind w:left="184"/>
      </w:pPr>
      <w:r>
        <w:rPr>
          <w:color w:val="0093C1"/>
        </w:rPr>
        <w:t>Chart 6.6</w:t>
      </w:r>
    </w:p>
    <w:p>
      <w:pPr>
        <w:spacing w:line="249" w:lineRule="auto" w:before="10"/>
        <w:ind w:left="184" w:right="21" w:firstLine="0"/>
        <w:jc w:val="left"/>
        <w:rPr>
          <w:b/>
          <w:sz w:val="20"/>
        </w:rPr>
      </w:pPr>
      <w:r>
        <w:rPr>
          <w:b/>
          <w:color w:val="0093C1"/>
          <w:sz w:val="20"/>
        </w:rPr>
        <w:t>Current RPIX inflation projection based on market interest rate expectations</w:t>
      </w:r>
    </w:p>
    <w:p>
      <w:pPr>
        <w:pStyle w:val="BodyText"/>
        <w:spacing w:before="10"/>
        <w:rPr>
          <w:b/>
          <w:sz w:val="19"/>
        </w:rPr>
      </w:pPr>
      <w:r>
        <w:rPr/>
        <w:br w:type="column"/>
      </w:r>
      <w:r>
        <w:rPr>
          <w:b/>
          <w:sz w:val="19"/>
        </w:rPr>
      </w:r>
    </w:p>
    <w:p>
      <w:pPr>
        <w:spacing w:before="0"/>
        <w:ind w:left="184" w:right="0" w:firstLine="0"/>
        <w:jc w:val="left"/>
        <w:rPr>
          <w:b/>
          <w:sz w:val="20"/>
        </w:rPr>
      </w:pPr>
      <w:r>
        <w:rPr>
          <w:b/>
          <w:color w:val="0093C1"/>
          <w:sz w:val="20"/>
        </w:rPr>
        <w:t>Chart 6.7</w:t>
      </w:r>
    </w:p>
    <w:p>
      <w:pPr>
        <w:spacing w:line="249" w:lineRule="auto" w:before="10"/>
        <w:ind w:left="184" w:right="1390" w:firstLine="0"/>
        <w:jc w:val="left"/>
        <w:rPr>
          <w:b/>
          <w:sz w:val="20"/>
        </w:rPr>
      </w:pPr>
      <w:r>
        <w:rPr>
          <w:b/>
          <w:color w:val="0093C1"/>
          <w:sz w:val="20"/>
        </w:rPr>
        <w:t>Current GDP projection based on market interest rate expectations</w:t>
      </w:r>
    </w:p>
    <w:p>
      <w:pPr>
        <w:spacing w:after="0" w:line="249" w:lineRule="auto"/>
        <w:jc w:val="left"/>
        <w:rPr>
          <w:sz w:val="20"/>
        </w:rPr>
        <w:sectPr>
          <w:type w:val="continuous"/>
          <w:pgSz w:w="11900" w:h="16840"/>
          <w:pgMar w:top="1220" w:bottom="280" w:left="640" w:right="600"/>
          <w:cols w:num="2" w:equalWidth="0">
            <w:col w:w="3964" w:space="836"/>
            <w:col w:w="5860"/>
          </w:cols>
        </w:sectPr>
      </w:pPr>
    </w:p>
    <w:p>
      <w:pPr>
        <w:pStyle w:val="BodyText"/>
        <w:spacing w:before="10"/>
        <w:rPr>
          <w:b/>
          <w:sz w:val="10"/>
        </w:rPr>
      </w:pPr>
    </w:p>
    <w:p>
      <w:pPr>
        <w:spacing w:after="0"/>
        <w:rPr>
          <w:sz w:val="10"/>
        </w:rPr>
        <w:sectPr>
          <w:type w:val="continuous"/>
          <w:pgSz w:w="11900" w:h="16840"/>
          <w:pgMar w:top="1220" w:bottom="280" w:left="640" w:right="600"/>
        </w:sectPr>
      </w:pPr>
    </w:p>
    <w:p>
      <w:pPr>
        <w:spacing w:before="100"/>
        <w:ind w:left="1906" w:right="0" w:firstLine="0"/>
        <w:jc w:val="left"/>
        <w:rPr>
          <w:sz w:val="12"/>
        </w:rPr>
      </w:pPr>
      <w:r>
        <w:rPr/>
        <w:pict>
          <v:line style="position:absolute;mso-position-horizontal-relative:page;mso-position-vertical-relative:paragraph;z-index:16090112" from="42.969002pt,13.268572pt" to="47.569002pt,13.268572pt" stroked="true" strokeweight=".5pt" strokecolor="#231f20">
            <v:stroke dashstyle="solid"/>
            <w10:wrap type="none"/>
          </v:line>
        </w:pict>
      </w:r>
      <w:r>
        <w:rPr/>
        <w:pict>
          <v:line style="position:absolute;mso-position-horizontal-relative:page;mso-position-vertical-relative:paragraph;z-index:-20924928" from="237.635004pt,13.268572pt" to="233.035004pt,13.268572pt" stroked="true" strokeweight=".5pt" strokecolor="#231f20">
            <v:stroke dashstyle="solid"/>
            <w10:wrap type="none"/>
          </v:line>
        </w:pict>
      </w:r>
      <w:r>
        <w:rPr>
          <w:sz w:val="12"/>
        </w:rPr>
        <w:t>Percentage increase in prices on a year earlier </w:t>
      </w:r>
      <w:r>
        <w:rPr>
          <w:position w:val="-7"/>
          <w:sz w:val="12"/>
        </w:rPr>
        <w:t>6</w:t>
      </w:r>
    </w:p>
    <w:p>
      <w:pPr>
        <w:pStyle w:val="BodyText"/>
        <w:rPr>
          <w:sz w:val="20"/>
        </w:rPr>
      </w:pPr>
    </w:p>
    <w:p>
      <w:pPr>
        <w:spacing w:before="123"/>
        <w:ind w:left="0" w:right="137" w:firstLine="0"/>
        <w:jc w:val="right"/>
        <w:rPr>
          <w:sz w:val="12"/>
        </w:rPr>
      </w:pPr>
      <w:r>
        <w:rPr/>
        <w:pict>
          <v:line style="position:absolute;mso-position-horizontal-relative:page;mso-position-vertical-relative:paragraph;z-index:16089600" from="42.969002pt,10.52057pt" to="47.569002pt,10.52057pt" stroked="true" strokeweight=".5pt" strokecolor="#231f20">
            <v:stroke dashstyle="solid"/>
            <w10:wrap type="none"/>
          </v:line>
        </w:pict>
      </w:r>
      <w:r>
        <w:rPr/>
        <w:pict>
          <v:line style="position:absolute;mso-position-horizontal-relative:page;mso-position-vertical-relative:paragraph;z-index:16092672" from="237.635004pt,10.52057pt" to="233.035004pt,10.52057pt" stroked="true" strokeweight=".5pt" strokecolor="#231f20">
            <v:stroke dashstyle="solid"/>
            <w10:wrap type="none"/>
          </v:line>
        </w:pict>
      </w:r>
      <w:r>
        <w:rPr>
          <w:sz w:val="12"/>
        </w:rPr>
        <w:t>5</w:t>
      </w:r>
    </w:p>
    <w:p>
      <w:pPr>
        <w:pStyle w:val="BodyText"/>
        <w:rPr>
          <w:sz w:val="12"/>
        </w:rPr>
      </w:pPr>
    </w:p>
    <w:p>
      <w:pPr>
        <w:pStyle w:val="BodyText"/>
        <w:rPr>
          <w:sz w:val="12"/>
        </w:rPr>
      </w:pPr>
    </w:p>
    <w:p>
      <w:pPr>
        <w:spacing w:before="79"/>
        <w:ind w:left="0" w:right="137" w:firstLine="0"/>
        <w:jc w:val="right"/>
        <w:rPr>
          <w:sz w:val="12"/>
        </w:rPr>
      </w:pPr>
      <w:r>
        <w:rPr/>
        <w:pict>
          <v:group style="position:absolute;margin-left:50.640999pt;margin-top:-.002636pt;width:178.4pt;height:77.8pt;mso-position-horizontal-relative:page;mso-position-vertical-relative:paragraph;z-index:16086528" coordorigin="1013,0" coordsize="3568,1556">
            <v:shape style="position:absolute;left:3437;top:-1;width:1143;height:1556" coordorigin="3438,0" coordsize="1143,1556" path="m4580,0l4453,169,4199,290,4072,345,3946,374,3819,480,3692,575,3565,761,3438,893,3565,1066,3692,1185,3819,1242,3946,1289,4072,1362,4199,1429,4453,1555,4580,1510,4580,0xe" filled="true" fillcolor="#fee7de" stroked="false">
              <v:path arrowok="t"/>
              <v:fill type="solid"/>
            </v:shape>
            <v:shape style="position:absolute;left:3437;top:156;width:1143;height:1238" coordorigin="3438,157" coordsize="1143,1238" path="m4580,157l4453,316,4199,417,4072,462,3946,480,3819,567,3692,645,3565,795,3438,892,3565,1032,3692,1119,3819,1159,3946,1190,4072,1252,4199,1302,4453,1394,4580,1331,4580,157xe" filled="true" fillcolor="#fcd3c4" stroked="false">
              <v:path arrowok="t"/>
              <v:fill type="solid"/>
            </v:shape>
            <v:shape style="position:absolute;left:3437;top:258;width:1143;height:1028" coordorigin="3438,258" coordsize="1143,1028" path="m4580,258l4453,411,4199,500,4072,539,3946,549,3819,624,3692,690,3565,817,3438,890,3565,1009,3692,1075,3819,1105,3946,1126,4072,1181,4199,1219,4453,1285,4580,1210,4580,258xe" filled="true" fillcolor="#fabeac" stroked="false">
              <v:path arrowok="t"/>
              <v:fill type="solid"/>
            </v:shape>
            <v:shape style="position:absolute;left:3437;top:339;width:1143;height:860" coordorigin="3438,339" coordsize="1143,860" path="m4580,339l4453,489,4199,570,4072,606,3946,609,3819,675,3692,731,3565,839,3438,892,3565,994,3692,1042,3819,1063,3946,1075,4072,1124,4199,1152,4453,1199,4580,1114,4580,339xe" filled="true" fillcolor="#f8aa95" stroked="false">
              <v:path arrowok="t"/>
              <v:fill type="solid"/>
            </v:shape>
            <v:shape style="position:absolute;left:3437;top:413;width:1143;height:716" coordorigin="3438,413" coordsize="1143,716" path="m4580,413l4453,558,4199,629,4072,660,3946,657,3819,715,3692,764,3565,855,3438,892,3565,981,3692,1015,3819,1030,3946,1035,4072,1079,4199,1099,4453,1129,4580,1035,4580,413xe" filled="true" fillcolor="#f69780" stroked="false">
              <v:path arrowok="t"/>
              <v:fill type="solid"/>
            </v:shape>
            <v:shape style="position:absolute;left:3437;top:477;width:1143;height:585" coordorigin="3438,477" coordsize="1143,585" path="m4580,477l4453,618,4199,682,4072,709,3946,702,3819,752,3692,793,3565,870,3438,892,3565,967,3692,988,3819,997,3946,995,4072,1035,4199,1047,4453,1062,4580,961,4580,477xe" filled="true" fillcolor="#f5846d" stroked="false">
              <v:path arrowok="t"/>
              <v:fill type="solid"/>
            </v:shape>
            <v:shape style="position:absolute;left:3437;top:535;width:1143;height:464" coordorigin="3438,536" coordsize="1143,464" path="m4580,536l4453,673,4199,729,4072,753,3946,741,3819,785,3692,819,3565,882,3438,891,3565,955,3692,964,3819,966,3946,958,4072,995,4199,999,4453,999,4580,891,4580,536xe" filled="true" fillcolor="#f3715b" stroked="false">
              <v:path arrowok="t"/>
              <v:fill type="solid"/>
            </v:shape>
            <v:shape style="position:absolute;left:3437;top:591;width:1143;height:366" coordorigin="3438,592" coordsize="1143,366" path="m4580,592l4453,726,4199,778,4072,799,3946,783,3819,820,3692,847,3565,897,3438,893,3565,944,3692,942,3819,938,3946,925,4072,957,4199,956,4453,943,4580,829,4580,592xe" filled="true" fillcolor="#f15b4a" stroked="false">
              <v:path arrowok="t"/>
              <v:fill type="solid"/>
            </v:shape>
            <v:shape style="position:absolute;left:3437;top:644;width:1143;height:289" coordorigin="3438,644" coordsize="1143,289" path="m4580,644l4453,776,4199,823,4072,841,3948,821,3821,851,3692,872,3565,909,3438,891,3565,932,3692,919,3819,911,3946,892,4072,920,4199,912,4453,885,4580,763,4580,644xe" filled="true" fillcolor="#ed1b2d" stroked="false">
              <v:path arrowok="t"/>
              <v:fill type="solid"/>
            </v:shape>
            <v:shape style="position:absolute;left:1022;top:692;width:762;height:377" coordorigin="1023,692" coordsize="762,377" path="m1150,949l1023,808m1277,1068l1150,949m1404,1037l1277,1068m1530,762l1404,1037m1657,783l1530,762m1784,692l1657,783e" filled="false" stroked="true" strokeweight="1pt" strokecolor="#ed1b2d">
              <v:path arrowok="t"/>
              <v:stroke dashstyle="solid"/>
            </v:shape>
            <v:line style="position:absolute" from="1774,695" to="1921,695" stroked="true" strokeweight="1.266pt" strokecolor="#ed1b2d">
              <v:stroke dashstyle="solid"/>
            </v:line>
            <v:shape style="position:absolute;left:1911;top:550;width:1523;height:341" coordorigin="1911,551" coordsize="1523,341" path="m2038,743l1911,697m2165,764l2038,743m2292,722l2165,764m2419,551l2292,722m2546,727l2419,551m2672,877l2546,727m2799,740l2672,877m2926,782l2799,740m3053,883l2926,782m3180,666l3053,883m3307,873l3180,666m3434,892l3307,873e" filled="false" stroked="true" strokeweight="1pt" strokecolor="#ed1b2d">
              <v:path arrowok="t"/>
              <v:stroke dashstyle="solid"/>
            </v:shape>
            <v:shape style="position:absolute;left:1012;top:-1;width:3568;height:1556" type="#_x0000_t202" filled="false" stroked="false">
              <v:textbox inset="0,0,0,0">
                <w:txbxContent>
                  <w:p>
                    <w:pPr>
                      <w:spacing w:line="240" w:lineRule="auto" w:before="0"/>
                      <w:rPr>
                        <w:sz w:val="12"/>
                      </w:rPr>
                    </w:pPr>
                  </w:p>
                  <w:p>
                    <w:pPr>
                      <w:spacing w:line="240" w:lineRule="auto" w:before="0"/>
                      <w:rPr>
                        <w:sz w:val="12"/>
                      </w:rPr>
                    </w:pPr>
                  </w:p>
                  <w:p>
                    <w:pPr>
                      <w:spacing w:line="240" w:lineRule="auto" w:before="0"/>
                      <w:rPr>
                        <w:sz w:val="12"/>
                      </w:rPr>
                    </w:pPr>
                  </w:p>
                  <w:p>
                    <w:pPr>
                      <w:spacing w:line="240" w:lineRule="auto" w:before="0"/>
                      <w:rPr>
                        <w:sz w:val="12"/>
                      </w:rPr>
                    </w:pPr>
                  </w:p>
                  <w:p>
                    <w:pPr>
                      <w:spacing w:line="240" w:lineRule="auto" w:before="0"/>
                      <w:rPr>
                        <w:sz w:val="12"/>
                      </w:rPr>
                    </w:pPr>
                  </w:p>
                  <w:p>
                    <w:pPr>
                      <w:spacing w:line="240" w:lineRule="auto" w:before="4"/>
                      <w:rPr>
                        <w:sz w:val="11"/>
                      </w:rPr>
                    </w:pPr>
                  </w:p>
                  <w:p>
                    <w:pPr>
                      <w:tabs>
                        <w:tab w:pos="3563" w:val="left" w:leader="none"/>
                      </w:tabs>
                      <w:spacing w:before="0"/>
                      <w:ind w:left="7" w:right="0" w:firstLine="0"/>
                      <w:jc w:val="left"/>
                      <w:rPr>
                        <w:sz w:val="12"/>
                      </w:rPr>
                    </w:pPr>
                    <w:r>
                      <w:rPr>
                        <w:sz w:val="12"/>
                        <w:u w:val="single" w:color="231F20"/>
                      </w:rPr>
                      <w:t> </w:t>
                      <w:tab/>
                    </w:r>
                  </w:p>
                </w:txbxContent>
              </v:textbox>
              <w10:wrap type="none"/>
            </v:shape>
            <w10:wrap type="none"/>
          </v:group>
        </w:pict>
      </w:r>
      <w:r>
        <w:rPr/>
        <w:pict>
          <v:line style="position:absolute;mso-position-horizontal-relative:page;mso-position-vertical-relative:paragraph;z-index:16089088" from="42.969002pt,8.318363pt" to="47.569002pt,8.318363pt" stroked="true" strokeweight=".5pt" strokecolor="#231f20">
            <v:stroke dashstyle="solid"/>
            <w10:wrap type="none"/>
          </v:line>
        </w:pict>
      </w:r>
      <w:r>
        <w:rPr/>
        <w:pict>
          <v:line style="position:absolute;mso-position-horizontal-relative:page;mso-position-vertical-relative:paragraph;z-index:16092160" from="237.635004pt,8.318363pt" to="233.035004pt,8.318363pt" stroked="true" strokeweight=".5pt" strokecolor="#231f20">
            <v:stroke dashstyle="solid"/>
            <w10:wrap type="none"/>
          </v:line>
        </w:pict>
      </w:r>
      <w:r>
        <w:rPr>
          <w:sz w:val="12"/>
        </w:rPr>
        <w:t>4</w:t>
      </w:r>
    </w:p>
    <w:p>
      <w:pPr>
        <w:pStyle w:val="BodyText"/>
        <w:rPr>
          <w:sz w:val="12"/>
        </w:rPr>
      </w:pPr>
    </w:p>
    <w:p>
      <w:pPr>
        <w:pStyle w:val="BodyText"/>
        <w:rPr>
          <w:sz w:val="12"/>
        </w:rPr>
      </w:pPr>
    </w:p>
    <w:p>
      <w:pPr>
        <w:spacing w:before="80"/>
        <w:ind w:left="0" w:right="137" w:firstLine="0"/>
        <w:jc w:val="right"/>
        <w:rPr>
          <w:sz w:val="12"/>
        </w:rPr>
      </w:pPr>
      <w:r>
        <w:rPr/>
        <w:pict>
          <v:line style="position:absolute;mso-position-horizontal-relative:page;mso-position-vertical-relative:paragraph;z-index:16088576" from="42.969002pt,8.369158pt" to="47.569002pt,8.369158pt" stroked="true" strokeweight=".5pt" strokecolor="#231f20">
            <v:stroke dashstyle="solid"/>
            <w10:wrap type="none"/>
          </v:line>
        </w:pict>
      </w:r>
      <w:r>
        <w:rPr/>
        <w:pict>
          <v:line style="position:absolute;mso-position-horizontal-relative:page;mso-position-vertical-relative:paragraph;z-index:16091648" from="237.635004pt,8.369158pt" to="233.035004pt,8.369158pt" stroked="true" strokeweight=".5pt" strokecolor="#231f20">
            <v:stroke dashstyle="solid"/>
            <w10:wrap type="none"/>
          </v:line>
        </w:pict>
      </w:r>
      <w:r>
        <w:rPr>
          <w:sz w:val="12"/>
        </w:rPr>
        <w:t>3</w:t>
      </w:r>
    </w:p>
    <w:p>
      <w:pPr>
        <w:pStyle w:val="BodyText"/>
        <w:spacing w:before="7"/>
        <w:rPr>
          <w:sz w:val="9"/>
        </w:rPr>
      </w:pPr>
    </w:p>
    <w:p>
      <w:pPr>
        <w:spacing w:before="0"/>
        <w:ind w:left="0" w:right="38" w:firstLine="0"/>
        <w:jc w:val="right"/>
        <w:rPr>
          <w:sz w:val="12"/>
        </w:rPr>
      </w:pPr>
      <w:r>
        <w:rPr>
          <w:sz w:val="12"/>
          <w:u w:val="single" w:color="231F20"/>
        </w:rPr>
        <w:t>   </w:t>
      </w:r>
      <w:r>
        <w:rPr>
          <w:sz w:val="12"/>
        </w:rPr>
        <w:t>  2.5</w:t>
      </w:r>
    </w:p>
    <w:p>
      <w:pPr>
        <w:spacing w:before="107"/>
        <w:ind w:left="0" w:right="137" w:firstLine="0"/>
        <w:jc w:val="right"/>
        <w:rPr>
          <w:sz w:val="12"/>
        </w:rPr>
      </w:pPr>
      <w:r>
        <w:rPr/>
        <w:pict>
          <v:line style="position:absolute;mso-position-horizontal-relative:page;mso-position-vertical-relative:paragraph;z-index:16088064" from="42.969002pt,9.718952pt" to="47.569002pt,9.718952pt" stroked="true" strokeweight=".5pt" strokecolor="#231f20">
            <v:stroke dashstyle="solid"/>
            <w10:wrap type="none"/>
          </v:line>
        </w:pict>
      </w:r>
      <w:r>
        <w:rPr/>
        <w:pict>
          <v:line style="position:absolute;mso-position-horizontal-relative:page;mso-position-vertical-relative:paragraph;z-index:16091136" from="237.635004pt,9.718952pt" to="233.035004pt,9.718952pt" stroked="true" strokeweight=".5pt" strokecolor="#231f20">
            <v:stroke dashstyle="solid"/>
            <w10:wrap type="none"/>
          </v:line>
        </w:pict>
      </w:r>
      <w:r>
        <w:rPr>
          <w:sz w:val="12"/>
        </w:rPr>
        <w:t>2</w:t>
      </w:r>
    </w:p>
    <w:p>
      <w:pPr>
        <w:pStyle w:val="BodyText"/>
        <w:rPr>
          <w:sz w:val="12"/>
        </w:rPr>
      </w:pPr>
    </w:p>
    <w:p>
      <w:pPr>
        <w:pStyle w:val="BodyText"/>
        <w:rPr>
          <w:sz w:val="12"/>
        </w:rPr>
      </w:pPr>
    </w:p>
    <w:p>
      <w:pPr>
        <w:spacing w:before="79"/>
        <w:ind w:left="0" w:right="137" w:firstLine="0"/>
        <w:jc w:val="right"/>
        <w:rPr>
          <w:sz w:val="12"/>
        </w:rPr>
      </w:pPr>
      <w:r>
        <w:rPr/>
        <w:pict>
          <v:line style="position:absolute;mso-position-horizontal-relative:page;mso-position-vertical-relative:paragraph;z-index:16087552" from="42.969002pt,8.316761pt" to="47.569002pt,8.316761pt" stroked="true" strokeweight=".5pt" strokecolor="#231f20">
            <v:stroke dashstyle="solid"/>
            <w10:wrap type="none"/>
          </v:line>
        </w:pict>
      </w:r>
      <w:r>
        <w:rPr/>
        <w:pict>
          <v:line style="position:absolute;mso-position-horizontal-relative:page;mso-position-vertical-relative:paragraph;z-index:16090624" from="237.635004pt,8.316761pt" to="233.035004pt,8.316761pt" stroked="true" strokeweight=".5pt" strokecolor="#231f20">
            <v:stroke dashstyle="solid"/>
            <w10:wrap type="none"/>
          </v:line>
        </w:pict>
      </w:r>
      <w:r>
        <w:rPr>
          <w:sz w:val="12"/>
        </w:rPr>
        <w:t>1</w:t>
      </w:r>
    </w:p>
    <w:p>
      <w:pPr>
        <w:spacing w:line="114" w:lineRule="exact" w:before="95"/>
        <w:ind w:left="1906" w:right="0" w:firstLine="0"/>
        <w:jc w:val="left"/>
        <w:rPr>
          <w:sz w:val="12"/>
        </w:rPr>
      </w:pPr>
      <w:r>
        <w:rPr/>
        <w:br w:type="column"/>
      </w:r>
      <w:r>
        <w:rPr>
          <w:sz w:val="12"/>
        </w:rPr>
        <w:t>Percentage increase in output on a year earlier</w:t>
      </w:r>
    </w:p>
    <w:p>
      <w:pPr>
        <w:spacing w:line="114" w:lineRule="exact" w:before="0"/>
        <w:ind w:left="4181" w:right="0" w:firstLine="0"/>
        <w:jc w:val="left"/>
        <w:rPr>
          <w:sz w:val="12"/>
        </w:rPr>
      </w:pPr>
      <w:r>
        <w:rPr/>
        <w:pict>
          <v:line style="position:absolute;mso-position-horizontal-relative:page;mso-position-vertical-relative:paragraph;z-index:16097792" from="284.798004pt,2.651862pt" to="289.423004pt,2.651862pt" stroked="true" strokeweight=".5pt" strokecolor="#231f20">
            <v:stroke dashstyle="solid"/>
            <w10:wrap type="none"/>
          </v:line>
        </w:pict>
      </w:r>
      <w:r>
        <w:rPr/>
        <w:pict>
          <v:line style="position:absolute;mso-position-horizontal-relative:page;mso-position-vertical-relative:paragraph;z-index:16098816" from="473.699005pt,3.344862pt" to="478.324005pt,3.344862pt" stroked="true" strokeweight=".5pt" strokecolor="#231f20">
            <v:stroke dashstyle="solid"/>
            <w10:wrap type="none"/>
          </v:line>
        </w:pict>
      </w:r>
      <w:r>
        <w:rPr>
          <w:sz w:val="12"/>
        </w:rPr>
        <w:t>6</w:t>
      </w:r>
    </w:p>
    <w:p>
      <w:pPr>
        <w:pStyle w:val="BodyText"/>
        <w:rPr>
          <w:sz w:val="12"/>
        </w:rPr>
      </w:pPr>
    </w:p>
    <w:p>
      <w:pPr>
        <w:spacing w:before="94"/>
        <w:ind w:left="0" w:right="1610" w:firstLine="0"/>
        <w:jc w:val="right"/>
        <w:rPr>
          <w:sz w:val="12"/>
        </w:rPr>
      </w:pPr>
      <w:r>
        <w:rPr/>
        <w:pict>
          <v:group style="position:absolute;margin-left:284.798004pt;margin-top:3.35555pt;width:193.55pt;height:105.6pt;mso-position-horizontal-relative:page;mso-position-vertical-relative:paragraph;z-index:16094208" coordorigin="5696,67" coordsize="3871,2112">
            <v:shape style="position:absolute;left:8265;top:67;width:1149;height:2112" coordorigin="8265,67" coordsize="1149,2112" path="m9414,67l9286,186,9158,399,9031,630,8903,874,8776,1202,8648,1394,8520,1489,8393,1466,8265,1418,8393,1711,8520,1978,8648,2127,8776,2179,8903,2095,9031,1969,9158,1879,9286,1807,9414,1758,9414,67xe" filled="true" fillcolor="#dbeae4" stroked="false">
              <v:path arrowok="t"/>
              <v:fill type="solid"/>
            </v:shape>
            <v:shape style="position:absolute;left:8265;top:235;width:1149;height:1826" coordorigin="8265,235" coordsize="1149,1826" path="m9414,235l9286,348,9158,547,9031,765,8903,998,8776,1300,8648,1466,8520,1535,8393,1487,8265,1412,8393,1677,8520,1916,8648,2036,8776,2061,8903,1948,9031,1808,9158,1700,9286,1610,9414,1552,9414,235xe" filled="true" fillcolor="#bfdbcf" stroked="false">
              <v:path arrowok="t"/>
              <v:fill type="solid"/>
            </v:shape>
            <v:shape style="position:absolute;left:8265;top:360;width:1149;height:1634" coordorigin="8265,360" coordsize="1149,1634" path="m9414,360l9286,468,9158,659,9031,868,8903,1093,8776,1378,8648,1526,8520,1578,8393,1511,8265,1418,8393,1665,8520,1885,8648,1988,8776,1993,8903,1862,9031,1712,9158,1591,9286,1490,9414,1426,9414,360xe" filled="true" fillcolor="#a4cdbd" stroked="false">
              <v:path arrowok="t"/>
              <v:fill type="solid"/>
            </v:shape>
            <v:shape style="position:absolute;left:8265;top:459;width:1149;height:1491" coordorigin="8265,459" coordsize="1149,1491" path="m9414,459l9286,564,9158,748,9031,950,8903,1170,8776,1440,8648,1574,8520,1612,8393,1531,8265,1425,8393,1656,8520,1862,8648,1950,8776,1941,8903,1795,9031,1636,9158,1506,9286,1394,9414,1325,9414,459xe" filled="true" fillcolor="#8abfab" stroked="false">
              <v:path arrowok="t"/>
              <v:fill type="solid"/>
            </v:shape>
            <v:shape style="position:absolute;left:8265;top:541;width:1149;height:1372" coordorigin="8265,541" coordsize="1149,1372" path="m9414,541l9286,643,9158,820,9031,1016,8903,1229,8776,1488,8648,1611,8520,1636,8393,1544,8265,1426,8393,1645,8520,1838,8648,1912,8776,1891,8903,1733,9031,1567,9158,1429,9286,1310,9414,1237,9414,541xe" filled="true" fillcolor="#6fb39a" stroked="false">
              <v:path arrowok="t"/>
              <v:fill type="solid"/>
            </v:shape>
            <v:shape style="position:absolute;left:8265;top:608;width:1149;height:1262" coordorigin="8265,608" coordsize="1149,1262" path="m9414,608l9286,707,9158,877,9031,1066,8903,1274,8776,1523,8648,1635,8520,1650,8393,1548,8265,1419,8393,1626,8520,1807,8648,1870,8776,1837,8903,1667,9031,1496,9158,1351,9286,1225,9414,1149,9414,608xe" filled="true" fillcolor="#52a78a" stroked="false">
              <v:path arrowok="t"/>
              <v:fill type="solid"/>
            </v:shape>
            <v:shape style="position:absolute;left:8265;top:684;width:1149;height:1162" coordorigin="8265,685" coordsize="1149,1162" path="m9414,685l9286,780,9158,945,9031,1129,8903,1332,8776,1571,8648,1673,8520,1679,8393,1567,8265,1428,8393,1624,8520,1795,8648,1846,8776,1802,8903,1621,9031,1444,9158,1293,9286,1160,9414,1081,9414,685xe" filled="true" fillcolor="#2c9c7b" stroked="false">
              <v:path arrowok="t"/>
              <v:fill type="solid"/>
            </v:shape>
            <v:shape style="position:absolute;left:8265;top:746;width:1149;height:1068" coordorigin="8265,747" coordsize="1149,1068" path="m9414,747l9286,840,9158,1001,9031,1180,8903,1379,8776,1609,8648,1701,8520,1698,8393,1575,8265,1427,8393,1613,8520,1773,8648,1815,8776,1760,8903,1568,9031,1387,9158,1230,9286,1092,9414,1009,9414,747xe" filled="true" fillcolor="#00936f" stroked="false">
              <v:path arrowok="t"/>
              <v:fill type="solid"/>
            </v:shape>
            <v:shape style="position:absolute;left:8265;top:807;width:1149;height:977" coordorigin="8265,808" coordsize="1149,977" path="m9414,808l9286,898,9158,1053,9031,1227,8903,1422,8776,1642,8648,1726,8520,1713,8393,1582,8265,1425,8393,1606,8520,1752,8648,1784,8776,1719,8903,1518,9031,1331,9158,1168,9286,1023,9414,937,9414,808xe" filled="true" fillcolor="#008256" stroked="false">
              <v:path arrowok="t"/>
              <v:fill type="solid"/>
            </v:shape>
            <v:line style="position:absolute" from="5696,541" to="5788,541" stroked="true" strokeweight=".5pt" strokecolor="#231f20">
              <v:stroke dashstyle="solid"/>
            </v:line>
            <v:shape style="position:absolute;left:5843;top:230;width:1021;height:1076" coordorigin="5844,230" coordsize="1021,1076" path="m5972,392l5844,648m6099,230l5972,392m6099,230l6227,318m6354,533l6227,318m6354,533l6482,865m6609,1227l6482,865m6609,1227l6737,1306m6865,1088l6737,1306e" filled="false" stroked="true" strokeweight="1pt" strokecolor="#008256">
              <v:path arrowok="t"/>
              <v:stroke dashstyle="solid"/>
            </v:shape>
            <v:line style="position:absolute" from="6855,1095" to="7002,1095" stroked="true" strokeweight="1.642pt" strokecolor="#008256">
              <v:stroke dashstyle="solid"/>
            </v:line>
            <v:line style="position:absolute" from="7120,1061" to="6992,1101" stroked="true" strokeweight="1pt" strokecolor="#008256">
              <v:stroke dashstyle="solid"/>
            </v:line>
            <v:line style="position:absolute" from="7110,1055" to="7257,1055" stroked="true" strokeweight="1.567pt" strokecolor="#008256">
              <v:stroke dashstyle="solid"/>
            </v:line>
            <v:shape style="position:absolute;left:7247;top:543;width:638;height:507" coordorigin="7247,543" coordsize="638,507" path="m7247,1049l7375,1023m7503,759l7375,1023m7630,630l7503,759m7758,543l7630,630m7885,781l7758,543e" filled="false" stroked="true" strokeweight="1pt" strokecolor="#008256">
              <v:path arrowok="t"/>
              <v:stroke dashstyle="solid"/>
            </v:shape>
            <v:shape style="position:absolute;left:7885;top:780;width:1149;height:971" coordorigin="7885,781" coordsize="1149,971" path="m8013,984l7885,781m8140,1175l8013,984m8268,1421l8140,1175m8396,1588l8268,1421m8523,1729l8396,1588m8651,1751l8523,1729m8778,1677l8651,1751m8906,1466l8778,1677m9034,1273l8906,1466e" filled="false" stroked="true" strokeweight="1pt" strokecolor="#008256">
              <v:path arrowok="t"/>
              <v:stroke dashstyle="solid"/>
            </v:shape>
            <v:shape style="position:absolute;left:9033;top:874;width:366;height:400" coordorigin="9034,874" coordsize="366,400" path="m9161,1103l9034,1273m9289,952l9161,1103m9399,874l9289,952e" filled="false" stroked="true" strokeweight="1pt" strokecolor="#008256">
              <v:path arrowok="t"/>
              <v:stroke dashstyle="solid"/>
            </v:shape>
            <v:line style="position:absolute" from="5696,2021" to="5788,2021" stroked="true" strokeweight=".5pt" strokecolor="#231f20">
              <v:stroke dashstyle="solid"/>
            </v:line>
            <v:line style="position:absolute" from="5844,2020" to="9408,2020" stroked="true" strokeweight=".5pt" strokecolor="#000000">
              <v:stroke dashstyle="solid"/>
            </v:line>
            <v:shape style="position:absolute;left:9473;top:184;width:93;height:1837" coordorigin="9474,185" coordsize="93,1837" path="m9474,2021l9566,2021m9474,1665l9566,1665m9474,1295l9566,1295m9474,925l9566,925m9474,555l9566,555m9474,185l9566,185e" filled="false" stroked="true" strokeweight=".5pt" strokecolor="#231f20">
              <v:path arrowok="t"/>
              <v:stroke dashstyle="solid"/>
            </v:shape>
            <w10:wrap type="none"/>
          </v:group>
        </w:pict>
      </w:r>
      <w:r>
        <w:rPr/>
        <w:pict>
          <v:line style="position:absolute;mso-position-horizontal-relative:page;mso-position-vertical-relative:paragraph;z-index:16097280" from="284.798004pt,8.544550pt" to="289.423004pt,8.544550pt" stroked="true" strokeweight=".5pt" strokecolor="#231f20">
            <v:stroke dashstyle="solid"/>
            <w10:wrap type="none"/>
          </v:line>
        </w:pict>
      </w:r>
      <w:r>
        <w:rPr>
          <w:sz w:val="12"/>
        </w:rPr>
        <w:t>5</w:t>
      </w:r>
    </w:p>
    <w:p>
      <w:pPr>
        <w:pStyle w:val="BodyText"/>
        <w:rPr>
          <w:sz w:val="12"/>
        </w:rPr>
      </w:pPr>
    </w:p>
    <w:p>
      <w:pPr>
        <w:spacing w:before="94"/>
        <w:ind w:left="0" w:right="1610" w:firstLine="0"/>
        <w:jc w:val="right"/>
        <w:rPr>
          <w:sz w:val="12"/>
        </w:rPr>
      </w:pPr>
      <w:r>
        <w:rPr>
          <w:sz w:val="12"/>
        </w:rPr>
        <w:t>4</w:t>
      </w:r>
    </w:p>
    <w:p>
      <w:pPr>
        <w:pStyle w:val="BodyText"/>
        <w:rPr>
          <w:sz w:val="12"/>
        </w:rPr>
      </w:pPr>
    </w:p>
    <w:p>
      <w:pPr>
        <w:spacing w:before="95"/>
        <w:ind w:left="0" w:right="1610" w:firstLine="0"/>
        <w:jc w:val="right"/>
        <w:rPr>
          <w:sz w:val="12"/>
        </w:rPr>
      </w:pPr>
      <w:r>
        <w:rPr/>
        <w:pict>
          <v:line style="position:absolute;mso-position-horizontal-relative:page;mso-position-vertical-relative:paragraph;z-index:16096768" from="284.798004pt,8.580572pt" to="289.423004pt,8.580572pt" stroked="true" strokeweight=".5pt" strokecolor="#231f20">
            <v:stroke dashstyle="solid"/>
            <w10:wrap type="none"/>
          </v:line>
        </w:pict>
      </w:r>
      <w:r>
        <w:rPr>
          <w:sz w:val="12"/>
        </w:rPr>
        <w:t>3</w:t>
      </w:r>
    </w:p>
    <w:p>
      <w:pPr>
        <w:pStyle w:val="BodyText"/>
        <w:rPr>
          <w:sz w:val="12"/>
        </w:rPr>
      </w:pPr>
    </w:p>
    <w:p>
      <w:pPr>
        <w:spacing w:before="94"/>
        <w:ind w:left="0" w:right="1610" w:firstLine="0"/>
        <w:jc w:val="right"/>
        <w:rPr>
          <w:sz w:val="12"/>
        </w:rPr>
      </w:pPr>
      <w:r>
        <w:rPr/>
        <w:pict>
          <v:line style="position:absolute;mso-position-horizontal-relative:page;mso-position-vertical-relative:paragraph;z-index:16096256" from="284.798004pt,8.523554pt" to="289.423004pt,8.523554pt" stroked="true" strokeweight=".5pt" strokecolor="#231f20">
            <v:stroke dashstyle="solid"/>
            <w10:wrap type="none"/>
          </v:line>
        </w:pict>
      </w:r>
      <w:r>
        <w:rPr>
          <w:sz w:val="12"/>
        </w:rPr>
        <w:t>2</w:t>
      </w:r>
    </w:p>
    <w:p>
      <w:pPr>
        <w:pStyle w:val="BodyText"/>
        <w:rPr>
          <w:sz w:val="12"/>
        </w:rPr>
      </w:pPr>
    </w:p>
    <w:p>
      <w:pPr>
        <w:spacing w:before="94"/>
        <w:ind w:left="0" w:right="1610" w:firstLine="0"/>
        <w:jc w:val="right"/>
        <w:rPr>
          <w:sz w:val="12"/>
        </w:rPr>
      </w:pPr>
      <w:r>
        <w:rPr/>
        <w:pict>
          <v:line style="position:absolute;mso-position-horizontal-relative:page;mso-position-vertical-relative:paragraph;z-index:16095744" from="284.798004pt,8.516565pt" to="289.423004pt,8.516565pt" stroked="true" strokeweight=".5pt" strokecolor="#231f20">
            <v:stroke dashstyle="solid"/>
            <w10:wrap type="none"/>
          </v:line>
        </w:pict>
      </w:r>
      <w:r>
        <w:rPr>
          <w:sz w:val="12"/>
        </w:rPr>
        <w:t>1</w:t>
      </w:r>
    </w:p>
    <w:p>
      <w:pPr>
        <w:spacing w:before="4"/>
        <w:ind w:left="4106" w:right="0" w:firstLine="0"/>
        <w:jc w:val="left"/>
        <w:rPr>
          <w:sz w:val="16"/>
        </w:rPr>
      </w:pPr>
      <w:r>
        <w:rPr>
          <w:sz w:val="16"/>
        </w:rPr>
        <w:t>+</w:t>
      </w:r>
    </w:p>
    <w:p>
      <w:pPr>
        <w:spacing w:line="135" w:lineRule="exact" w:before="44"/>
        <w:ind w:left="4181" w:right="0" w:firstLine="0"/>
        <w:jc w:val="left"/>
        <w:rPr>
          <w:sz w:val="12"/>
        </w:rPr>
      </w:pPr>
      <w:r>
        <w:rPr>
          <w:sz w:val="12"/>
        </w:rPr>
        <w:t>0</w:t>
      </w:r>
    </w:p>
    <w:p>
      <w:pPr>
        <w:spacing w:line="181" w:lineRule="exact" w:before="0"/>
        <w:ind w:left="4112" w:right="0" w:firstLine="0"/>
        <w:jc w:val="left"/>
        <w:rPr>
          <w:sz w:val="16"/>
        </w:rPr>
      </w:pPr>
      <w:r>
        <w:rPr>
          <w:sz w:val="16"/>
        </w:rPr>
        <w:t>–</w:t>
      </w:r>
    </w:p>
    <w:p>
      <w:pPr>
        <w:spacing w:before="54"/>
        <w:ind w:left="0" w:right="1610" w:firstLine="0"/>
        <w:jc w:val="right"/>
        <w:rPr>
          <w:sz w:val="12"/>
        </w:rPr>
      </w:pPr>
      <w:r>
        <w:rPr/>
        <w:pict>
          <v:line style="position:absolute;mso-position-horizontal-relative:page;mso-position-vertical-relative:paragraph;z-index:16095232" from="284.798004pt,6.502557pt" to="289.423004pt,6.502557pt" stroked="true" strokeweight=".5pt" strokecolor="#231f20">
            <v:stroke dashstyle="solid"/>
            <w10:wrap type="none"/>
          </v:line>
        </w:pict>
      </w:r>
      <w:r>
        <w:rPr/>
        <w:pict>
          <v:line style="position:absolute;mso-position-horizontal-relative:page;mso-position-vertical-relative:paragraph;z-index:16098304" from="473.699005pt,7.195558pt" to="478.324005pt,7.195558pt" stroked="true" strokeweight=".5pt" strokecolor="#231f20">
            <v:stroke dashstyle="solid"/>
            <w10:wrap type="none"/>
          </v:line>
        </w:pict>
      </w:r>
      <w:r>
        <w:rPr>
          <w:sz w:val="12"/>
        </w:rPr>
        <w:t>1</w:t>
      </w:r>
    </w:p>
    <w:p>
      <w:pPr>
        <w:spacing w:after="0"/>
        <w:jc w:val="right"/>
        <w:rPr>
          <w:sz w:val="12"/>
        </w:rPr>
        <w:sectPr>
          <w:type w:val="continuous"/>
          <w:pgSz w:w="11900" w:h="16840"/>
          <w:pgMar w:top="1220" w:bottom="280" w:left="640" w:right="600"/>
          <w:cols w:num="2" w:equalWidth="0">
            <w:col w:w="4377" w:space="430"/>
            <w:col w:w="5853"/>
          </w:cols>
        </w:sectPr>
      </w:pPr>
    </w:p>
    <w:p>
      <w:pPr>
        <w:pStyle w:val="BodyText"/>
        <w:spacing w:before="2"/>
        <w:rPr>
          <w:sz w:val="11"/>
        </w:rPr>
      </w:pPr>
    </w:p>
    <w:p>
      <w:pPr>
        <w:spacing w:after="0"/>
        <w:rPr>
          <w:sz w:val="11"/>
        </w:rPr>
        <w:sectPr>
          <w:type w:val="continuous"/>
          <w:pgSz w:w="11900" w:h="16840"/>
          <w:pgMar w:top="1220" w:bottom="280" w:left="640" w:right="600"/>
        </w:sectPr>
      </w:pPr>
    </w:p>
    <w:p>
      <w:pPr>
        <w:pStyle w:val="BodyText"/>
        <w:rPr>
          <w:sz w:val="12"/>
        </w:rPr>
      </w:pPr>
    </w:p>
    <w:p>
      <w:pPr>
        <w:tabs>
          <w:tab w:pos="1095" w:val="left" w:leader="none"/>
        </w:tabs>
        <w:spacing w:before="74"/>
        <w:ind w:left="535" w:right="0" w:firstLine="0"/>
        <w:jc w:val="left"/>
        <w:rPr>
          <w:sz w:val="12"/>
        </w:rPr>
      </w:pPr>
      <w:r>
        <w:rPr>
          <w:sz w:val="12"/>
        </w:rPr>
        <w:t>1994</w:t>
        <w:tab/>
      </w:r>
      <w:r>
        <w:rPr>
          <w:spacing w:val="-10"/>
          <w:sz w:val="12"/>
        </w:rPr>
        <w:t>95</w:t>
      </w:r>
    </w:p>
    <w:p>
      <w:pPr>
        <w:pStyle w:val="BodyText"/>
        <w:rPr>
          <w:sz w:val="12"/>
        </w:rPr>
      </w:pPr>
      <w:r>
        <w:rPr/>
        <w:br w:type="column"/>
      </w:r>
      <w:r>
        <w:rPr>
          <w:sz w:val="12"/>
        </w:rPr>
      </w:r>
    </w:p>
    <w:p>
      <w:pPr>
        <w:tabs>
          <w:tab w:pos="853" w:val="left" w:leader="none"/>
        </w:tabs>
        <w:spacing w:before="74"/>
        <w:ind w:left="346" w:right="0" w:firstLine="0"/>
        <w:jc w:val="left"/>
        <w:rPr>
          <w:sz w:val="12"/>
        </w:rPr>
      </w:pPr>
      <w:r>
        <w:rPr>
          <w:sz w:val="12"/>
        </w:rPr>
        <w:t>96</w:t>
        <w:tab/>
      </w:r>
      <w:r>
        <w:rPr>
          <w:spacing w:val="-10"/>
          <w:sz w:val="12"/>
        </w:rPr>
        <w:t>97</w:t>
      </w:r>
    </w:p>
    <w:p>
      <w:pPr>
        <w:pStyle w:val="BodyText"/>
        <w:rPr>
          <w:sz w:val="12"/>
        </w:rPr>
      </w:pPr>
      <w:r>
        <w:rPr/>
        <w:br w:type="column"/>
      </w:r>
      <w:r>
        <w:rPr>
          <w:sz w:val="12"/>
        </w:rPr>
      </w:r>
    </w:p>
    <w:p>
      <w:pPr>
        <w:tabs>
          <w:tab w:pos="853" w:val="left" w:leader="none"/>
        </w:tabs>
        <w:spacing w:before="74"/>
        <w:ind w:left="346" w:right="0" w:firstLine="0"/>
        <w:jc w:val="left"/>
        <w:rPr>
          <w:sz w:val="12"/>
        </w:rPr>
      </w:pPr>
      <w:r>
        <w:rPr>
          <w:sz w:val="12"/>
        </w:rPr>
        <w:t>98</w:t>
        <w:tab/>
      </w:r>
      <w:r>
        <w:rPr>
          <w:spacing w:val="-10"/>
          <w:sz w:val="12"/>
        </w:rPr>
        <w:t>99</w:t>
      </w:r>
    </w:p>
    <w:p>
      <w:pPr>
        <w:spacing w:line="127" w:lineRule="exact" w:before="96"/>
        <w:ind w:left="894" w:right="0" w:firstLine="0"/>
        <w:jc w:val="left"/>
        <w:rPr>
          <w:sz w:val="12"/>
        </w:rPr>
      </w:pPr>
      <w:r>
        <w:rPr/>
        <w:br w:type="column"/>
      </w:r>
      <w:r>
        <w:rPr>
          <w:sz w:val="12"/>
        </w:rPr>
        <w:t>0</w:t>
      </w:r>
    </w:p>
    <w:p>
      <w:pPr>
        <w:spacing w:line="127" w:lineRule="exact" w:before="0"/>
        <w:ind w:left="274" w:right="0" w:firstLine="0"/>
        <w:jc w:val="left"/>
        <w:rPr>
          <w:sz w:val="12"/>
        </w:rPr>
      </w:pPr>
      <w:r>
        <w:rPr/>
        <w:pict>
          <v:shape style="position:absolute;margin-left:42.969002pt;margin-top:-6.80265pt;width:186.05pt;height:5.05pt;mso-position-horizontal-relative:page;mso-position-vertical-relative:paragraph;z-index:16087040" coordorigin="859,-136" coordsize="3721,101" path="m1016,-40l4579,-40m1024,-35l1024,-128m1151,-46l1151,-83m1277,-44l1277,-81m1403,-46l1403,-83m1534,-44l1534,-136m1658,-44l1658,-81m1784,-46l1784,-83m1911,-46l1911,-83m2031,-44l2031,-136m2175,-46l2175,-83m2291,-42l2291,-79m2419,-44l2419,-81m2541,-44l2541,-136m2671,-46l2671,-83m2797,-46l2797,-83m2924,-44l2924,-81m3051,-41l3051,-134m3179,-46l3179,-83m3309,-46l3309,-83m3431,-46l3431,-83m3567,-42l3567,-134m3688,-41l3688,-84m3818,-83l3818,-46m3946,-46l3946,-83m4071,-39l4071,-132m4326,-42l4326,-84m4448,-43l4448,-80m859,-40l951,-40m4203,-41l4203,-84m4579,-38l4579,-131e" filled="false" stroked="true" strokeweight=".5pt" strokecolor="#231f20">
            <v:path arrowok="t"/>
            <v:stroke dashstyle="solid"/>
            <w10:wrap type="none"/>
          </v:shape>
        </w:pict>
      </w:r>
      <w:r>
        <w:rPr/>
        <w:pict>
          <v:line style="position:absolute;mso-position-horizontal-relative:page;mso-position-vertical-relative:paragraph;z-index:16093696" from="237.601999pt,-2.327651pt" to="233.001999pt,-2.327651pt" stroked="true" strokeweight=".5pt" strokecolor="#231f20">
            <v:stroke dashstyle="solid"/>
            <w10:wrap type="none"/>
          </v:line>
        </w:pict>
      </w:r>
      <w:r>
        <w:rPr>
          <w:sz w:val="12"/>
        </w:rPr>
        <w:t>2000 01</w:t>
      </w:r>
    </w:p>
    <w:p>
      <w:pPr>
        <w:spacing w:line="125" w:lineRule="exact" w:before="104"/>
        <w:ind w:left="4189" w:right="0" w:firstLine="0"/>
        <w:jc w:val="left"/>
        <w:rPr>
          <w:sz w:val="12"/>
        </w:rPr>
      </w:pPr>
      <w:r>
        <w:rPr/>
        <w:br w:type="column"/>
      </w:r>
      <w:r>
        <w:rPr>
          <w:sz w:val="12"/>
        </w:rPr>
        <w:t>2</w:t>
      </w:r>
    </w:p>
    <w:p>
      <w:pPr>
        <w:tabs>
          <w:tab w:pos="1122" w:val="left" w:leader="none"/>
          <w:tab w:pos="1628" w:val="left" w:leader="none"/>
          <w:tab w:pos="2119" w:val="left" w:leader="none"/>
          <w:tab w:pos="2635" w:val="left" w:leader="none"/>
          <w:tab w:pos="3157" w:val="left" w:leader="none"/>
          <w:tab w:pos="3575" w:val="left" w:leader="none"/>
        </w:tabs>
        <w:spacing w:line="125" w:lineRule="exact" w:before="0"/>
        <w:ind w:left="535" w:right="0" w:firstLine="0"/>
        <w:jc w:val="left"/>
        <w:rPr>
          <w:sz w:val="12"/>
        </w:rPr>
      </w:pPr>
      <w:r>
        <w:rPr/>
        <w:pict>
          <v:shape style="position:absolute;margin-left:284.673004pt;margin-top:-9.378641pt;width:193.2pt;height:6.95pt;mso-position-horizontal-relative:page;mso-position-vertical-relative:paragraph;z-index:16094720" coordorigin="5693,-188" coordsize="3864,139" path="m5693,-49l5786,-49m9465,-51l9557,-51m5847,-51l9414,-51m5844,-51l5844,-181m9412,-53l9412,-188m5972,-49l5972,-123m6098,-49l6098,-123m6225,-49l6225,-118m6355,-49l6355,-184m6482,-49l6482,-123m6612,-49l6612,-118m6867,-49l6867,-184m7120,-49l7120,-123m7246,-49l7246,-123m6741,-49l6741,-123m6988,-49l6988,-118m7379,-49l7379,-178m7498,-49l7498,-123m7631,-49l7631,-123m7758,-49l7758,-118m7877,-49l7877,-184m8015,-49l8015,-123m8141,-49l8141,-118m8269,-49l8269,-123m8395,-49l8395,-184m8522,-49l8522,-118m8652,-49l8652,-123m8778,-49l8778,-123m8898,-49l8898,-178m9031,-49l9031,-123m9155,-49l9155,-123m9286,-49l9286,-118e" filled="false" stroked="true" strokeweight=".5pt" strokecolor="#231f20">
            <v:path arrowok="t"/>
            <v:stroke dashstyle="solid"/>
            <w10:wrap type="none"/>
          </v:shape>
        </w:pict>
      </w:r>
      <w:r>
        <w:rPr>
          <w:color w:val="231F20"/>
          <w:sz w:val="12"/>
        </w:rPr>
        <w:t>1994</w:t>
        <w:tab/>
        <w:t>95</w:t>
        <w:tab/>
        <w:t>96</w:t>
        <w:tab/>
        <w:t>97</w:t>
        <w:tab/>
        <w:t>98</w:t>
        <w:tab/>
        <w:t>99</w:t>
        <w:tab/>
        <w:t>2000</w:t>
      </w:r>
      <w:r>
        <w:rPr>
          <w:color w:val="231F20"/>
          <w:spacing w:val="3"/>
          <w:sz w:val="12"/>
        </w:rPr>
        <w:t> </w:t>
      </w:r>
      <w:r>
        <w:rPr>
          <w:color w:val="231F20"/>
          <w:sz w:val="12"/>
        </w:rPr>
        <w:t>01</w:t>
      </w:r>
    </w:p>
    <w:p>
      <w:pPr>
        <w:spacing w:after="0" w:line="125" w:lineRule="exact"/>
        <w:jc w:val="left"/>
        <w:rPr>
          <w:sz w:val="12"/>
        </w:rPr>
        <w:sectPr>
          <w:type w:val="continuous"/>
          <w:pgSz w:w="11900" w:h="16840"/>
          <w:pgMar w:top="1220" w:bottom="280" w:left="640" w:right="600"/>
          <w:cols w:num="5" w:equalWidth="0">
            <w:col w:w="1216" w:space="40"/>
            <w:col w:w="974" w:space="39"/>
            <w:col w:w="974" w:space="39"/>
            <w:col w:w="995" w:space="521"/>
            <w:col w:w="5862"/>
          </w:cols>
        </w:sectPr>
      </w:pPr>
    </w:p>
    <w:p>
      <w:pPr>
        <w:pStyle w:val="BodyText"/>
        <w:rPr>
          <w:sz w:val="20"/>
        </w:rPr>
      </w:pPr>
    </w:p>
    <w:p>
      <w:pPr>
        <w:spacing w:before="206"/>
        <w:ind w:left="1847" w:right="1898" w:firstLine="0"/>
        <w:jc w:val="center"/>
        <w:rPr>
          <w:sz w:val="12"/>
        </w:rPr>
      </w:pPr>
      <w:bookmarkStart w:name="How fan charts are drawn" w:id="81"/>
      <w:bookmarkEnd w:id="81"/>
      <w:r>
        <w:rPr/>
      </w:r>
      <w:bookmarkStart w:name="_bookmark33" w:id="82"/>
      <w:bookmarkEnd w:id="82"/>
      <w:r>
        <w:rPr/>
      </w:r>
      <w:r>
        <w:rPr>
          <w:b/>
          <w:color w:val="009483"/>
          <w:sz w:val="24"/>
        </w:rPr>
        <w:t>How fan charts are drawn</w:t>
      </w:r>
      <w:r>
        <w:rPr>
          <w:position w:val="4"/>
          <w:sz w:val="12"/>
        </w:rPr>
        <w:t>(1)</w:t>
      </w:r>
    </w:p>
    <w:p>
      <w:pPr>
        <w:pStyle w:val="BodyText"/>
        <w:spacing w:before="2"/>
        <w:rPr>
          <w:sz w:val="20"/>
        </w:rPr>
      </w:pPr>
    </w:p>
    <w:p>
      <w:pPr>
        <w:spacing w:after="0"/>
        <w:rPr>
          <w:sz w:val="20"/>
        </w:rPr>
        <w:sectPr>
          <w:headerReference w:type="even" r:id="rId112"/>
          <w:headerReference w:type="default" r:id="rId113"/>
          <w:footerReference w:type="even" r:id="rId114"/>
          <w:footerReference w:type="default" r:id="rId115"/>
          <w:pgSz w:w="11900" w:h="16840"/>
          <w:pgMar w:header="584" w:footer="597" w:top="780" w:bottom="780" w:left="640" w:right="600"/>
          <w:pgNumType w:start="52"/>
        </w:sectPr>
      </w:pPr>
    </w:p>
    <w:p>
      <w:pPr>
        <w:pStyle w:val="Heading8"/>
        <w:spacing w:line="249" w:lineRule="auto" w:before="92"/>
        <w:ind w:left="648" w:right="109"/>
      </w:pPr>
      <w:r>
        <w:rPr/>
        <w:t>The MPC cannot accurately predict the future: there are considerable uncertainties surrounding any economic projection. These uncertainties are illustrated explicitly in the </w:t>
      </w:r>
      <w:r>
        <w:rPr>
          <w:i/>
        </w:rPr>
        <w:t>Inflation Report </w:t>
      </w:r>
      <w:r>
        <w:rPr/>
        <w:t>fan charts for growth and RPIX inflation. But how should the </w:t>
      </w:r>
      <w:r>
        <w:rPr>
          <w:i/>
        </w:rPr>
        <w:t>Inflation Report </w:t>
      </w:r>
      <w:r>
        <w:rPr/>
        <w:t>fan charts be interpreted?</w:t>
      </w:r>
    </w:p>
    <w:p>
      <w:pPr>
        <w:pStyle w:val="BodyText"/>
        <w:spacing w:before="3"/>
        <w:rPr>
          <w:sz w:val="21"/>
        </w:rPr>
      </w:pPr>
    </w:p>
    <w:p>
      <w:pPr>
        <w:spacing w:line="249" w:lineRule="auto" w:before="0"/>
        <w:ind w:left="648" w:right="0" w:firstLine="0"/>
        <w:jc w:val="left"/>
        <w:rPr>
          <w:sz w:val="20"/>
        </w:rPr>
      </w:pPr>
      <w:r>
        <w:rPr>
          <w:sz w:val="20"/>
        </w:rPr>
        <w:t>The fan chart probability distributions contain more information than a simple point forecast. The width of the fans measures the overall degree of uncertainty, which may change from quarter to quarter as the assessment of risks evolves. How far the bands stretch out on one side of the central band compared with the other—the skew of the distribution—is determined by an assessment of the balance of risks. Again, this can change from quarter to quarter.</w:t>
      </w:r>
    </w:p>
    <w:p>
      <w:pPr>
        <w:pStyle w:val="BodyText"/>
        <w:spacing w:before="6"/>
        <w:rPr>
          <w:sz w:val="21"/>
        </w:rPr>
      </w:pPr>
    </w:p>
    <w:p>
      <w:pPr>
        <w:spacing w:line="249" w:lineRule="auto" w:before="0"/>
        <w:ind w:left="648" w:right="0" w:firstLine="0"/>
        <w:jc w:val="left"/>
        <w:rPr>
          <w:sz w:val="20"/>
        </w:rPr>
      </w:pPr>
      <w:r>
        <w:rPr>
          <w:sz w:val="20"/>
        </w:rPr>
        <w:t>Fan charts are shaded rather like a contour map in the following sense. Pick a particular date in the forecast period. The fan chart at that point shows the MPC’s judgment of the probability of various ranges of outcomes. As with a contour map, it represents a simplified version of a cross-section of a hill. Figure 1 illustrates a ‘probability hill’.</w:t>
      </w:r>
    </w:p>
    <w:p>
      <w:pPr>
        <w:pStyle w:val="BodyText"/>
        <w:spacing w:before="4"/>
        <w:rPr>
          <w:sz w:val="21"/>
        </w:rPr>
      </w:pPr>
    </w:p>
    <w:p>
      <w:pPr>
        <w:spacing w:line="249" w:lineRule="auto" w:before="0"/>
        <w:ind w:left="648" w:right="83" w:firstLine="0"/>
        <w:jc w:val="left"/>
        <w:rPr>
          <w:sz w:val="20"/>
        </w:rPr>
      </w:pPr>
      <w:r>
        <w:rPr>
          <w:sz w:val="20"/>
        </w:rPr>
        <w:t>The probability of any specific inflation number occurring is close to zero, so it is better to think of </w:t>
      </w:r>
      <w:r>
        <w:rPr>
          <w:spacing w:val="-6"/>
          <w:sz w:val="20"/>
        </w:rPr>
        <w:t>the </w:t>
      </w:r>
      <w:r>
        <w:rPr>
          <w:sz w:val="20"/>
        </w:rPr>
        <w:t>probability that inflation will fall within a particular range. That is what the fan chart illustrates. The width of the band shows a range. The central band (around the peak in Figure 1) defines the range </w:t>
      </w:r>
      <w:r>
        <w:rPr>
          <w:spacing w:val="-3"/>
          <w:sz w:val="20"/>
        </w:rPr>
        <w:t>within </w:t>
      </w:r>
      <w:r>
        <w:rPr>
          <w:sz w:val="20"/>
        </w:rPr>
        <w:t>which there is a 10% chance of inflation occurring.</w:t>
      </w:r>
    </w:p>
    <w:p>
      <w:pPr>
        <w:spacing w:line="249" w:lineRule="auto" w:before="6"/>
        <w:ind w:left="648" w:right="114" w:firstLine="0"/>
        <w:jc w:val="left"/>
        <w:rPr>
          <w:sz w:val="20"/>
        </w:rPr>
      </w:pPr>
      <w:r>
        <w:rPr>
          <w:sz w:val="20"/>
        </w:rPr>
        <w:t>This area is shaded deep red. Each successive pair of lighter-shaded red bands is drawn in a similar way by adding another 10% of the probability and moving further down the probability hill. Taken together, the shaded areas contains 90% of the probability distribution.</w:t>
      </w:r>
    </w:p>
    <w:p>
      <w:pPr>
        <w:pStyle w:val="BodyText"/>
        <w:spacing w:before="3"/>
        <w:rPr>
          <w:sz w:val="21"/>
        </w:rPr>
      </w:pPr>
    </w:p>
    <w:p>
      <w:pPr>
        <w:spacing w:line="249" w:lineRule="auto" w:before="1"/>
        <w:ind w:left="648" w:right="54" w:firstLine="0"/>
        <w:jc w:val="left"/>
        <w:rPr>
          <w:sz w:val="20"/>
        </w:rPr>
      </w:pPr>
      <w:r>
        <w:rPr>
          <w:sz w:val="20"/>
        </w:rPr>
        <w:t>The same method is used for each point in time over the forecast period. The fan chart is drawn by joining up the individual probability distributions through time. As with a contour map, the darkest band corresponds to the highest part of the probability hill. It is the narrowest range of outcomes for inflation that contains 10% of the probability. In other words, the likely outcomes are clustered round the central point. Uncertainty increases as the forecast period moves forward, so the width of the bands increases.</w:t>
      </w:r>
    </w:p>
    <w:p>
      <w:pPr>
        <w:pStyle w:val="BodyText"/>
        <w:spacing w:before="6"/>
        <w:rPr>
          <w:sz w:val="21"/>
        </w:rPr>
      </w:pPr>
    </w:p>
    <w:p>
      <w:pPr>
        <w:spacing w:line="249" w:lineRule="auto" w:before="0"/>
        <w:ind w:left="648" w:right="592" w:firstLine="0"/>
        <w:jc w:val="left"/>
        <w:rPr>
          <w:sz w:val="20"/>
        </w:rPr>
      </w:pPr>
      <w:r>
        <w:rPr>
          <w:sz w:val="20"/>
        </w:rPr>
        <w:t>Some of the risks that the MPC discusses when making the </w:t>
      </w:r>
      <w:r>
        <w:rPr>
          <w:i/>
          <w:sz w:val="20"/>
        </w:rPr>
        <w:t>Inflation Report </w:t>
      </w:r>
      <w:r>
        <w:rPr>
          <w:sz w:val="20"/>
        </w:rPr>
        <w:t>projection will</w:t>
      </w:r>
    </w:p>
    <w:p>
      <w:pPr>
        <w:spacing w:line="249" w:lineRule="auto" w:before="92"/>
        <w:ind w:left="495" w:right="673" w:firstLine="0"/>
        <w:jc w:val="left"/>
        <w:rPr>
          <w:sz w:val="20"/>
        </w:rPr>
      </w:pPr>
      <w:r>
        <w:rPr/>
        <w:br w:type="column"/>
      </w:r>
      <w:r>
        <w:rPr>
          <w:sz w:val="20"/>
        </w:rPr>
        <w:t>materialise, and others will not. So the economy is unlikely to move along the band containing the central projection throughout the forecast period, or any other particular shaded band in the fan chart. It is, for example, quite possible that inflation will be above the central projection in the first year, but will fall below the central projection in the second year (or </w:t>
      </w:r>
      <w:r>
        <w:rPr>
          <w:i/>
          <w:sz w:val="20"/>
        </w:rPr>
        <w:t>vice </w:t>
      </w:r>
      <w:r>
        <w:rPr>
          <w:i/>
          <w:sz w:val="20"/>
        </w:rPr>
        <w:t>versa</w:t>
      </w:r>
      <w:r>
        <w:rPr>
          <w:sz w:val="20"/>
        </w:rPr>
        <w:t>).</w:t>
      </w:r>
    </w:p>
    <w:p>
      <w:pPr>
        <w:pStyle w:val="BodyText"/>
        <w:spacing w:before="5"/>
        <w:rPr>
          <w:sz w:val="21"/>
        </w:rPr>
      </w:pPr>
    </w:p>
    <w:p>
      <w:pPr>
        <w:spacing w:line="249" w:lineRule="auto" w:before="0"/>
        <w:ind w:left="495" w:right="856" w:firstLine="0"/>
        <w:jc w:val="left"/>
        <w:rPr>
          <w:sz w:val="20"/>
        </w:rPr>
      </w:pPr>
      <w:r>
        <w:rPr>
          <w:sz w:val="20"/>
        </w:rPr>
        <w:t>There are numerous different possible paths for the economy, and the fan chart tries to capture these outcomes in a single chart. Taking an average of all these possibilities gives the mean of the distribution.</w:t>
      </w:r>
    </w:p>
    <w:p>
      <w:pPr>
        <w:pStyle w:val="BodyText"/>
        <w:spacing w:before="2"/>
        <w:rPr>
          <w:sz w:val="21"/>
        </w:rPr>
      </w:pPr>
    </w:p>
    <w:p>
      <w:pPr>
        <w:spacing w:line="249" w:lineRule="auto" w:before="0"/>
        <w:ind w:left="495" w:right="702" w:firstLine="0"/>
        <w:jc w:val="left"/>
        <w:rPr>
          <w:sz w:val="20"/>
        </w:rPr>
      </w:pPr>
      <w:r>
        <w:rPr>
          <w:sz w:val="20"/>
        </w:rPr>
        <w:t>If the distribution of outcomes is symmetric, then the modal (ie most likely) outcome will equal the mean outcome, and both will lie exactly at the centre of the darkest band. But this will not be the case if the risks are asymmetric. If the risks to inflation are more on one side of the central case than the other, then the distribution will be skewed, with the average (mean) outcome above or below the most likely (modal) outcome. If the distribution is sufficiently skewed, the mean will lie outside the central band.</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4"/>
        <w:rPr>
          <w:sz w:val="24"/>
        </w:rPr>
      </w:pPr>
    </w:p>
    <w:p>
      <w:pPr>
        <w:spacing w:line="249" w:lineRule="auto" w:before="0"/>
        <w:ind w:left="495" w:right="718" w:firstLine="0"/>
        <w:jc w:val="left"/>
        <w:rPr>
          <w:sz w:val="20"/>
        </w:rPr>
      </w:pPr>
      <w:r>
        <w:rPr>
          <w:sz w:val="20"/>
        </w:rPr>
        <w:t>The median outturn defines the point in the distribution at which there is an even chance of higher or lower inflation. In a skewed distribution, the median will lie between the mean and mode.</w:t>
      </w:r>
    </w:p>
    <w:p>
      <w:pPr>
        <w:pStyle w:val="BodyText"/>
        <w:spacing w:before="2"/>
        <w:rPr>
          <w:sz w:val="21"/>
        </w:rPr>
      </w:pPr>
    </w:p>
    <w:p>
      <w:pPr>
        <w:spacing w:line="249" w:lineRule="auto" w:before="0"/>
        <w:ind w:left="495" w:right="702" w:firstLine="0"/>
        <w:jc w:val="left"/>
        <w:rPr>
          <w:sz w:val="20"/>
        </w:rPr>
      </w:pPr>
      <w:r>
        <w:rPr>
          <w:sz w:val="20"/>
        </w:rPr>
        <w:t>There are many alternative ways of illustrating pictorially the same underlying probability distribution. But different methods of illustration do not alter what is being illustrated. Policy is unaffected by how a fan chart is drawn.</w:t>
      </w:r>
    </w:p>
    <w:p>
      <w:pPr>
        <w:spacing w:after="0" w:line="249" w:lineRule="auto"/>
        <w:jc w:val="left"/>
        <w:rPr>
          <w:sz w:val="20"/>
        </w:rPr>
        <w:sectPr>
          <w:type w:val="continuous"/>
          <w:pgSz w:w="11900" w:h="16840"/>
          <w:pgMar w:top="1220" w:bottom="280" w:left="640" w:right="600"/>
          <w:cols w:num="2" w:equalWidth="0">
            <w:col w:w="5049" w:space="40"/>
            <w:col w:w="5571"/>
          </w:cols>
        </w:sectPr>
      </w:pPr>
    </w:p>
    <w:p>
      <w:pPr>
        <w:pStyle w:val="BodyText"/>
        <w:rPr>
          <w:sz w:val="20"/>
        </w:rPr>
      </w:pPr>
      <w:r>
        <w:rPr/>
        <w:pict>
          <v:group style="position:absolute;margin-left:38.169998pt;margin-top:40.5pt;width:518pt;height:740pt;mso-position-horizontal-relative:page;mso-position-vertical-relative:page;z-index:-20915200" coordorigin="763,810" coordsize="10360,14800">
            <v:shape style="position:absolute;left:783;top:830;width:10321;height:14760" coordorigin="783,830" coordsize="10321,14760" path="m11103,830l5957,830,5929,830,783,830,783,8182,783,8239,783,15590,5929,15590,5957,15590,11103,15590,11103,830xe" filled="true" fillcolor="#c3e0dc" stroked="false">
              <v:path arrowok="t"/>
              <v:fill type="solid"/>
            </v:shape>
            <v:shape style="position:absolute;left:863;top:952;width:10161;height:14516" coordorigin="863,952" coordsize="10161,14516" path="m5943,952l863,8210,5943,15468,11024,8210,5943,952xe" filled="true" fillcolor="#c4e1dd" stroked="false">
              <v:path arrowok="t"/>
              <v:fill type="solid"/>
            </v:shape>
            <v:shape style="position:absolute;left:962;top:1094;width:9962;height:14231" coordorigin="963,1095" coordsize="9962,14231" path="m5943,1095l963,8210,5943,15325,10924,8210,5943,1095xe" filled="true" fillcolor="#c5e1dd" stroked="false">
              <v:path arrowok="t"/>
              <v:fill type="solid"/>
            </v:shape>
            <v:shape style="position:absolute;left:1062;top:1237;width:9763;height:13947" coordorigin="1062,1237" coordsize="9763,13947" path="m5943,1237l1062,8210,5943,15183,10824,8210,5943,1237xe" filled="true" fillcolor="#c6e2de" stroked="false">
              <v:path arrowok="t"/>
              <v:fill type="solid"/>
            </v:shape>
            <v:shape style="position:absolute;left:1161;top:1379;width:9563;height:13662" coordorigin="1162,1379" coordsize="9563,13662" path="m5943,1379l1162,8210,5943,15041,10725,8210,5943,1379xe" filled="true" fillcolor="#c7e2df" stroked="false">
              <v:path arrowok="t"/>
              <v:fill type="solid"/>
            </v:shape>
            <v:shape style="position:absolute;left:1261;top:1521;width:9364;height:13377" coordorigin="1262,1522" coordsize="9364,13377" path="m5943,1522l1262,8210,5943,14898,10625,8210,5943,1522xe" filled="true" fillcolor="#c8e3df" stroked="false">
              <v:path arrowok="t"/>
              <v:fill type="solid"/>
            </v:shape>
            <v:shape style="position:absolute;left:1361;top:1663;width:9165;height:13093" coordorigin="1361,1664" coordsize="9165,13093" path="m5943,1664l1361,8210,5943,14756,10526,8210,5943,1664xe" filled="true" fillcolor="#c9e3e0" stroked="false">
              <v:path arrowok="t"/>
              <v:fill type="solid"/>
            </v:shape>
            <v:shape style="position:absolute;left:1460;top:1806;width:8966;height:12808" coordorigin="1461,1806" coordsize="8966,12808" path="m5943,1806l1461,8210,5943,14614,10426,8210,5943,1806xe" filled="true" fillcolor="#cae4e0" stroked="false">
              <v:path arrowok="t"/>
              <v:fill type="solid"/>
            </v:shape>
            <v:shape style="position:absolute;left:1560;top:1948;width:8766;height:12523" coordorigin="1560,1949" coordsize="8766,12523" path="m5943,1949l1560,8210,5943,14472,10326,8210,5943,1949xe" filled="true" fillcolor="#cbe4e1" stroked="false">
              <v:path arrowok="t"/>
              <v:fill type="solid"/>
            </v:shape>
            <v:shape style="position:absolute;left:1659;top:2090;width:8567;height:12239" coordorigin="1660,2091" coordsize="8567,12239" path="m5943,2091l1660,8210,5943,14329,10227,8210,5943,2091xe" filled="true" fillcolor="#cce5e1" stroked="false">
              <v:path arrowok="t"/>
              <v:fill type="solid"/>
            </v:shape>
            <v:shape style="position:absolute;left:1759;top:2233;width:8368;height:11954" coordorigin="1760,2233" coordsize="8368,11954" path="m5943,2233l1760,8210,5943,14187,10127,8210,5943,2233xe" filled="true" fillcolor="#cde5e2" stroked="false">
              <v:path arrowok="t"/>
              <v:fill type="solid"/>
            </v:shape>
            <v:shape style="position:absolute;left:1859;top:2375;width:8169;height:11670" coordorigin="1859,2376" coordsize="8169,11670" path="m5943,2376l1859,8210,5943,14045,10028,8210,5943,2376xe" filled="true" fillcolor="#cee6e3" stroked="false">
              <v:path arrowok="t"/>
              <v:fill type="solid"/>
            </v:shape>
            <v:shape style="position:absolute;left:1958;top:2517;width:7970;height:11385" coordorigin="1959,2518" coordsize="7970,11385" path="m5943,2518l1959,8210,5943,13902,9928,8210,5943,2518xe" filled="true" fillcolor="#cfe6e3" stroked="false">
              <v:path arrowok="t"/>
              <v:fill type="solid"/>
            </v:shape>
            <v:shape style="position:absolute;left:2058;top:2660;width:7770;height:11100" coordorigin="2058,2660" coordsize="7770,11100" path="m5943,2660l2058,8210,5943,13760,9828,8210,5943,2660xe" filled="true" fillcolor="#d0e7e4" stroked="false">
              <v:path arrowok="t"/>
              <v:fill type="solid"/>
            </v:shape>
            <v:shape style="position:absolute;left:2158;top:2802;width:7571;height:10816" coordorigin="2158,2802" coordsize="7571,10816" path="m5943,2802l2158,8210,5943,13618,9729,8210,5943,2802xe" filled="true" fillcolor="#d1e7e4" stroked="false">
              <v:path arrowok="t"/>
              <v:fill type="solid"/>
            </v:shape>
            <v:shape style="position:absolute;left:2257;top:2944;width:7372;height:10531" coordorigin="2258,2945" coordsize="7372,10531" path="m5943,2945l2258,8210,5943,13475,9629,8210,5943,2945xe" filled="true" fillcolor="#d3e8e5" stroked="false">
              <v:path arrowok="t"/>
              <v:fill type="solid"/>
            </v:shape>
            <v:shape style="position:absolute;left:2357;top:3087;width:7173;height:10247" coordorigin="2357,3087" coordsize="7173,10247" path="m5943,3087l2357,8210,5943,13333,9529,8210,5943,3087xe" filled="true" fillcolor="#d4e8e5" stroked="false">
              <v:path arrowok="t"/>
              <v:fill type="solid"/>
            </v:shape>
            <v:shape style="position:absolute;left:2456;top:3229;width:6973;height:9962" coordorigin="2457,3229" coordsize="6973,9962" path="m5943,3229l2457,8210,5943,13191,9430,8210,5943,3229xe" filled="true" fillcolor="#d5e9e6" stroked="false">
              <v:path arrowok="t"/>
              <v:fill type="solid"/>
            </v:shape>
            <v:shape style="position:absolute;left:2556;top:3371;width:6774;height:9677" coordorigin="2556,3372" coordsize="6774,9677" path="m5943,3372l2556,8210,5943,13048,9330,8210,5943,3372xe" filled="true" fillcolor="#d6eae7" stroked="false">
              <v:path arrowok="t"/>
              <v:fill type="solid"/>
            </v:shape>
            <v:shape style="position:absolute;left:2656;top:3513;width:6575;height:9393" coordorigin="2656,3514" coordsize="6575,9393" path="m5943,3514l2656,8210,5943,12906,9231,8210,5943,3514xe" filled="true" fillcolor="#d7eae7" stroked="false">
              <v:path arrowok="t"/>
              <v:fill type="solid"/>
            </v:shape>
            <v:shape style="position:absolute;left:2755;top:3656;width:6376;height:9108" coordorigin="2756,3656" coordsize="6376,9108" path="m5943,3656l2756,8210,5943,12764,9131,8210,5943,3656xe" filled="true" fillcolor="#d8ebe8" stroked="false">
              <v:path arrowok="t"/>
              <v:fill type="solid"/>
            </v:shape>
            <v:shape style="position:absolute;left:2855;top:3798;width:6177;height:8823" coordorigin="2855,3799" coordsize="6177,8823" path="m5943,3799l2855,8210,5943,12622,9031,8210,5943,3799xe" filled="true" fillcolor="#d9ebe8" stroked="false">
              <v:path arrowok="t"/>
              <v:fill type="solid"/>
            </v:shape>
            <v:shape style="position:absolute;left:2954;top:3940;width:5977;height:8539" coordorigin="2955,3941" coordsize="5977,8539" path="m5943,3941l2955,8210,5943,12479,8932,8210,5943,3941xe" filled="true" fillcolor="#daece9" stroked="false">
              <v:path arrowok="t"/>
              <v:fill type="solid"/>
            </v:shape>
            <v:shape style="position:absolute;left:3054;top:4083;width:5778;height:8254" coordorigin="3055,4083" coordsize="5778,8254" path="m5943,4083l3055,8210,5943,12337,8832,8210,5943,4083xe" filled="true" fillcolor="#dbece9" stroked="false">
              <v:path arrowok="t"/>
              <v:fill type="solid"/>
            </v:shape>
            <v:shape style="position:absolute;left:3154;top:4225;width:5579;height:7970" coordorigin="3154,4225" coordsize="5579,7970" path="m5943,4225l3154,8210,5943,12195,8733,8210,5943,4225xe" filled="true" fillcolor="#dcedea" stroked="false">
              <v:path arrowok="t"/>
              <v:fill type="solid"/>
            </v:shape>
            <v:shape style="position:absolute;left:3253;top:4367;width:5380;height:7685" coordorigin="3254,4368" coordsize="5380,7685" path="m5943,4368l3254,8210,5943,12052,8633,8210,5943,4368xe" filled="true" fillcolor="#ddedeb" stroked="false">
              <v:path arrowok="t"/>
              <v:fill type="solid"/>
            </v:shape>
            <v:shape style="position:absolute;left:3353;top:4510;width:5180;height:7400" coordorigin="3353,4510" coordsize="5180,7400" path="m5943,4510l3353,8210,5943,11910,8533,8210,5943,4510xe" filled="true" fillcolor="#deeeeb" stroked="false">
              <v:path arrowok="t"/>
              <v:fill type="solid"/>
            </v:shape>
            <v:shape style="position:absolute;left:3453;top:4652;width:4981;height:7116" coordorigin="3453,4652" coordsize="4981,7116" path="m5943,4652l3453,8210,5943,11768,8434,8210,5943,4652xe" filled="true" fillcolor="#e0efec" stroked="false">
              <v:path arrowok="t"/>
              <v:fill type="solid"/>
            </v:shape>
            <v:shape style="position:absolute;left:3552;top:4794;width:4782;height:6831" coordorigin="3553,4795" coordsize="4782,6831" path="m5943,4795l3553,8210,5943,11625,8334,8210,5943,4795xe" filled="true" fillcolor="#e1efec" stroked="false">
              <v:path arrowok="t"/>
              <v:fill type="solid"/>
            </v:shape>
            <v:shape style="position:absolute;left:3652;top:4937;width:4583;height:6547" coordorigin="3652,4937" coordsize="4583,6547" path="m5943,4937l3652,8210,5943,11483,8234,8210,5943,4937xe" filled="true" fillcolor="#e2f0ed" stroked="false">
              <v:path arrowok="t"/>
              <v:fill type="solid"/>
            </v:shape>
            <v:shape style="position:absolute;left:3751;top:5079;width:4383;height:6262" coordorigin="3752,5079" coordsize="4383,6262" path="m5943,5079l3752,8210,5943,11341,8135,8210,5943,5079xe" filled="true" fillcolor="#e3f0ee" stroked="false">
              <v:path arrowok="t"/>
              <v:fill type="solid"/>
            </v:shape>
            <v:shape style="position:absolute;left:3851;top:5221;width:4184;height:5977" coordorigin="3851,5222" coordsize="4184,5977" path="m5943,5222l3851,8210,5943,11199,8035,8210,5943,5222xe" filled="true" fillcolor="#e4f1ee" stroked="false">
              <v:path arrowok="t"/>
              <v:fill type="solid"/>
            </v:shape>
            <v:shape style="position:absolute;left:3951;top:5363;width:3985;height:5693" coordorigin="3951,5364" coordsize="3985,5693" path="m5943,5364l3951,8210,5943,11056,7936,8210,5943,5364xe" filled="true" fillcolor="#e5f1ef" stroked="false">
              <v:path arrowok="t"/>
              <v:fill type="solid"/>
            </v:shape>
            <v:shape style="position:absolute;left:4050;top:5506;width:3786;height:5408" coordorigin="4051,5506" coordsize="3786,5408" path="m5943,5506l4051,8210,5943,10914,7836,8210,5943,5506xe" filled="true" fillcolor="#e6f2ef" stroked="false">
              <v:path arrowok="t"/>
              <v:fill type="solid"/>
            </v:shape>
            <v:shape style="position:absolute;left:4150;top:5648;width:3587;height:5124" coordorigin="4150,5649" coordsize="3587,5124" path="m5943,5649l4150,8210,5943,10772,7736,8210,5943,5649xe" filled="true" fillcolor="#e7f3f0" stroked="false">
              <v:path arrowok="t"/>
              <v:fill type="solid"/>
            </v:shape>
            <v:shape style="position:absolute;left:4249;top:5790;width:3387;height:4839" coordorigin="4250,5791" coordsize="3387,4839" path="m5943,5791l4250,8210,5943,10629,7637,8210,5943,5791xe" filled="true" fillcolor="#e9f3f1" stroked="false">
              <v:path arrowok="t"/>
              <v:fill type="solid"/>
            </v:shape>
            <v:shape style="position:absolute;left:4349;top:5933;width:3188;height:4554" coordorigin="4350,5933" coordsize="3188,4554" path="m5943,5933l4350,8210,5943,10487,7537,8210,5943,5933xe" filled="true" fillcolor="#eaf4f2" stroked="false">
              <v:path arrowok="t"/>
              <v:fill type="solid"/>
            </v:shape>
            <v:shape style="position:absolute;left:4449;top:6075;width:2989;height:4270" coordorigin="4449,6075" coordsize="2989,4270" path="m5943,6075l4449,8210,5943,10345,7438,8210,5943,6075xe" filled="true" fillcolor="#ebf4f2" stroked="false">
              <v:path arrowok="t"/>
              <v:fill type="solid"/>
            </v:shape>
            <v:shape style="position:absolute;left:4548;top:6217;width:2790;height:3985" coordorigin="4549,6218" coordsize="2790,3985" path="m5943,6218l4549,8210,5943,10202,7338,8210,5943,6218xe" filled="true" fillcolor="#ecf5f3" stroked="false">
              <v:path arrowok="t"/>
              <v:fill type="solid"/>
            </v:shape>
            <v:shape style="position:absolute;left:4648;top:6360;width:2590;height:3700" coordorigin="4648,6360" coordsize="2590,3700" path="m5943,6360l4648,8210,5943,10060,7238,8210,5943,6360xe" filled="true" fillcolor="#edf6f4" stroked="false">
              <v:path arrowok="t"/>
              <v:fill type="solid"/>
            </v:shape>
            <v:shape style="position:absolute;left:4748;top:6502;width:2391;height:3416" coordorigin="4748,6502" coordsize="2391,3416" path="m5943,6502l4748,8210,5943,9918,7139,8210,5943,6502xe" filled="true" fillcolor="#eff7f5" stroked="false">
              <v:path arrowok="t"/>
              <v:fill type="solid"/>
            </v:shape>
            <v:shape style="position:absolute;left:4847;top:6644;width:2192;height:3131" coordorigin="4848,6645" coordsize="2192,3131" path="m5943,6645l4848,8210,5943,9775,7039,8210,5943,6645xe" filled="true" fillcolor="#f0f7f5" stroked="false">
              <v:path arrowok="t"/>
              <v:fill type="solid"/>
            </v:shape>
            <v:shape style="position:absolute;left:4947;top:6787;width:1993;height:2847" coordorigin="4947,6787" coordsize="1993,2847" path="m5943,6787l4947,8210,5943,9633,6939,8210,5943,6787xe" filled="true" fillcolor="#f1f8f6" stroked="false">
              <v:path arrowok="t"/>
              <v:fill type="solid"/>
            </v:shape>
            <v:shape style="position:absolute;left:5046;top:6929;width:1794;height:2562" coordorigin="5047,6929" coordsize="1794,2562" path="m5943,6929l5047,8210,5943,9491,6840,8210,5943,6929xe" filled="true" fillcolor="#f2f8f7" stroked="false">
              <v:path arrowok="t"/>
              <v:fill type="solid"/>
            </v:shape>
            <v:shape style="position:absolute;left:5146;top:7071;width:1594;height:2277" coordorigin="5146,7072" coordsize="1594,2277" path="m5943,7072l5146,8210,5943,9349,6740,8210,5943,7072xe" filled="true" fillcolor="#f3f9f8" stroked="false">
              <v:path arrowok="t"/>
              <v:fill type="solid"/>
            </v:shape>
            <v:shape style="position:absolute;left:5246;top:7213;width:1395;height:1993" coordorigin="5246,7214" coordsize="1395,1993" path="m5943,7214l5246,8210,5943,9206,6641,8210,5943,7214xe" filled="true" fillcolor="#f5f9f8" stroked="false">
              <v:path arrowok="t"/>
              <v:fill type="solid"/>
            </v:shape>
            <v:shape style="position:absolute;left:5345;top:7356;width:1196;height:1708" coordorigin="5346,7356" coordsize="1196,1708" path="m5943,7356l5346,8210,5943,9064,6541,8210,5943,7356xe" filled="true" fillcolor="#f6faf9" stroked="false">
              <v:path arrowok="t"/>
              <v:fill type="solid"/>
            </v:shape>
            <v:shape style="position:absolute;left:5445;top:7498;width:997;height:1424" coordorigin="5445,7499" coordsize="997,1424" path="m5943,7499l5445,8210,5943,8922,6441,8210,5943,7499xe" filled="true" fillcolor="#f8fbfa" stroked="false">
              <v:path arrowok="t"/>
              <v:fill type="solid"/>
            </v:shape>
            <v:shape style="position:absolute;left:5544;top:7640;width:797;height:1139" coordorigin="5545,7641" coordsize="797,1139" path="m5943,7641l5545,8210,5943,8779,6342,8210,5943,7641xe" filled="true" fillcolor="#f9fcfc" stroked="false">
              <v:path arrowok="t"/>
              <v:fill type="solid"/>
            </v:shape>
            <v:shape style="position:absolute;left:5644;top:7783;width:598;height:854" coordorigin="5645,7783" coordsize="598,854" path="m5943,7783l5645,8210,5943,8637,6242,8210,5943,7783xe" filled="true" fillcolor="#fbfdfd" stroked="false">
              <v:path arrowok="t"/>
              <v:fill type="solid"/>
            </v:shape>
            <v:shape style="position:absolute;left:5744;top:7925;width:399;height:570" coordorigin="5744,7925" coordsize="399,570" path="m5943,7925l5744,8210,5943,8495,6143,8210,5943,7925xe" filled="true" fillcolor="#fdfefe" stroked="false">
              <v:path arrowok="t"/>
              <v:fill type="solid"/>
            </v:shape>
            <v:shape style="position:absolute;left:5843;top:8067;width:200;height:285" coordorigin="5844,8068" coordsize="200,285" path="m5943,8068l5844,8210,5943,8352,6043,8210,5943,8068xe" filled="true" fillcolor="#ffffff" stroked="false">
              <v:path arrowok="t"/>
              <v:fill type="solid"/>
            </v:shape>
            <v:rect style="position:absolute;left:773;top:820;width:10340;height:14780" filled="false" stroked="true" strokeweight="1pt" strokecolor="#009483">
              <v:stroke dashstyle="solid"/>
            </v:rect>
            <v:shape style="position:absolute;left:6189;top:7800;width:4460;height:3870" coordorigin="6189,7800" coordsize="4460,3870" path="m10649,7800l6189,7800,6189,8080,6189,8090,6189,11670,10649,11670,10649,8090,10649,8080,10649,7800xe" filled="true" fillcolor="#ffffff" stroked="false">
              <v:path arrowok="t"/>
              <v:fill type="solid"/>
            </v:shape>
            <v:shape style="position:absolute;left:8616;top:11100;width:919;height:2" coordorigin="8617,11100" coordsize="919,0" path="m9536,11100l8617,11100,9536,11100xe" filled="true" fillcolor="#ffffff" stroked="false">
              <v:path arrowok="t"/>
              <v:fill type="solid"/>
            </v:shape>
            <v:shape style="position:absolute;left:8616;top:11100;width:919;height:2" coordorigin="8617,11100" coordsize="919,0" path="m8617,11100l9536,11100,8617,11100xe" filled="false" stroked="true" strokeweight=".5pt" strokecolor="#ffffff">
              <v:path arrowok="t"/>
              <v:stroke dashstyle="solid"/>
            </v:shape>
            <v:shape style="position:absolute;left:8616;top:11100;width:919;height:2" coordorigin="8617,11100" coordsize="919,0" path="m9536,11100l8617,11100,9536,11100xe" filled="true" fillcolor="#ffffff" stroked="false">
              <v:path arrowok="t"/>
              <v:fill type="solid"/>
            </v:shape>
            <v:shape style="position:absolute;left:8616;top:11100;width:919;height:2" coordorigin="8617,11100" coordsize="919,0" path="m8617,11100l9536,11100,8617,11100xe" filled="false" stroked="true" strokeweight=".5pt" strokecolor="#ffffff">
              <v:path arrowok="t"/>
              <v:stroke dashstyle="solid"/>
            </v:shape>
            <v:shape style="position:absolute;left:6383;top:11100;width:934;height:2" coordorigin="6383,11100" coordsize="934,0" path="m7316,11100l6383,11100,7316,11100xe" filled="true" fillcolor="#ffffff" stroked="false">
              <v:path arrowok="t"/>
              <v:fill type="solid"/>
            </v:shape>
            <v:shape style="position:absolute;left:6383;top:11100;width:934;height:2" coordorigin="6383,11100" coordsize="934,0" path="m6383,11100l7316,11100,6383,11100xe" filled="false" stroked="true" strokeweight=".5pt" strokecolor="#ffffff">
              <v:path arrowok="t"/>
              <v:stroke dashstyle="solid"/>
            </v:shape>
            <v:shape style="position:absolute;left:6383;top:11100;width:934;height:2" coordorigin="6383,11100" coordsize="934,0" path="m7316,11100l6383,11100,7316,11100xe" filled="true" fillcolor="#ffffff" stroked="false">
              <v:path arrowok="t"/>
              <v:fill type="solid"/>
            </v:shape>
            <v:shape style="position:absolute;left:6383;top:11100;width:934;height:2" coordorigin="6383,11100" coordsize="934,0" path="m6383,11100l7316,11100,6383,11100xe" filled="false" stroked="true" strokeweight=".5pt" strokecolor="#ffffff">
              <v:path arrowok="t"/>
              <v:stroke dashstyle="solid"/>
            </v:shape>
            <v:shape style="position:absolute;left:6383;top:11100;width:934;height:2" coordorigin="6383,11100" coordsize="934,0" path="m7316,11100l6383,11100,7316,11100xe" filled="true" fillcolor="#ffffff" stroked="false">
              <v:path arrowok="t"/>
              <v:fill type="solid"/>
            </v:shape>
            <v:shape style="position:absolute;left:6383;top:11100;width:934;height:2" coordorigin="6383,11100" coordsize="934,0" path="m6383,11100l7316,11100,6383,11100xe" filled="false" stroked="true" strokeweight=".5pt" strokecolor="#ffffff">
              <v:path arrowok="t"/>
              <v:stroke dashstyle="solid"/>
            </v:shape>
            <v:shape style="position:absolute;left:7128;top:11100;width:843;height:2" coordorigin="7128,11100" coordsize="843,0" path="m7128,11100l7971,11100,7128,11100xe" filled="true" fillcolor="#ffffff" stroked="false">
              <v:path arrowok="t"/>
              <v:fill type="solid"/>
            </v:shape>
            <v:line style="position:absolute" from="7128,11100" to="7971,11100" stroked="true" strokeweight=".5pt" strokecolor="#ffffff">
              <v:stroke dashstyle="solid"/>
            </v:line>
            <v:shape style="position:absolute;left:7128;top:11100;width:843;height:2" coordorigin="7128,11100" coordsize="843,0" path="m7128,11100l7971,11100,7128,11100xe" filled="true" fillcolor="#ffffff" stroked="false">
              <v:path arrowok="t"/>
              <v:fill type="solid"/>
            </v:shape>
            <v:line style="position:absolute" from="7128,11100" to="7971,11100" stroked="true" strokeweight=".5pt" strokecolor="#ffffff">
              <v:stroke dashstyle="solid"/>
            </v:line>
            <v:shape style="position:absolute;left:8616;top:11100;width:919;height:2" coordorigin="8617,11100" coordsize="919,0" path="m9536,11100l8617,11100,9536,11100xe" filled="true" fillcolor="#ffffff" stroked="false">
              <v:path arrowok="t"/>
              <v:fill type="solid"/>
            </v:shape>
            <v:shape style="position:absolute;left:8616;top:11100;width:919;height:2" coordorigin="8617,11100" coordsize="919,0" path="m8617,11100l9536,11100,8617,11100xe" filled="false" stroked="true" strokeweight=".5pt" strokecolor="#ffffff">
              <v:path arrowok="t"/>
              <v:stroke dashstyle="solid"/>
            </v:shape>
            <v:shape style="position:absolute;left:7873;top:11100;width:925;height:2" coordorigin="7874,11100" coordsize="925,0" path="m7874,11100l7971,11100m8059,11100l8799,11100e" filled="false" stroked="true" strokeweight=".5pt" strokecolor="#ffffff">
              <v:path arrowok="t"/>
              <v:stroke dashstyle="solid"/>
            </v:shape>
            <v:shape style="position:absolute;left:7873;top:11097;width:925;height:10" coordorigin="7874,11098" coordsize="925,10" path="m7874,11098l8799,11098m7874,11108l8799,11108e" filled="false" stroked="true" strokeweight=".763pt" strokecolor="#ffffff">
              <v:path arrowok="t"/>
              <v:stroke dashstyle="solid"/>
            </v:shape>
            <v:shape style="position:absolute;left:7873;top:11100;width:925;height:2" coordorigin="7874,11100" coordsize="925,0" path="m7874,11100l7971,11100m8059,11100l8799,11100e" filled="false" stroked="true" strokeweight=".5pt" strokecolor="#ffffff">
              <v:path arrowok="t"/>
              <v:stroke dashstyle="solid"/>
            </v:shape>
            <v:shape style="position:absolute;left:7873;top:11100;width:925;height:2" coordorigin="7874,11100" coordsize="925,0" path="m7874,11100l7971,11100m8059,11100l8799,11100e" filled="false" stroked="true" strokeweight=".5pt" strokecolor="#ffffff">
              <v:path arrowok="t"/>
              <v:stroke dashstyle="solid"/>
            </v:shape>
            <v:shape style="position:absolute;left:7873;top:11100;width:925;height:2" coordorigin="7874,11100" coordsize="925,0" path="m7874,11100l7971,11100m8059,11100l8799,11100e" filled="false" stroked="true" strokeweight=".5pt" strokecolor="#ffffff">
              <v:path arrowok="t"/>
              <v:stroke dashstyle="solid"/>
            </v:shape>
            <v:shape style="position:absolute;left:7873;top:11100;width:925;height:2" coordorigin="7874,11100" coordsize="925,0" path="m7874,11100l7971,11100m8059,11100l8799,11100e" filled="false" stroked="true" strokeweight=".5pt" strokecolor="#ffffff">
              <v:path arrowok="t"/>
              <v:stroke dashstyle="solid"/>
            </v:shape>
            <v:shape style="position:absolute;left:8616;top:11100;width:919;height:2" coordorigin="8617,11100" coordsize="919,0" path="m9536,11100l8617,11100,9536,11100xe" filled="true" fillcolor="#ffffff" stroked="false">
              <v:path arrowok="t"/>
              <v:fill type="solid"/>
            </v:shape>
            <v:shape style="position:absolute;left:8616;top:11100;width:919;height:2" coordorigin="8617,11100" coordsize="919,0" path="m8617,11100l9536,11100,8617,11100xe" filled="false" stroked="true" strokeweight=".5pt" strokecolor="#ffffff">
              <v:path arrowok="t"/>
              <v:stroke dashstyle="solid"/>
            </v:shape>
            <v:shape style="position:absolute;left:6383;top:11100;width:934;height:2" coordorigin="6383,11100" coordsize="934,0" path="m7316,11100l6383,11100,7316,11100xe" filled="true" fillcolor="#ffffff" stroked="false">
              <v:path arrowok="t"/>
              <v:fill type="solid"/>
            </v:shape>
            <v:shape style="position:absolute;left:6383;top:11100;width:934;height:2" coordorigin="6383,11100" coordsize="934,0" path="m6383,11100l7316,11100,6383,11100xe" filled="false" stroked="true" strokeweight=".5pt" strokecolor="#ffffff">
              <v:path arrowok="t"/>
              <v:stroke dashstyle="solid"/>
            </v:shape>
            <v:shape style="position:absolute;left:6383;top:11100;width:934;height:2" coordorigin="6383,11100" coordsize="934,0" path="m7316,11100l6383,11100,7316,11100xe" filled="true" fillcolor="#ffffff" stroked="false">
              <v:path arrowok="t"/>
              <v:fill type="solid"/>
            </v:shape>
            <v:shape style="position:absolute;left:6383;top:11100;width:934;height:2" coordorigin="6383,11100" coordsize="934,0" path="m6383,11100l7316,11100,6383,11100xe" filled="false" stroked="true" strokeweight=".5pt" strokecolor="#ffffff">
              <v:path arrowok="t"/>
              <v:stroke dashstyle="solid"/>
            </v:shape>
            <v:shape style="position:absolute;left:6383;top:11100;width:934;height:2" coordorigin="6383,11100" coordsize="934,0" path="m7316,11100l6383,11100,7316,11100xe" filled="true" fillcolor="#ffffff" stroked="false">
              <v:path arrowok="t"/>
              <v:fill type="solid"/>
            </v:shape>
            <v:shape style="position:absolute;left:6383;top:11100;width:934;height:2" coordorigin="6383,11100" coordsize="934,0" path="m6383,11100l7316,11100,6383,11100xe" filled="false" stroked="true" strokeweight="1pt" strokecolor="#ffffff">
              <v:path arrowok="t"/>
              <v:stroke dashstyle="solid"/>
            </v:shape>
            <v:shape style="position:absolute;left:8396;top:11100;width:403;height:2" coordorigin="8396,11100" coordsize="403,0" path="m8799,11100l8396,11100xe" filled="true" fillcolor="#ffffff" stroked="false">
              <v:path arrowok="t"/>
              <v:fill type="solid"/>
            </v:shape>
            <v:shape style="position:absolute;left:8396;top:11100;width:403;height:2" coordorigin="8396,11100" coordsize="403,0" path="m8545,11100l8799,11100,8396,11100e" filled="false" stroked="true" strokeweight=".5pt" strokecolor="#ffffff">
              <v:path arrowok="t"/>
              <v:stroke dashstyle="solid"/>
            </v:shape>
            <v:shape style="position:absolute;left:7957;top:11100;width:842;height:2" coordorigin="7957,11100" coordsize="842,0" path="m7957,11100l7971,11100m8059,11100l8799,11100e" filled="false" stroked="true" strokeweight=".5pt" strokecolor="#ffffff">
              <v:path arrowok="t"/>
              <v:stroke dashstyle="solid"/>
            </v:shape>
            <v:shape style="position:absolute;left:7128;top:11100;width:843;height:2" coordorigin="7128,11100" coordsize="843,0" path="m7128,11100l7971,11100,7128,11100xe" filled="true" fillcolor="#ffffff" stroked="false">
              <v:path arrowok="t"/>
              <v:fill type="solid"/>
            </v:shape>
            <v:line style="position:absolute" from="7128,11100" to="7971,11100" stroked="true" strokeweight=".5pt" strokecolor="#ffffff">
              <v:stroke dashstyle="solid"/>
            </v:line>
            <v:shape style="position:absolute;left:7070;top:8784;width:925;height:2321" coordorigin="7071,8784" coordsize="925,2321" path="m7779,8784l7720,8784,7720,8794,7708,8794,7706,8803,7698,8803,7694,8811,7688,8811,7688,11104,7071,11104,7996,11104,7808,11104,7808,8803,7802,8803,7802,8794,7784,8794,7779,8784xe" filled="true" fillcolor="#ed1b2d" stroked="false">
              <v:path arrowok="t"/>
              <v:fill type="solid"/>
            </v:shape>
            <v:shape style="position:absolute;left:7070;top:8784;width:925;height:2321" coordorigin="7071,8784" coordsize="925,2321" path="m7071,11104l7688,11104,7688,8811,7694,8811,7698,8803,7706,8803,7708,8794,7720,8794,7720,8784,7779,8784,7784,8794,7802,8794,7802,8803,7808,8803,7808,11104,7996,11104,7071,11104xe" filled="false" stroked="true" strokeweight=".5pt" strokecolor="#231f20">
              <v:path arrowok="t"/>
              <v:stroke dashstyle="solid"/>
            </v:shape>
            <v:shape style="position:absolute;left:7816;top:8799;width:68;height:2306" coordorigin="7816,8799" coordsize="68,2306" path="m7833,8799l7816,8799,7816,11104,7884,11104,7884,8837,7871,8837,7871,8834,7865,8834,7865,8826,7855,8826,7855,8817,7843,8817,7843,8807,7833,8807,7833,8799xe" filled="true" fillcolor="#f15b4a" stroked="false">
              <v:path arrowok="t"/>
              <v:fill type="solid"/>
            </v:shape>
            <v:shape style="position:absolute;left:7816;top:8799;width:925;height:2306" coordorigin="7816,8799" coordsize="925,2306" path="m7816,8799l7833,8799,7833,8807,7843,8807,7843,8817,7855,8817,7855,8826,7865,8826,7865,8834,7871,8834,7871,8837,7884,8837,7884,11104,8741,11104,7816,11104,7816,8799xe" filled="false" stroked="true" strokeweight=".5pt" strokecolor="#231f20">
              <v:path arrowok="t"/>
              <v:stroke dashstyle="solid"/>
            </v:shape>
            <v:shape style="position:absolute;left:7070;top:8799;width:925;height:2306" coordorigin="7071,8799" coordsize="925,2306" path="m7828,8799l7808,8799,7808,11104,7071,11104,7996,11104,7884,11104,7884,8846,7880,8846,7880,8837,7871,8837,7871,8834,7865,8834,7865,8826,7855,8826,7855,8817,7843,8817,7843,8807,7828,8807,7828,8799xe" filled="true" fillcolor="#e94531" stroked="false">
              <v:path arrowok="t"/>
              <v:fill type="solid"/>
            </v:shape>
            <v:shape style="position:absolute;left:7070;top:8799;width:925;height:2306" coordorigin="7071,8799" coordsize="925,2306" path="m7071,11104l7808,11104,7808,8799,7828,8799,7828,8807,7843,8807,7843,8817,7855,8817,7855,8826,7865,8826,7865,8834,7871,8834,7871,8837,7880,8837,7880,8846,7884,8846,7884,11104,7996,11104,7071,11104xe" filled="false" stroked="true" strokeweight=".5pt" strokecolor="#231f20">
              <v:path arrowok="t"/>
              <v:stroke dashstyle="solid"/>
            </v:shape>
            <v:shape style="position:absolute;left:8054;top:9084;width:92;height:2021" coordorigin="8054,9084" coordsize="92,2021" path="m8054,9084l8056,11102,8146,11104,8143,9256,8135,9228,8135,9219,8127,9219,8127,9209,8120,9209,8120,9201,8116,9201,8110,9193,8110,9186,8106,9186,8106,9170,8098,9161,8096,9153,8096,9143,8088,9143,8088,9138,8084,9138,8078,9130,8073,9123,8073,9107,8067,9107,8067,9099,8063,9089,8054,9084xe" filled="true" fillcolor="#f69780" stroked="false">
              <v:path arrowok="t"/>
              <v:fill type="solid"/>
            </v:shape>
            <v:shape style="position:absolute;left:8054;top:9084;width:92;height:2021" coordorigin="8054,9084" coordsize="92,2021" path="m8146,11104l8143,9256,8135,9228,8135,9219,8127,9219,8127,9209,8120,9209,8120,9201,8116,9201,8110,9193,8110,9186,8106,9186,8106,9170,8098,9161,8096,9153,8096,9143,8088,9143,8088,9138,8084,9138,8078,9130,8073,9123,8073,9107,8067,9107,8067,9099,8063,9089,8054,9084,8056,11102e" filled="false" stroked="true" strokeweight=".5pt" strokecolor="#231f20">
              <v:path arrowok="t"/>
              <v:stroke dashstyle="solid"/>
            </v:shape>
            <v:shape style="position:absolute;left:7970;top:8956;width:89;height:2149" coordorigin="7971,8957" coordsize="89,2149" path="m7978,8957l7971,8957,7971,11105,8057,11102,8056,9086,8059,9086,8053,9086,8051,9077,8039,9065,8039,9046,8031,9046,8031,9034,8024,9034,8024,9026,8014,9026,8014,9018,8010,9008,8004,9008,8004,8991,7996,8991,7996,8975,7990,8975,7986,8965,7978,8965,7978,8957xe" filled="true" fillcolor="#f5846d" stroked="false">
              <v:path arrowok="t"/>
              <v:fill type="solid"/>
            </v:shape>
            <v:shape style="position:absolute;left:7970;top:8956;width:89;height:2149" coordorigin="7971,8957" coordsize="89,2149" path="m7971,11105l7971,8957,7978,8957,7978,8965,7986,8965,7990,8975,7996,8975,7996,8991,8004,8991,8004,9008,8010,9008,8014,9018,8014,9026,8024,9026,8024,9034,8031,9034,8031,9046,8039,9046,8039,9065,8045,9071,8051,9077,8053,9086,8059,9086,8056,9086,8057,11102e" filled="false" stroked="true" strokeweight=".5pt" strokecolor="#231f20">
              <v:path arrowok="t"/>
              <v:stroke dashstyle="solid"/>
            </v:shape>
            <v:shape style="position:absolute;left:8144;top:9255;width:100;height:1850" coordorigin="8145,9255" coordsize="100,1850" path="m8151,9262l8146,9262,8146,11104,8245,11104,8245,9478,8241,9478,8227,9438,8227,9419,8218,9419,8218,9411,8216,9411,8216,9393,8208,9393,8208,9385,8204,9385,8204,9376,8198,9376,8198,9368,8194,9368,8194,9360,8192,9350,8184,9342,8184,9330,8180,9322,8180,9314,8174,9314,8169,9305,8169,9295,8163,9295,8163,9287,8159,9287,8159,9271,8151,9271,8151,9262xm8146,9255l8145,9262,8146,9262,8146,9255xe" filled="true" fillcolor="#f8aa95" stroked="false">
              <v:path arrowok="t"/>
              <v:fill type="solid"/>
            </v:shape>
            <v:shape style="position:absolute;left:8144;top:9255;width:100;height:1850" coordorigin="8145,9255" coordsize="100,1850" path="m8146,11104l8146,9255,8145,9262,8151,9262,8151,9271,8159,9271,8159,9287,8163,9287,8163,9295,8169,9295,8169,9305,8174,9314,8180,9314,8180,9322,8184,9330,8184,9342,8192,9350,8194,9360,8194,9368,8198,9368,8198,9376,8204,9376,8204,9385,8208,9385,8208,9393,8216,9393,8216,9411,8218,9411,8218,9419,8227,9419,8227,9438,8241,9478,8245,9478,8245,11104e" filled="false" stroked="true" strokeweight=".5pt" strokecolor="#231f20">
              <v:path arrowok="t"/>
              <v:stroke dashstyle="solid"/>
            </v:shape>
            <v:shape style="position:absolute;left:8244;top:9473;width:107;height:1631" coordorigin="8245,9474" coordsize="107,1631" path="m8245,9474l8245,11104,8352,11103,8352,9726,8339,9700,8337,9692,8337,9676,8329,9666,8329,9661,8327,9661,8327,9653,8323,9644,8314,9644,8314,9629,8312,9629,8312,9621,8304,9621,8304,9603,8300,9603,8300,9595,8294,9595,8294,9580,8290,9580,8290,9563,8284,9563,8284,9555,8280,9547,8280,9540,8272,9540,8272,9532,8265,9532,8265,9514,8259,9509,8259,9492,8255,9482,8247,9482,8245,9474xe" filled="true" fillcolor="#fabeac" stroked="false">
              <v:path arrowok="t"/>
              <v:fill type="solid"/>
            </v:shape>
            <v:shape style="position:absolute;left:8244;top:9473;width:107;height:1631" coordorigin="8245,9474" coordsize="107,1631" path="m8245,11104l8245,9474,8247,9482,8255,9482,8259,9492,8259,9509,8265,9514,8265,9532,8272,9532,8272,9540,8280,9540,8280,9547,8284,9555,8284,9563,8290,9563,8290,9580,8294,9580,8294,9595,8300,9595,8300,9603,8304,9603,8304,9621,8312,9621,8312,9629,8314,9629,8314,9644,8323,9644,8327,9653,8327,9661,8329,9661,8329,9666,8337,9676,8337,9692,8339,9700,8352,9726,8352,11103e" filled="false" stroked="true" strokeweight=".5pt" strokecolor="#231f20">
              <v:path arrowok="t"/>
              <v:stroke dashstyle="solid"/>
            </v:shape>
            <v:shape style="position:absolute;left:8350;top:9723;width:168;height:1381" coordorigin="8350,9724" coordsize="168,1381" path="m8350,9724l8350,11104,8518,11104,8518,10082,8482,10020,8478,10011,8478,10003,8472,9993,8468,9985,8468,9980,8459,9980,8457,9970,8457,9962,8453,9962,8453,9954,8447,9945,8447,9930,8443,9930,8443,9922,8435,9922,8435,9914,8433,9907,8425,9899,8425,9891,8421,9882,8414,9872,8414,9864,8410,9856,8410,9848,8404,9844,8396,9836,8396,9828,8394,9818,8390,9818,8390,9810,8386,9801,8380,9793,8380,9785,8376,9775,8376,9758,8368,9750,8361,9750,8361,9742,8357,9739,8351,9730,8350,9724xe" filled="true" fillcolor="#fcd3c4" stroked="false">
              <v:path arrowok="t"/>
              <v:fill type="solid"/>
            </v:shape>
            <v:shape style="position:absolute;left:6325;top:9723;width:3153;height:1381" coordorigin="6326,9724" coordsize="3153,1381" path="m8518,11104l8518,10082,8482,10020,8478,10011,8478,10003,8472,9993,8468,9985,8468,9980,8459,9980,8457,9970,8457,9962,8453,9962,8453,9954,8447,9945,8447,9930,8443,9930,8443,9922,8435,9922,8435,9914,8433,9907,8425,9899,8425,9891,8421,9882,8414,9872,8414,9864,8410,9856,8410,9848,8404,9844,8396,9836,8396,9828,8394,9818,8390,9818,8390,9810,8386,9801,8380,9793,8380,9785,8376,9775,8376,9758,8368,9750,8361,9750,8361,9742,8357,9739,8351,9730,8350,9724,8350,11104m8709,10461l8713,10461,8713,10479,8719,10488,8723,10488,8727,10496,8727,10504,8733,10504,8737,10514,8737,10522,8743,10522,8743,10531,8747,10531,8747,10542,8758,10542,8758,10551,8766,10551,8766,10559,8770,10559,8770,10569,8776,10569,8776,10577,8780,10577,8780,10585,8786,10585,8786,10594,8790,10594,8790,10612,8800,10612,8800,10617,8804,10617,8811,10625,8815,10633,8823,10643,8823,10648,8829,10648,8829,10656,8839,10656,8843,10666,8843,10675,8849,10675,8849,10683,8858,10691,8864,10691,8864,10706,8868,10706,8868,10714,8878,10714,8878,10722,8890,10722,8890,10732,8896,10732,8900,10741,8900,10746,8907,10746,8907,10754,8911,10754,8917,10764,8921,10764,8921,10772,8935,10772,8935,10780,8943,10780,8943,10787,8945,10795,8954,10795,8954,10804,8964,10804,8964,10812,8970,10812,8970,10820,8974,10820,8974,10830,8988,10830,8988,10838,8998,10838,8998,10843,9007,10843,9011,10851,9011,10861,9021,10861,9021,10866,9027,10866,9031,10875,9037,10875,9041,10885,9052,10885,9056,10893,9064,10893,9066,10901,9074,10901,9078,10909,9092,10909,9092,10918,9094,10918,9094,10928,9105,10928,9113,10936,9119,10936,9119,10944,9137,10944,9141,10947,9152,10947,9160,10956,9162,10956,9162,10964,9180,10964,9180,10972,9194,10972,9194,10982,9205,10982,9205,10990,9243,10990,9243,10999,9252,10999,9258,11007,9272,11007,9272,11015,9290,11015,9292,11025,9315,11025,9315,11033,9335,11033,9335,11042,9358,11042,9364,11045,9388,11045,9393,11053,9456,11053,9456,11062,9478,11062,9478,11104,8702,11104m6326,11104l6540,11104,6542,11096,6642,11096,6648,11088,6701,11088,6701,11080,6740,11080,6740,11070,6767,11070,6767,11062,6787,11062,6787,11053,6822,11053,6822,11045,6840,11045,6844,11042,6854,11042,6854,11033,6869,11033,6869,11025,6879,11025,6883,11015,6893,11015,6893,11007,6897,11007,6897,10999,6908,10999,6908,10990,6928,10990,6928,10982,6936,10976,6942,10976,6942,10967,6955,10967,6955,10959,6961,10949,6969,10949,6969,10944,6979,10944,6979,10936,6983,10936,6983,10928,6989,10928,6989,10918,6993,10918,6999,10913,7004,10904,7010,10904,7010,10886,7018,10886,7018,10878,7024,10878,7024,10870,7028,10870,7028,10861,7036,10861,7036,10851,7042,10851,7042,10843,7046,10843,7046,10832,7053,10832,7057,10823,7063,10823,7063,10815,7067,10807,7075,10797,7075,10789,7077,10789,7077,10780,7085,10780,7085,10772,7089,10764,7089,10754,7091,10754,7091,10746,7099,10746,7099,10734,7104,10734,7104,10726,7110,10726,7110,10718,7118,10718,7118,10709,7120,10709,7120,10683,7128,10683,7128,10675,7130,10668,7130,10660,7138,10660,7138,10651,7142,10651,7142,10645,7149,10645,7149,10628,7153,10628,7153,10620,7157,10612,7163,10597,7163,10580,7167,10580,7167,10570,7173,10562,7173,10554,7177,10546,7183,10546,7183,11104,7259,11104,6326,11104xe" filled="false" stroked="true" strokeweight=".5pt" strokecolor="#231f20">
              <v:path arrowok="t"/>
              <v:stroke dashstyle="solid"/>
            </v:shape>
            <v:shape style="position:absolute;left:7183;top:10300;width:76;height:804" coordorigin="7183,10301" coordsize="76,804" path="m7259,10301l7251,10309,7251,10319,7249,10327,7249,10336,7240,10344,7240,10347,7238,10347,7238,10364,7230,10374,7230,10398,7226,10398,7226,10407,7220,10417,7220,10433,7216,10441,7212,10441,7212,10453,7206,10461,7206,10471,7202,10471,7202,10488,7195,10496,7195,10514,7191,10522,7183,10531,7183,11104,7259,11104,7259,10301xe" filled="true" fillcolor="#f6cdbc" stroked="false">
              <v:path arrowok="t"/>
              <v:fill type="solid"/>
            </v:shape>
            <v:shape style="position:absolute;left:6325;top:10292;width:934;height:812" coordorigin="6326,10293" coordsize="934,812" path="m7259,11104l6326,11104,7183,11104,7183,10531,7191,10522,7195,10514,7195,10496,7202,10488,7202,10471,7206,10471,7206,10461,7212,10453,7212,10441,7216,10441,7220,10433,7220,10417,7226,10407,7226,10398,7230,10398,7230,10374,7238,10364,7238,10347,7240,10347,7240,10344,7249,10336,7249,10327,7251,10319,7251,10309,7259,10301,7259,10293e" filled="false" stroked="true" strokeweight=".5pt" strokecolor="#231f20">
              <v:path arrowok="t"/>
              <v:stroke dashstyle="solid"/>
            </v:shape>
            <v:shape style="position:absolute;left:7177;top:10124;width:131;height:979" coordorigin="7177,10125" coordsize="131,979" path="m7308,10125l7302,10133,7302,10141,7298,10151,7298,10153,7291,10163,7291,10171,7287,10179,7287,10196,7279,10206,7279,10214,7277,10214,7277,10222,7273,10231,7273,10260,7265,10269,7265,10277,7263,10285,7255,10293,7255,10312,7249,10320,7249,10328,7244,10328,7244,10343,7238,10351,7238,10358,7234,10358,7234,10374,7226,10374,7226,10406,7224,10406,7224,10414,7216,10424,7216,10441,7212,10441,7210,10449,7210,10464,7202,10472,7202,10479,7198,10479,7198,10495,7191,10503,7191,10522,7187,10530,7181,10538,7181,11104,7177,11104,7308,11104,7308,10125xe" filled="true" fillcolor="#fee7de" stroked="false">
              <v:path arrowok="t"/>
              <v:fill type="solid"/>
            </v:shape>
            <v:shape style="position:absolute;left:7177;top:10124;width:131;height:979" coordorigin="7177,10125" coordsize="131,979" path="m7177,11104l7181,11104,7181,10538,7187,10530,7191,10522,7191,10503,7198,10495,7198,10479,7202,10479,7202,10472,7210,10464,7210,10449,7212,10441,7216,10441,7216,10424,7224,10414,7224,10406,7226,10406,7226,10374,7234,10374,7234,10358,7238,10358,7238,10351,7244,10343,7244,10328,7249,10328,7249,10320,7255,10312,7255,10293,7263,10285,7265,10277,7265,10269,7273,10260,7273,10231,7277,10222,7277,10214,7279,10214,7279,10206,7287,10196,7287,10179,7291,10171,7291,10163,7298,10153,7298,10151,7302,10141,7302,10133,7308,10125,7308,11104e" filled="false" stroked="true" strokeweight=".5pt" strokecolor="#231f20">
              <v:path arrowok="t"/>
              <v:stroke dashstyle="solid"/>
            </v:shape>
            <v:shape style="position:absolute;left:7070;top:9781;width:925;height:1323" coordorigin="7071,9782" coordsize="925,1323" path="m7383,9782l7383,9816,7375,9825,7375,9833,7373,9841,7373,9853,7365,9861,7361,9871,7361,9896,7355,9906,7355,9914,7347,9922,7347,9942,7340,9950,7340,9977,7336,9993,7336,10011,7330,10016,7330,10025,7322,10035,7322,10043,7318,10048,7318,10058,7312,10066,7312,10082,7308,10091,7308,11104,7071,11104,7996,11104,7385,11104,7383,9782xe" filled="true" fillcolor="#fcd3c4" stroked="false">
              <v:path arrowok="t"/>
              <v:fill type="solid"/>
            </v:shape>
            <v:shape style="position:absolute;left:7070;top:9781;width:925;height:1323" coordorigin="7071,9782" coordsize="925,1323" path="m7071,11104l7308,11104,7308,10091,7312,10082,7312,10066,7318,10058,7318,10048,7322,10043,7322,10035,7330,10025,7330,10016,7336,10011,7336,9993,7340,9977,7340,9950,7347,9942,7347,9922,7355,9914,7355,9906,7361,9896,7361,9871,7365,9861,7373,9853,7373,9841,7375,9833,7375,9825,7383,9816,7383,9782,7385,11104,7996,11104,7071,11104xe" filled="false" stroked="true" strokeweight=".5pt" strokecolor="#231f20">
              <v:path arrowok="t"/>
              <v:stroke dashstyle="solid"/>
            </v:shape>
            <v:shape style="position:absolute;left:7383;top:9510;width:74;height:1591" coordorigin="7383,9511" coordsize="74,1591" path="m7457,9511l7451,9519,7451,9529,7447,9537,7447,9545,7438,9549,7438,9557,7436,9565,7436,9592,7428,9592,7428,9600,7422,9608,7422,9626,7418,9635,7418,9663,7412,9671,7412,9706,7404,9706,7404,9714,7398,9724,7398,9744,7394,9752,7385,9760,7383,11102,7457,11102,7457,9511xe" filled="true" fillcolor="#fabeac" stroked="false">
              <v:path arrowok="t"/>
              <v:fill type="solid"/>
            </v:shape>
            <v:shape style="position:absolute;left:7383;top:9510;width:74;height:1591" coordorigin="7383,9511" coordsize="74,1591" path="m7383,11102l7385,9779,7385,9760,7394,9752,7398,9744,7398,9724,7404,9714,7404,9706,7412,9706,7412,9671,7418,9663,7418,9635,7422,9626,7422,9608,7428,9600,7428,9592,7436,9592,7436,9565,7438,9557,7438,9549,7447,9545,7447,9537,7451,9529,7451,9519,7457,9511,7457,11102e" filled="false" stroked="true" strokeweight=".5pt" strokecolor="#231f20">
              <v:path arrowok="t"/>
              <v:stroke dashstyle="solid"/>
            </v:shape>
            <v:shape style="position:absolute;left:7456;top:9278;width:54;height:1826" coordorigin="7457,9279" coordsize="54,1826" path="m7510,9279l7504,9287,7504,9295,7496,9305,7496,9314,7494,9322,7494,9350,7485,9360,7485,9368,7481,9376,7481,9393,7475,9403,7475,9411,7471,9419,7471,9426,7467,9434,7467,9439,7461,9447,7461,9482,7457,9482,7457,11104,7510,11104,7510,9279xe" filled="true" fillcolor="#f8aa95" stroked="false">
              <v:path arrowok="t"/>
              <v:fill type="solid"/>
            </v:shape>
            <v:shape style="position:absolute;left:7070;top:9270;width:925;height:1834" coordorigin="7071,9271" coordsize="925,1834" path="m7071,11104l7457,11104,7457,9482,7461,9482,7461,9447,7467,9439,7467,9434,7471,9426,7471,9419,7475,9411,7475,9403,7481,9393,7481,9376,7485,9368,7485,9360,7494,9350,7494,9322,7496,9314,7496,9305,7504,9295,7504,9287,7510,9279,7510,9271,7510,11104,7996,11104,7071,11104xe" filled="false" stroked="true" strokeweight=".5pt" strokecolor="#231f20">
              <v:path arrowok="t"/>
              <v:stroke dashstyle="solid"/>
            </v:shape>
            <v:shape style="position:absolute;left:7509;top:9118;width:47;height:1987" coordorigin="7510,9118" coordsize="47,1987" path="m7557,9118l7549,9127,7549,9135,7547,9135,7547,9138,7543,9146,7543,9155,7534,9165,7534,9198,7532,9198,7532,9216,7524,9216,7524,9224,7520,9232,7520,9244,7514,9252,7514,9262,7510,9262,7510,11104,7557,11104,7557,9118xe" filled="true" fillcolor="#f69780" stroked="false">
              <v:path arrowok="t"/>
              <v:fill type="solid"/>
            </v:shape>
            <v:shape style="position:absolute;left:7070;top:9110;width:925;height:1995" coordorigin="7071,9110" coordsize="925,1995" path="m7071,11104l7510,11104,7510,9262,7514,9262,7514,9252,7520,9244,7520,9232,7524,9224,7524,9216,7532,9216,7532,9198,7534,9198,7534,9165,7543,9155,7543,9146,7547,9138,7547,9135,7549,9135,7549,9127,7557,9118,7557,9110,7557,11104,7996,11104,7071,11104xe" filled="false" stroked="true" strokeweight=".5pt" strokecolor="#231f20">
              <v:path arrowok="t"/>
              <v:stroke dashstyle="solid"/>
            </v:shape>
            <v:shape style="position:absolute;left:7070;top:8971;width:925;height:2134" coordorigin="7071,8971" coordsize="925,2134" path="m7606,8971l7600,8979,7600,8989,7596,8989,7596,9006,7588,9006,7588,9014,7581,9024,7577,9032,7577,9041,7571,9044,7571,9069,7567,9079,7567,9087,7561,9087,7561,9095,7557,9103,7557,11104,7071,11104,7996,11104,7606,11104,7606,8971xe" filled="true" fillcolor="#f5846d" stroked="false">
              <v:path arrowok="t"/>
              <v:fill type="solid"/>
            </v:shape>
            <v:shape style="position:absolute;left:7070;top:8971;width:925;height:2134" coordorigin="7071,8971" coordsize="925,2134" path="m7071,11104l7557,11104,7557,9103,7561,9095,7561,9087,7567,9087,7567,9079,7571,9069,7571,9044,7577,9041,7577,9032,7581,9024,7588,9014,7588,9006,7596,9006,7596,8989,7600,8989,7600,8979,7606,8971,7606,11104,7996,11104,7071,11104xe" filled="false" stroked="true" strokeweight=".5pt" strokecolor="#231f20">
              <v:path arrowok="t"/>
              <v:stroke dashstyle="solid"/>
            </v:shape>
            <v:shape style="position:absolute;left:7070;top:8873;width:925;height:2231" coordorigin="7071,8874" coordsize="925,2231" path="m7645,8874l7641,8882,7641,8892,7634,8892,7634,8900,7630,8900,7630,8917,7620,8917,7620,8935,7614,8935,7614,8955,7606,8955,7606,11104,7071,11104,7996,11104,7645,11104,7645,8874xe" filled="true" fillcolor="#f3715b" stroked="false">
              <v:path arrowok="t"/>
              <v:fill type="solid"/>
            </v:shape>
            <v:shape style="position:absolute;left:7070;top:8873;width:925;height:2231" coordorigin="7071,8874" coordsize="925,2231" path="m7071,11104l7606,11104,7606,8955,7614,8955,7614,8935,7620,8935,7620,8917,7630,8917,7630,8900,7634,8900,7634,8892,7641,8892,7641,8882,7645,8874,7645,11104,7996,11104,7071,11104xe" filled="false" stroked="true" strokeweight=".5pt" strokecolor="#231f20">
              <v:path arrowok="t"/>
              <v:stroke dashstyle="solid"/>
            </v:shape>
            <v:shape style="position:absolute;left:7644;top:8807;width:43;height:2297" coordorigin="7645,8807" coordsize="43,2297" path="m7688,8807l7681,8807,7681,8817,7677,8826,7673,8826,7673,8834,7669,8834,7669,8837,7663,8837,7663,8846,7655,8846,7655,8854,7653,8854,7653,8862,7645,8862,7645,11104,7688,11104,7688,8807xe" filled="true" fillcolor="#f15b4a" stroked="false">
              <v:path arrowok="t"/>
              <v:fill type="solid"/>
            </v:shape>
            <v:shape style="position:absolute;left:7070;top:8799;width:925;height:2306" coordorigin="7071,8799" coordsize="925,2306" path="m7071,11104l7645,11104,7645,8862,7653,8862,7653,8854,7655,8854,7655,8846,7663,8846,7663,8837,7669,8837,7669,8834,7673,8834,7673,8826,7677,8826,7681,8817,7681,8807,7688,8807,7688,8799,7688,11104,7996,11104,7071,11104xe" filled="false" stroked="true" strokeweight=".5pt" strokecolor="#231f20">
              <v:path arrowok="t"/>
              <v:stroke dashstyle="solid"/>
            </v:shape>
            <v:shape style="position:absolute;left:7941;top:11100;width:7;height:2" coordorigin="7941,11100" coordsize="7,0" path="m7947,11100l7941,11100e" filled="true" fillcolor="#f3715b" stroked="false">
              <v:path arrowok="t"/>
              <v:fill type="solid"/>
            </v:shape>
            <v:line style="position:absolute" from="7947,11100" to="7941,11100" stroked="true" strokeweight=".5pt" strokecolor="#231f20">
              <v:stroke dashstyle="solid"/>
            </v:line>
            <v:shape style="position:absolute;left:7936;top:11100;width:5;height:2" coordorigin="7937,11100" coordsize="5,0" path="m7941,11100l7937,11100e" filled="true" fillcolor="#f3715b" stroked="false">
              <v:path arrowok="t"/>
              <v:fill type="solid"/>
            </v:shape>
            <v:line style="position:absolute" from="7939,11095" to="7939,11105" stroked="true" strokeweight=".205pt" strokecolor="#231f20">
              <v:stroke dashstyle="solid"/>
            </v:line>
            <v:shape style="position:absolute;left:8514;top:10086;width:233;height:1022" coordorigin="8514,10086" coordsize="233,1022" path="m8520,10088l8518,10088,8518,11102,8746,11108,8746,10532,8715,10468,8708,10448,8707,10448,8698,10447,8700,10444,8692,10439,8688,10439,8691,10428,8680,10423,8678,10413,8678,10404,8669,10404,8669,10396,8665,10396,8665,10389,8659,10381,8655,10373,8653,10373,8653,10365,8645,10365,8645,10356,8641,10350,8641,10333,8635,10333,8635,10325,8631,10325,8624,10318,8616,10310,8616,10302,8612,10302,8612,10292,8606,10292,8606,10284,8602,10275,8602,10267,8596,10267,8596,10249,8588,10247,8582,10237,8582,10229,8578,10221,8571,10212,8571,10204,8559,10204,8559,10178,8557,10178,8557,10169,8549,10161,8545,10151,8539,10150,8535,10140,8535,10131,8529,10131,8529,10107,8520,10107,8520,10088xm8518,10086l8514,10088,8518,10088,8518,10086xe" filled="true" fillcolor="#fee7de" stroked="false">
              <v:path arrowok="t"/>
              <v:fill type="solid"/>
            </v:shape>
            <v:shape style="position:absolute;left:8514;top:10086;width:233;height:1022" coordorigin="8514,10086" coordsize="233,1022" path="m8746,11108l8746,10532,8715,10468,8708,10448,8707,10448,8698,10447,8700,10444,8692,10439,8688,10439,8691,10428,8680,10423,8678,10413,8678,10404,8669,10404,8669,10396,8665,10396,8665,10389,8659,10381,8655,10373,8653,10373,8653,10365,8645,10365,8645,10356,8641,10350,8641,10333,8635,10333,8635,10325,8631,10325,8624,10318,8616,10310,8616,10302,8612,10302,8612,10292,8606,10292,8606,10284,8602,10275,8602,10267,8596,10267,8596,10249,8588,10247,8582,10237,8582,10229,8578,10221,8571,10212,8571,10204,8559,10204,8559,10178,8557,10178,8557,10169,8549,10161,8545,10151,8539,10150,8535,10140,8535,10131,8529,10131,8529,10107,8520,10107,8520,10088,8514,10088,8518,10086,8518,11102e" filled="false" stroked="true" strokeweight=".5pt" strokecolor="#231f20">
              <v:path arrowok="t"/>
              <v:stroke dashstyle="solid"/>
            </v:shape>
            <v:shape style="position:absolute;left:9362;top:11100;width:848;height:2" coordorigin="9362,11100" coordsize="848,0" path="m10210,11100l9362,11100,10210,11100xe" filled="true" fillcolor="#f8f8f9" stroked="false">
              <v:path arrowok="t"/>
              <v:fill type="solid"/>
            </v:shape>
            <v:shape style="position:absolute;left:9362;top:11100;width:848;height:2" coordorigin="9362,11100" coordsize="848,0" path="m9362,11100l10210,11100,9362,11100xe" filled="false" stroked="true" strokeweight=".5pt" strokecolor="#231f20">
              <v:path arrowok="t"/>
              <v:stroke dashstyle="solid"/>
            </v:shape>
            <v:shape style="position:absolute;left:9362;top:11100;width:848;height:2" coordorigin="9362,11100" coordsize="848,0" path="m10210,11100l9362,11100,10210,11100xe" filled="true" fillcolor="#f6cdbc" stroked="false">
              <v:path arrowok="t"/>
              <v:fill type="solid"/>
            </v:shape>
            <v:shape style="position:absolute;left:9362;top:11100;width:848;height:2" coordorigin="9362,11100" coordsize="848,0" path="m9362,11100l10210,11100,9362,11100xe" filled="false" stroked="true" strokeweight=".5pt" strokecolor="#231f20">
              <v:path arrowok="t"/>
              <v:stroke dashstyle="solid"/>
            </v:shape>
            <v:shape style="position:absolute;left:9362;top:11100;width:848;height:2" coordorigin="9362,11100" coordsize="848,0" path="m10210,11100l9362,11100,10210,11100xe" filled="true" fillcolor="#f4bba6" stroked="false">
              <v:path arrowok="t"/>
              <v:fill type="solid"/>
            </v:shape>
            <v:shape style="position:absolute;left:9362;top:11100;width:848;height:2" coordorigin="9362,11100" coordsize="848,0" path="m9362,11100l10210,11100,9362,11100xe" filled="false" stroked="true" strokeweight=".5pt" strokecolor="#231f20">
              <v:path arrowok="t"/>
              <v:stroke dashstyle="solid"/>
            </v:shape>
            <v:shape style="position:absolute;left:9362;top:11100;width:848;height:2" coordorigin="9362,11100" coordsize="848,0" path="m10210,11100l9362,11100,10210,11100xe" filled="true" fillcolor="#f2a88e" stroked="false">
              <v:path arrowok="t"/>
              <v:fill type="solid"/>
            </v:shape>
            <v:shape style="position:absolute;left:9362;top:11100;width:848;height:2" coordorigin="9362,11100" coordsize="848,0" path="m9362,11100l10210,11100,9362,11100xe" filled="false" stroked="true" strokeweight=".5pt" strokecolor="#231f20">
              <v:path arrowok="t"/>
              <v:stroke dashstyle="solid"/>
            </v:shape>
            <v:shape style="position:absolute;left:9362;top:11100;width:848;height:2" coordorigin="9362,11100" coordsize="848,0" path="m10210,11100l9362,11100,10210,11100xe" filled="true" fillcolor="#f09578" stroked="false">
              <v:path arrowok="t"/>
              <v:fill type="solid"/>
            </v:shape>
            <v:shape style="position:absolute;left:9362;top:11100;width:848;height:2" coordorigin="9362,11100" coordsize="848,0" path="m9362,11100l10210,11100,9362,11100xe" filled="false" stroked="true" strokeweight=".5pt" strokecolor="#231f20">
              <v:path arrowok="t"/>
              <v:stroke dashstyle="solid"/>
            </v:shape>
            <v:shape style="position:absolute;left:9362;top:11100;width:848;height:2" coordorigin="9362,11100" coordsize="848,0" path="m10210,11100l9362,11100,10210,11100xe" filled="true" fillcolor="#ef8365" stroked="false">
              <v:path arrowok="t"/>
              <v:fill type="solid"/>
            </v:shape>
            <v:shape style="position:absolute;left:9362;top:11100;width:848;height:2" coordorigin="9362,11100" coordsize="848,0" path="m9362,11100l10210,11100,9362,11100xe" filled="false" stroked="true" strokeweight=".5pt" strokecolor="#231f20">
              <v:path arrowok="t"/>
              <v:stroke dashstyle="solid"/>
            </v:shape>
            <v:shape style="position:absolute;left:9362;top:11100;width:848;height:2" coordorigin="9362,11100" coordsize="848,0" path="m10210,11100l9362,11100,10210,11100xe" filled="true" fillcolor="#ed6f52" stroked="false">
              <v:path arrowok="t"/>
              <v:fill type="solid"/>
            </v:shape>
            <v:shape style="position:absolute;left:9362;top:11100;width:848;height:2" coordorigin="9362,11100" coordsize="848,0" path="m9362,11100l10210,11100,9362,11100xe" filled="false" stroked="true" strokeweight=".5pt" strokecolor="#231f20">
              <v:path arrowok="t"/>
              <v:stroke dashstyle="solid"/>
            </v:shape>
            <v:shape style="position:absolute;left:9362;top:11100;width:848;height:2" coordorigin="9362,11100" coordsize="848,0" path="m10210,11100l9362,11100,10210,11100xe" filled="true" fillcolor="#eb5d41" stroked="false">
              <v:path arrowok="t"/>
              <v:fill type="solid"/>
            </v:shape>
            <v:shape style="position:absolute;left:9362;top:11100;width:848;height:2" coordorigin="9362,11100" coordsize="848,0" path="m9362,11100l10210,11100,9362,11100xe" filled="false" stroked="true" strokeweight=".5pt" strokecolor="#231f20">
              <v:path arrowok="t"/>
              <v:stroke dashstyle="solid"/>
            </v:shape>
            <v:shape style="position:absolute;left:9362;top:11100;width:848;height:2" coordorigin="9362,11100" coordsize="848,0" path="m10210,11100l9362,11100,10210,11100xe" filled="true" fillcolor="#e94531" stroked="false">
              <v:path arrowok="t"/>
              <v:fill type="solid"/>
            </v:shape>
            <v:shape style="position:absolute;left:9362;top:11100;width:848;height:2" coordorigin="9362,11100" coordsize="848,0" path="m9362,11100l10210,11100,9362,11100xe" filled="false" stroked="true" strokeweight=".5pt" strokecolor="#231f20">
              <v:path arrowok="t"/>
              <v:stroke dashstyle="solid"/>
            </v:shape>
            <v:shape style="position:absolute;left:9362;top:11100;width:848;height:2" coordorigin="9362,11100" coordsize="848,0" path="m10210,11100l9362,11100,10210,11100xe" filled="true" fillcolor="#e82425" stroked="false">
              <v:path arrowok="t"/>
              <v:fill type="solid"/>
            </v:shape>
            <v:shape style="position:absolute;left:9362;top:11100;width:848;height:2" coordorigin="9362,11100" coordsize="848,0" path="m9362,11100l10210,11100,9362,11100xe" filled="false" stroked="true" strokeweight=".5pt" strokecolor="#231f20">
              <v:path arrowok="t"/>
              <v:stroke dashstyle="solid"/>
            </v:shape>
            <v:shape style="position:absolute;left:9362;top:11100;width:848;height:2" coordorigin="9362,11100" coordsize="848,0" path="m10210,11100l9362,11100,10210,11100xe" filled="true" fillcolor="#e94531" stroked="false">
              <v:path arrowok="t"/>
              <v:fill type="solid"/>
            </v:shape>
            <v:shape style="position:absolute;left:9362;top:11100;width:848;height:2" coordorigin="9362,11100" coordsize="848,0" path="m9362,11100l10210,11100,9362,11100xe" filled="false" stroked="true" strokeweight=".5pt" strokecolor="#231f20">
              <v:path arrowok="t"/>
              <v:stroke dashstyle="solid"/>
            </v:shape>
            <v:shape style="position:absolute;left:9362;top:11100;width:848;height:2" coordorigin="9362,11100" coordsize="848,0" path="m10210,11100l9362,11100,10210,11100xe" filled="true" fillcolor="#eb5d41" stroked="false">
              <v:path arrowok="t"/>
              <v:fill type="solid"/>
            </v:shape>
            <v:shape style="position:absolute;left:9362;top:11100;width:848;height:2" coordorigin="9362,11100" coordsize="848,0" path="m9362,11100l10210,11100,9362,11100xe" filled="false" stroked="true" strokeweight=".5pt" strokecolor="#231f20">
              <v:path arrowok="t"/>
              <v:stroke dashstyle="solid"/>
            </v:shape>
            <v:shape style="position:absolute;left:9362;top:11100;width:848;height:2" coordorigin="9362,11100" coordsize="848,0" path="m10210,11100l9362,11100,10210,11100xe" filled="true" fillcolor="#ed6f52" stroked="false">
              <v:path arrowok="t"/>
              <v:fill type="solid"/>
            </v:shape>
            <v:shape style="position:absolute;left:9362;top:11100;width:848;height:2" coordorigin="9362,11100" coordsize="848,0" path="m9362,11100l10210,11100,9362,11100xe" filled="false" stroked="true" strokeweight=".5pt" strokecolor="#231f20">
              <v:path arrowok="t"/>
              <v:stroke dashstyle="solid"/>
            </v:shape>
            <v:shape style="position:absolute;left:9362;top:11100;width:848;height:2" coordorigin="9362,11100" coordsize="848,0" path="m10210,11100l9362,11100,10210,11100xe" filled="true" fillcolor="#ef8365" stroked="false">
              <v:path arrowok="t"/>
              <v:fill type="solid"/>
            </v:shape>
            <v:shape style="position:absolute;left:9362;top:11100;width:848;height:2" coordorigin="9362,11100" coordsize="848,0" path="m9362,11100l10210,11100,9362,11100xe" filled="false" stroked="true" strokeweight=".5pt" strokecolor="#231f20">
              <v:path arrowok="t"/>
              <v:stroke dashstyle="solid"/>
            </v:shape>
            <v:shape style="position:absolute;left:9362;top:11100;width:848;height:2" coordorigin="9362,11100" coordsize="848,0" path="m10210,11100l9362,11100,10210,11100xe" filled="true" fillcolor="#f09578" stroked="false">
              <v:path arrowok="t"/>
              <v:fill type="solid"/>
            </v:shape>
            <v:shape style="position:absolute;left:9362;top:11100;width:848;height:2" coordorigin="9362,11100" coordsize="848,0" path="m9362,11100l10210,11100,9362,11100xe" filled="false" stroked="true" strokeweight=".5pt" strokecolor="#231f20">
              <v:path arrowok="t"/>
              <v:stroke dashstyle="solid"/>
            </v:shape>
            <v:shape style="position:absolute;left:9362;top:11100;width:848;height:2" coordorigin="9362,11100" coordsize="848,0" path="m10210,11100l9362,11100,10210,11100xe" filled="true" fillcolor="#f2a88e" stroked="false">
              <v:path arrowok="t"/>
              <v:fill type="solid"/>
            </v:shape>
            <v:shape style="position:absolute;left:9362;top:11100;width:848;height:2" coordorigin="9362,11100" coordsize="848,0" path="m9362,11100l10210,11100,9362,11100xe" filled="false" stroked="true" strokeweight=".5pt" strokecolor="#231f20">
              <v:path arrowok="t"/>
              <v:stroke dashstyle="solid"/>
            </v:shape>
            <v:shape style="position:absolute;left:9362;top:11100;width:848;height:2" coordorigin="9362,11100" coordsize="848,0" path="m10210,11100l9362,11100,10210,11100xe" filled="true" fillcolor="#f4bba6" stroked="false">
              <v:path arrowok="t"/>
              <v:fill type="solid"/>
            </v:shape>
            <v:shape style="position:absolute;left:9362;top:11100;width:848;height:2" coordorigin="9362,11100" coordsize="848,0" path="m9362,11100l10210,11100,9362,11100xe" filled="false" stroked="true" strokeweight=".5pt" strokecolor="#231f20">
              <v:path arrowok="t"/>
              <v:stroke dashstyle="solid"/>
            </v:shape>
            <v:shape style="position:absolute;left:9362;top:11100;width:848;height:2" coordorigin="9362,11100" coordsize="848,0" path="m10210,11100l9362,11100,10210,11100xe" filled="true" fillcolor="#f6cdbc" stroked="false">
              <v:path arrowok="t"/>
              <v:fill type="solid"/>
            </v:shape>
            <v:shape style="position:absolute;left:9362;top:11100;width:848;height:2" coordorigin="9362,11100" coordsize="848,0" path="m9362,11100l10210,11100,9362,11100xe" filled="false" stroked="true" strokeweight=".5pt" strokecolor="#231f20">
              <v:path arrowok="t"/>
              <v:stroke dashstyle="solid"/>
            </v:shape>
            <v:shape style="position:absolute;left:9304;top:11026;width:603;height:78" coordorigin="9305,11027" coordsize="603,78" path="m9319,11027l9305,11027,9305,11104,9907,11104,9903,11096,9711,11096,9711,11088,9619,11088,9619,11080,9552,11080,9552,11073,9503,11073,9503,11065,9460,11065,9460,11057,9397,11057,9386,11047,9368,11047,9360,11045,9339,11045,9339,11037,9319,11037,9319,11027xe" filled="true" fillcolor="#f8f8f9" stroked="false">
              <v:path arrowok="t"/>
              <v:fill type="solid"/>
            </v:shape>
            <v:shape style="position:absolute;left:7914;top:11026;width:2238;height:78" coordorigin="7915,11027" coordsize="2238,78" path="m9305,11027l9319,11027,9319,11037,9339,11037,9339,11045,9360,11045,9368,11047,9386,11047,9397,11057,9460,11057,9460,11065,9503,11065,9503,11073,9552,11073,9552,11080,9619,11080,9619,11088,9711,11088,9711,11096,9903,11096,9907,11104,10152,11104,9305,11104m7915,11098l7915,11032e" filled="false" stroked="true" strokeweight=".5pt" strokecolor="#231f20">
              <v:path arrowok="t"/>
              <v:stroke dashstyle="solid"/>
            </v:shape>
            <v:shape style="position:absolute;left:7883;top:8848;width:90;height:2256" coordorigin="7884,8849" coordsize="90,2256" path="m7884,8849l7884,11104,7963,11104,7973,11102,7973,8958,7974,8955,7972,8945,7966,8937,7963,8932,7963,8923,7953,8923,7947,8917,7939,8917,7939,8908,7937,8908,7929,8892,7922,8892,7922,8882,7914,8882,7914,8874,7910,8865,7904,8865,7904,8857,7890,8857,7884,8849xm7952,8920l7953,8923,7963,8923,7952,8920xe" filled="true" fillcolor="#f3715b" stroked="false">
              <v:path arrowok="t"/>
              <v:fill type="solid"/>
            </v:shape>
            <v:shape style="position:absolute;left:7070;top:8848;width:925;height:2256" coordorigin="7071,8849" coordsize="925,2256" path="m7973,11102l7973,8958,7974,8955,7972,8945,7966,8937,7963,8932,7963,8923,7952,8920,7953,8923,7947,8917,7939,8917,7939,8908,7937,8908,7933,8900,7929,8892,7922,8892,7922,8882,7914,8882,7914,8874,7910,8865,7904,8865,7904,8857,7890,8857,7884,8849,7884,11104,7071,11104,7996,11104,7963,11104e" filled="false" stroked="true" strokeweight=".5pt" strokecolor="#231f20">
              <v:path arrowok="t"/>
              <v:stroke dashstyle="solid"/>
            </v:shape>
            <v:line style="position:absolute" from="9222,9840" to="9222,9266" stroked="true" strokeweight=".5pt" strokecolor="#000000">
              <v:stroke dashstyle="solid"/>
            </v:line>
            <v:shape style="position:absolute;left:9193;top:9188;width:58;height:98" coordorigin="9194,9188" coordsize="58,98" path="m9251,9285l9230,9224,9223,9188,9221,9198,9194,9285,9251,9285xe" filled="true" fillcolor="#000000" stroked="false">
              <v:path arrowok="t"/>
              <v:fill type="solid"/>
            </v:shape>
            <v:line style="position:absolute" from="9084,11315" to="9652,11315" stroked="true" strokeweight=".5pt" strokecolor="#000000">
              <v:stroke dashstyle="solid"/>
            </v:line>
            <v:shape style="position:absolute;left:9632;top:11285;width:97;height:58" coordorigin="9632,11286" coordsize="97,58" path="m9729,11315l9665,11299,9632,11286,9632,11344,9650,11337,9664,11332,9678,11327,9693,11323,9707,11319,9719,11317,9729,11315xe" filled="true" fillcolor="#000000" stroked="false">
              <v:path arrowok="t"/>
              <v:fill type="solid"/>
            </v:shape>
            <v:shape style="position:absolute;left:6421;top:8792;width:3424;height:1738" coordorigin="6421,8793" coordsize="3424,1738" path="m6425,10530l9834,10530m6435,9258l9845,9258m6435,9482l9845,9482m6435,9746l9845,9746m6421,10102l9831,10102m6428,9086l9838,9086m6428,8942l9838,8942m6428,8844l9838,8844m6425,8793l9834,8793e" filled="false" stroked="true" strokeweight=".5pt" strokecolor="#000000">
              <v:path arrowok="t"/>
              <v:stroke dashstyle="dash"/>
            </v:shape>
            <v:shape style="position:absolute;left:9908;top:11095;width:2;height:2" coordorigin="9908,11095" coordsize="0,0" path="m9908,11095e" filled="true" fillcolor="#f6cdbc" stroked="false">
              <v:path arrowok="t"/>
              <v:fill type="solid"/>
            </v:shape>
            <v:shape style="position:absolute;left:6290;top:11074;width:3647;height:53" coordorigin="6290,11075" coordsize="3647,53" path="m6347,11075l6290,11075,6290,11127,6347,11127,6347,11075xm9937,11082l9894,11082,9894,11117,9937,11117,9937,11082xe" filled="true" fillcolor="#ffffff" stroked="false">
              <v:path arrowok="t"/>
              <v:fill type="solid"/>
            </v:shape>
            <v:shape style="position:absolute;left:6346;top:11102;width:3541;height:2" coordorigin="6347,11103" coordsize="3541,0" path="m9887,11103l6347,11103e" filled="true" fillcolor="#000000" stroked="false">
              <v:path arrowok="t"/>
              <v:fill type="solid"/>
            </v:shape>
            <v:line style="position:absolute" from="6347,11103" to="9887,11103" stroked="true" strokeweight=".5pt" strokecolor="#000000">
              <v:stroke dashstyle="solid"/>
            </v:line>
            <v:rect style="position:absolute;left:9929;top:11080;width:319;height:52" filled="true" fillcolor="#ffffff" stroked="false">
              <v:fill type="solid"/>
            </v:rect>
            <v:shape style="position:absolute;left:7348;top:8279;width:359;height:425" type="#_x0000_t75" stroked="false">
              <v:imagedata r:id="rId116" o:title=""/>
            </v:shape>
            <v:line style="position:absolute" from="8078,8244" to="7912,8696" stroked="true" strokeweight=".5pt" strokecolor="#231f20">
              <v:stroke dashstyle="solid"/>
            </v:line>
            <v:shape style="position:absolute;left:7888;top:8671;width:53;height:89" coordorigin="7889,8672" coordsize="53,89" path="m7894,8672l7895,8689,7895,8702,7894,8715,7893,8728,7892,8740,7890,8751,7889,8760,7893,8752,7942,8689,7894,8672xe" filled="true" fillcolor="#231f20" stroked="false">
              <v:path arrowok="t"/>
              <v:fill type="solid"/>
            </v:shape>
            <v:line style="position:absolute" from="8505,8876" to="8059,8876" stroked="true" strokeweight=".5pt" strokecolor="#231f20">
              <v:stroke dashstyle="solid"/>
            </v:line>
            <v:shape style="position:absolute;left:7991;top:8850;width:85;height:51" coordorigin="7991,8850" coordsize="85,51" path="m8076,8850l8011,8872,7991,8876,8000,8877,8076,8901,8076,8850xe" filled="true" fillcolor="#231f20" stroked="false">
              <v:path arrowok="t"/>
              <v:fill type="solid"/>
            </v:shape>
            <v:shape style="position:absolute;left:7708;top:8732;width:43;height:44" coordorigin="7709,8732" coordsize="43,44" path="m7742,8732l7718,8732,7709,8742,7709,8766,7718,8776,7742,8776,7752,8766,7752,8742xe" filled="true" fillcolor="#0066a5" stroked="false">
              <v:path arrowok="t"/>
              <v:fill type="solid"/>
            </v:shape>
            <v:shape style="position:absolute;left:7708;top:8732;width:43;height:44" coordorigin="7709,8732" coordsize="43,44" path="m7730,8776l7742,8776,7752,8766,7752,8754,7752,8742,7742,8732,7730,8732,7718,8732,7709,8742,7709,8754,7709,8766,7718,8776,7730,8776xe" filled="false" stroked="true" strokeweight="1pt" strokecolor="#0066a5">
              <v:path arrowok="t"/>
              <v:stroke dashstyle="solid"/>
            </v:shape>
            <v:shape style="position:absolute;left:7833;top:8779;width:110;height:123" type="#_x0000_t75" stroked="false">
              <v:imagedata r:id="rId117" o:title=""/>
            </v:shape>
            <v:line style="position:absolute" from="1260,15190" to="10620,15190" stroked="true" strokeweight=".125pt" strokecolor="#000000">
              <v:stroke dashstyle="solid"/>
            </v:line>
            <v:shape style="position:absolute;left:6209;top:7778;width:737;height:222" type="#_x0000_t202" filled="false" stroked="false">
              <v:textbox inset="0,0,0,0">
                <w:txbxContent>
                  <w:p>
                    <w:pPr>
                      <w:spacing w:line="221" w:lineRule="exact" w:before="0"/>
                      <w:ind w:left="0" w:right="0" w:firstLine="0"/>
                      <w:jc w:val="left"/>
                      <w:rPr>
                        <w:b/>
                        <w:sz w:val="20"/>
                      </w:rPr>
                    </w:pPr>
                    <w:r>
                      <w:rPr>
                        <w:b/>
                        <w:color w:val="0093C1"/>
                        <w:sz w:val="20"/>
                      </w:rPr>
                      <w:t>Figure 1</w:t>
                    </w:r>
                  </w:p>
                </w:txbxContent>
              </v:textbox>
              <w10:wrap type="none"/>
            </v:shape>
            <v:shape style="position:absolute;left:7125;top:8151;width:300;height:133" type="#_x0000_t202" filled="false" stroked="false">
              <v:textbox inset="0,0,0,0">
                <w:txbxContent>
                  <w:p>
                    <w:pPr>
                      <w:spacing w:line="133" w:lineRule="exact" w:before="0"/>
                      <w:ind w:left="0" w:right="0" w:firstLine="0"/>
                      <w:jc w:val="left"/>
                      <w:rPr>
                        <w:sz w:val="12"/>
                      </w:rPr>
                    </w:pPr>
                    <w:r>
                      <w:rPr>
                        <w:color w:val="231F20"/>
                        <w:sz w:val="12"/>
                      </w:rPr>
                      <w:t>Mode</w:t>
                    </w:r>
                  </w:p>
                </w:txbxContent>
              </v:textbox>
              <w10:wrap type="none"/>
            </v:shape>
            <v:shape style="position:absolute;left:8000;top:8107;width:387;height:133" type="#_x0000_t202" filled="false" stroked="false">
              <v:textbox inset="0,0,0,0">
                <w:txbxContent>
                  <w:p>
                    <w:pPr>
                      <w:spacing w:line="133" w:lineRule="exact" w:before="0"/>
                      <w:ind w:left="0" w:right="0" w:firstLine="0"/>
                      <w:jc w:val="left"/>
                      <w:rPr>
                        <w:sz w:val="12"/>
                      </w:rPr>
                    </w:pPr>
                    <w:r>
                      <w:rPr>
                        <w:color w:val="231F20"/>
                        <w:sz w:val="12"/>
                      </w:rPr>
                      <w:t>Median</w:t>
                    </w:r>
                  </w:p>
                </w:txbxContent>
              </v:textbox>
              <w10:wrap type="none"/>
            </v:shape>
            <v:shape style="position:absolute;left:8544;top:8824;width:294;height:133" type="#_x0000_t202" filled="false" stroked="false">
              <v:textbox inset="0,0,0,0">
                <w:txbxContent>
                  <w:p>
                    <w:pPr>
                      <w:spacing w:line="133" w:lineRule="exact" w:before="0"/>
                      <w:ind w:left="0" w:right="0" w:firstLine="0"/>
                      <w:jc w:val="left"/>
                      <w:rPr>
                        <w:sz w:val="12"/>
                      </w:rPr>
                    </w:pPr>
                    <w:r>
                      <w:rPr>
                        <w:color w:val="231F20"/>
                        <w:sz w:val="12"/>
                      </w:rPr>
                      <w:t>Mean</w:t>
                    </w:r>
                  </w:p>
                </w:txbxContent>
              </v:textbox>
              <w10:wrap type="none"/>
            </v:shape>
            <v:shape style="position:absolute;left:9278;top:9474;width:554;height:273" type="#_x0000_t202" filled="false" stroked="false">
              <v:textbox inset="0,0,0,0">
                <w:txbxContent>
                  <w:p>
                    <w:pPr>
                      <w:spacing w:line="242" w:lineRule="auto" w:before="0"/>
                      <w:ind w:left="30" w:right="0" w:hanging="30"/>
                      <w:jc w:val="left"/>
                      <w:rPr>
                        <w:sz w:val="12"/>
                      </w:rPr>
                    </w:pPr>
                    <w:r>
                      <w:rPr>
                        <w:color w:val="231F20"/>
                        <w:sz w:val="12"/>
                      </w:rPr>
                      <w:t>Probability density</w:t>
                    </w:r>
                  </w:p>
                </w:txbxContent>
              </v:textbox>
              <w10:wrap type="none"/>
            </v:shape>
            <v:shape style="position:absolute;left:9068;top:11377;width:730;height:133" type="#_x0000_t202" filled="false" stroked="false">
              <v:textbox inset="0,0,0,0">
                <w:txbxContent>
                  <w:p>
                    <w:pPr>
                      <w:spacing w:line="133" w:lineRule="exact" w:before="0"/>
                      <w:ind w:left="0" w:right="0" w:firstLine="0"/>
                      <w:jc w:val="left"/>
                      <w:rPr>
                        <w:sz w:val="12"/>
                      </w:rPr>
                    </w:pPr>
                    <w:r>
                      <w:rPr>
                        <w:color w:val="231F20"/>
                        <w:sz w:val="12"/>
                      </w:rPr>
                      <w:t>RPIX inflation</w:t>
                    </w:r>
                  </w:p>
                </w:txbxContent>
              </v:textbox>
              <w10:wrap type="none"/>
            </v:shape>
            <w10:wrap type="none"/>
          </v:group>
        </w:pict>
      </w:r>
    </w:p>
    <w:p>
      <w:pPr>
        <w:pStyle w:val="BodyText"/>
        <w:rPr>
          <w:sz w:val="20"/>
        </w:rPr>
      </w:pPr>
    </w:p>
    <w:p>
      <w:pPr>
        <w:pStyle w:val="BodyText"/>
        <w:rPr>
          <w:sz w:val="20"/>
        </w:rPr>
      </w:pPr>
    </w:p>
    <w:p>
      <w:pPr>
        <w:pStyle w:val="BodyText"/>
        <w:rPr>
          <w:sz w:val="12"/>
        </w:rPr>
      </w:pPr>
    </w:p>
    <w:p>
      <w:pPr>
        <w:pStyle w:val="ListParagraph"/>
        <w:numPr>
          <w:ilvl w:val="1"/>
          <w:numId w:val="32"/>
        </w:numPr>
        <w:tabs>
          <w:tab w:pos="839" w:val="left" w:leader="none"/>
        </w:tabs>
        <w:spacing w:line="240" w:lineRule="auto" w:before="94" w:after="0"/>
        <w:ind w:left="838" w:right="0" w:hanging="200"/>
        <w:jc w:val="left"/>
        <w:rPr>
          <w:sz w:val="12"/>
        </w:rPr>
      </w:pPr>
      <w:r>
        <w:rPr>
          <w:sz w:val="12"/>
        </w:rPr>
        <w:t>For further details, see ‘The </w:t>
      </w:r>
      <w:r>
        <w:rPr>
          <w:i/>
          <w:sz w:val="12"/>
        </w:rPr>
        <w:t>Inflation Report </w:t>
      </w:r>
      <w:r>
        <w:rPr>
          <w:sz w:val="12"/>
        </w:rPr>
        <w:t>projections: understanding the fan chart’, February 1998 </w:t>
      </w:r>
      <w:r>
        <w:rPr>
          <w:i/>
          <w:sz w:val="12"/>
        </w:rPr>
        <w:t>Quarterly Bulletin</w:t>
      </w:r>
      <w:r>
        <w:rPr>
          <w:sz w:val="12"/>
        </w:rPr>
        <w:t>, pages</w:t>
      </w:r>
      <w:r>
        <w:rPr>
          <w:spacing w:val="-4"/>
          <w:sz w:val="12"/>
        </w:rPr>
        <w:t> </w:t>
      </w:r>
      <w:r>
        <w:rPr>
          <w:sz w:val="12"/>
        </w:rPr>
        <w:t>30–37.</w:t>
      </w:r>
    </w:p>
    <w:p>
      <w:pPr>
        <w:spacing w:after="0" w:line="240" w:lineRule="auto"/>
        <w:jc w:val="left"/>
        <w:rPr>
          <w:sz w:val="12"/>
        </w:rPr>
        <w:sectPr>
          <w:type w:val="continuous"/>
          <w:pgSz w:w="11900" w:h="16840"/>
          <w:pgMar w:top="1220" w:bottom="280" w:left="640" w:right="600"/>
        </w:sectPr>
      </w:pPr>
    </w:p>
    <w:p>
      <w:pPr>
        <w:pStyle w:val="BodyText"/>
        <w:spacing w:before="4"/>
        <w:rPr>
          <w:sz w:val="29"/>
        </w:rPr>
      </w:pPr>
    </w:p>
    <w:p>
      <w:pPr>
        <w:spacing w:after="0"/>
        <w:rPr>
          <w:sz w:val="29"/>
        </w:rPr>
        <w:sectPr>
          <w:pgSz w:w="11900" w:h="16840"/>
          <w:pgMar w:header="584" w:footer="617" w:top="780" w:bottom="800" w:left="640" w:right="600"/>
        </w:sectPr>
      </w:pPr>
    </w:p>
    <w:p>
      <w:pPr>
        <w:spacing w:before="133"/>
        <w:ind w:left="174" w:right="0" w:firstLine="0"/>
        <w:jc w:val="left"/>
        <w:rPr>
          <w:b/>
          <w:sz w:val="20"/>
        </w:rPr>
      </w:pPr>
      <w:bookmarkStart w:name="Other forecasts" w:id="83"/>
      <w:bookmarkEnd w:id="83"/>
      <w:r>
        <w:rPr/>
      </w:r>
      <w:bookmarkStart w:name="_bookmark34" w:id="84"/>
      <w:bookmarkEnd w:id="84"/>
      <w:r>
        <w:rPr/>
      </w:r>
      <w:r>
        <w:rPr>
          <w:b/>
          <w:color w:val="0093C1"/>
          <w:sz w:val="20"/>
        </w:rPr>
        <w:t>Chart 6.8</w:t>
      </w:r>
    </w:p>
    <w:p>
      <w:pPr>
        <w:spacing w:line="249" w:lineRule="auto" w:before="10"/>
        <w:ind w:left="174" w:right="836" w:firstLine="0"/>
        <w:jc w:val="left"/>
        <w:rPr>
          <w:b/>
          <w:sz w:val="20"/>
        </w:rPr>
      </w:pPr>
      <w:r>
        <w:rPr>
          <w:b/>
          <w:color w:val="0093C1"/>
          <w:sz w:val="20"/>
        </w:rPr>
        <w:t>Distribution of RPIX inflation forecasts for 2001 Q1</w:t>
      </w:r>
    </w:p>
    <w:p>
      <w:pPr>
        <w:spacing w:line="119" w:lineRule="exact" w:before="140"/>
        <w:ind w:left="2549" w:right="0" w:firstLine="0"/>
        <w:jc w:val="left"/>
        <w:rPr>
          <w:sz w:val="12"/>
        </w:rPr>
      </w:pPr>
      <w:r>
        <w:rPr>
          <w:sz w:val="12"/>
        </w:rPr>
        <w:t>Number of forecasts</w:t>
      </w:r>
    </w:p>
    <w:p>
      <w:pPr>
        <w:spacing w:line="119" w:lineRule="exact" w:before="0"/>
        <w:ind w:left="0" w:right="711" w:firstLine="0"/>
        <w:jc w:val="right"/>
        <w:rPr>
          <w:sz w:val="12"/>
        </w:rPr>
      </w:pPr>
      <w:r>
        <w:rPr/>
        <w:pict>
          <v:line style="position:absolute;mso-position-horizontal-relative:page;mso-position-vertical-relative:paragraph;z-index:16103936" from="49.200001pt,3.152649pt" to="44.200001pt,3.152649pt" stroked="true" strokeweight=".5pt" strokecolor="#000000">
            <v:stroke dashstyle="solid"/>
            <w10:wrap type="none"/>
          </v:line>
        </w:pict>
      </w:r>
      <w:r>
        <w:rPr/>
        <w:pict>
          <v:line style="position:absolute;mso-position-horizontal-relative:page;mso-position-vertical-relative:paragraph;z-index:16104448" from="208.199997pt,3.152649pt" to="203.199997pt,3.152649pt" stroked="true" strokeweight=".5pt" strokecolor="#000000">
            <v:stroke dashstyle="solid"/>
            <w10:wrap type="none"/>
          </v:line>
        </w:pict>
      </w:r>
      <w:r>
        <w:rPr>
          <w:sz w:val="12"/>
        </w:rPr>
        <w:t>16</w:t>
      </w:r>
    </w:p>
    <w:p>
      <w:pPr>
        <w:spacing w:before="62"/>
        <w:ind w:left="0" w:right="711" w:firstLine="0"/>
        <w:jc w:val="right"/>
        <w:rPr>
          <w:sz w:val="12"/>
        </w:rPr>
      </w:pPr>
      <w:r>
        <w:rPr/>
        <w:pict>
          <v:group style="position:absolute;margin-left:44.200001pt;margin-top:5.952966pt;width:164pt;height:143.25pt;mso-position-horizontal-relative:page;mso-position-vertical-relative:paragraph;z-index:16103424" coordorigin="884,119" coordsize="3280,2865">
            <v:rect style="position:absolute;left:1784;top:2384;width:120;height:560" filled="true" fillcolor="#ed1b2d" stroked="false">
              <v:fill type="solid"/>
            </v:rect>
            <v:rect style="position:absolute;left:1784;top:2384;width:120;height:560" filled="false" stroked="true" strokeweight=".5pt" strokecolor="#000000">
              <v:stroke dashstyle="solid"/>
            </v:rect>
            <v:rect style="position:absolute;left:1924;top:2584;width:140;height:360" filled="true" fillcolor="#ed1b2d" stroked="false">
              <v:fill type="solid"/>
            </v:rect>
            <v:rect style="position:absolute;left:1924;top:2584;width:140;height:360" filled="false" stroked="true" strokeweight=".5pt" strokecolor="#000000">
              <v:stroke dashstyle="solid"/>
            </v:rect>
            <v:rect style="position:absolute;left:2084;top:2204;width:120;height:740" filled="true" fillcolor="#ed1b2d" stroked="false">
              <v:fill type="solid"/>
            </v:rect>
            <v:rect style="position:absolute;left:2084;top:2204;width:120;height:740" filled="false" stroked="true" strokeweight=".5pt" strokecolor="#000000">
              <v:stroke dashstyle="solid"/>
            </v:rect>
            <v:rect style="position:absolute;left:2224;top:144;width:140;height:2800" filled="true" fillcolor="#ed1b2d" stroked="false">
              <v:fill type="solid"/>
            </v:rect>
            <v:rect style="position:absolute;left:2224;top:144;width:140;height:2800" filled="false" stroked="true" strokeweight=".5pt" strokecolor="#000000">
              <v:stroke dashstyle="solid"/>
            </v:rect>
            <v:shape style="position:absolute;left:1024;top:2941;width:3000;height:5" coordorigin="1024,2942" coordsize="3000,5" path="m1024,2942l2524,2942m2644,2942l4024,2942m1024,2947l4024,2947e" filled="false" stroked="true" strokeweight=".25pt" strokecolor="#000000">
              <v:path arrowok="t"/>
              <v:stroke dashstyle="solid"/>
            </v:shape>
            <v:shape style="position:absolute;left:1064;top:2944;width:60;height:2" coordorigin="1064,2944" coordsize="60,0" path="m1064,2944l1124,2944,1064,2944e" filled="false" stroked="true" strokeweight=".5pt" strokecolor="#000000">
              <v:path arrowok="t"/>
              <v:stroke dashstyle="solid"/>
            </v:shape>
            <v:shape style="position:absolute;left:1084;top:2944;width:40;height:2" coordorigin="1084,2944" coordsize="40,0" path="m1084,2944l1084,2944m1124,2944l1124,2944e" filled="false" stroked="true" strokeweight=".5pt" strokecolor="#000000">
              <v:path arrowok="t"/>
              <v:stroke dashstyle="solid"/>
            </v:shape>
            <v:shape style="position:absolute;left:1204;top:2944;width:60;height:2" coordorigin="1204,2944" coordsize="60,0" path="m1204,2944l1264,2944,1204,2944e" filled="false" stroked="true" strokeweight=".5pt" strokecolor="#000000">
              <v:path arrowok="t"/>
              <v:stroke dashstyle="solid"/>
            </v:shape>
            <v:shape style="position:absolute;left:1204;top:2944;width:40;height:2" coordorigin="1204,2944" coordsize="40,0" path="m1204,2944l1204,2944m1224,2944l1224,2944m1244,2944l1244,2944e" filled="false" stroked="true" strokeweight=".5pt" strokecolor="#000000">
              <v:path arrowok="t"/>
              <v:stroke dashstyle="solid"/>
            </v:shape>
            <v:shape style="position:absolute;left:1324;top:2944;width:80;height:2" coordorigin="1324,2944" coordsize="80,0" path="m1324,2944l1404,2944,1324,2944e" filled="false" stroked="true" strokeweight=".5pt" strokecolor="#000000">
              <v:path arrowok="t"/>
              <v:stroke dashstyle="solid"/>
            </v:shape>
            <v:shape style="position:absolute;left:1324;top:2944;width:60;height:2" coordorigin="1324,2944" coordsize="60,0" path="m1324,2944l1324,2944m1364,2944l1364,2944m1384,2944l1384,2944e" filled="false" stroked="true" strokeweight=".5pt" strokecolor="#000000">
              <v:path arrowok="t"/>
              <v:stroke dashstyle="solid"/>
            </v:shape>
            <v:shape style="position:absolute;left:1464;top:2944;width:80;height:2" coordorigin="1464,2944" coordsize="80,0" path="m1464,2944l1544,2944,1464,2944e" filled="false" stroked="true" strokeweight=".5pt" strokecolor="#000000">
              <v:path arrowok="t"/>
              <v:stroke dashstyle="solid"/>
            </v:shape>
            <v:shape style="position:absolute;left:1464;top:2944;width:60;height:2" coordorigin="1464,2944" coordsize="60,0" path="m1464,2944l1464,2944m1504,2944l1504,2944m1524,2944l1524,2944e" filled="false" stroked="true" strokeweight=".5pt" strokecolor="#000000">
              <v:path arrowok="t"/>
              <v:stroke dashstyle="solid"/>
            </v:shape>
            <v:shape style="position:absolute;left:1604;top:2944;width:60;height:2" coordorigin="1604,2944" coordsize="60,0" path="m1604,2944l1664,2944,1604,2944e" filled="false" stroked="true" strokeweight=".5pt" strokecolor="#000000">
              <v:path arrowok="t"/>
              <v:stroke dashstyle="solid"/>
            </v:shape>
            <v:shape style="position:absolute;left:1604;top:2944;width:60;height:2" coordorigin="1604,2944" coordsize="60,0" path="m1604,2944l1604,2944m1644,2944l1644,2944m1664,2944l1664,2944e" filled="false" stroked="true" strokeweight=".5pt" strokecolor="#000000">
              <v:path arrowok="t"/>
              <v:stroke dashstyle="solid"/>
            </v:shape>
            <v:line style="position:absolute" from="2424,2947" to="2504,2947" stroked="true" strokeweight=".25pt" strokecolor="#000000">
              <v:stroke dashstyle="solid"/>
            </v:line>
            <v:shape style="position:absolute;left:2424;top:2944;width:60;height:5" coordorigin="2424,2944" coordsize="60,5" path="m2424,2944l2424,2949m2444,2944l2444,2949m2484,2944l2484,2949e" filled="false" stroked="true" strokeweight="0pt" strokecolor="#000000">
              <v:path arrowok="t"/>
              <v:stroke dashstyle="solid"/>
            </v:shape>
            <v:shape style="position:absolute;left:2704;top:2944;width:60;height:2" coordorigin="2704,2944" coordsize="60,0" path="m2704,2944l2764,2944,2704,2944e" filled="false" stroked="true" strokeweight=".5pt" strokecolor="#000000">
              <v:path arrowok="t"/>
              <v:stroke dashstyle="solid"/>
            </v:shape>
            <v:shape style="position:absolute;left:2704;top:2944;width:60;height:2" coordorigin="2704,2944" coordsize="60,0" path="m2704,2944l2704,2944m2724,2944l2724,2944m2764,2944l2764,2944e" filled="false" stroked="true" strokeweight=".5pt" strokecolor="#000000">
              <v:path arrowok="t"/>
              <v:stroke dashstyle="solid"/>
            </v:shape>
            <v:shape style="position:absolute;left:2844;top:2944;width:60;height:2" coordorigin="2844,2944" coordsize="60,0" path="m2844,2944l2904,2944,2844,2944e" filled="false" stroked="true" strokeweight=".5pt" strokecolor="#000000">
              <v:path arrowok="t"/>
              <v:stroke dashstyle="solid"/>
            </v:shape>
            <v:shape style="position:absolute;left:2844;top:2944;width:40;height:2" coordorigin="2844,2944" coordsize="40,0" path="m2844,2944l2844,2944m2864,2944l2864,2944m2884,2944l2884,2944e" filled="false" stroked="true" strokeweight=".5pt" strokecolor="#000000">
              <v:path arrowok="t"/>
              <v:stroke dashstyle="solid"/>
            </v:shape>
            <v:shape style="position:absolute;left:2964;top:2944;width:80;height:2" coordorigin="2964,2944" coordsize="80,0" path="m2964,2944l3044,2944,2964,2944e" filled="false" stroked="true" strokeweight=".5pt" strokecolor="#000000">
              <v:path arrowok="t"/>
              <v:stroke dashstyle="solid"/>
            </v:shape>
            <v:shape style="position:absolute;left:2964;top:2944;width:60;height:2" coordorigin="2964,2944" coordsize="60,0" path="m2964,2944l2964,2944m3004,2944l3004,2944m3024,2944l3024,2944e" filled="false" stroked="true" strokeweight=".5pt" strokecolor="#000000">
              <v:path arrowok="t"/>
              <v:stroke dashstyle="solid"/>
            </v:shape>
            <v:shape style="position:absolute;left:3104;top:2944;width:80;height:2" coordorigin="3104,2944" coordsize="80,0" path="m3104,2944l3184,2944,3104,2944e" filled="false" stroked="true" strokeweight=".5pt" strokecolor="#000000">
              <v:path arrowok="t"/>
              <v:stroke dashstyle="solid"/>
            </v:shape>
            <v:shape style="position:absolute;left:3104;top:2944;width:60;height:2" coordorigin="3104,2944" coordsize="60,0" path="m3104,2944l3104,2944m3144,2944l3144,2944m3164,2944l3164,2944e" filled="false" stroked="true" strokeweight=".5pt" strokecolor="#000000">
              <v:path arrowok="t"/>
              <v:stroke dashstyle="solid"/>
            </v:shape>
            <v:shape style="position:absolute;left:3244;top:2944;width:60;height:2" coordorigin="3244,2944" coordsize="60,0" path="m3244,2944l3304,2944,3244,2944e" filled="false" stroked="true" strokeweight=".5pt" strokecolor="#000000">
              <v:path arrowok="t"/>
              <v:stroke dashstyle="solid"/>
            </v:shape>
            <v:shape style="position:absolute;left:3244;top:2944;width:60;height:2" coordorigin="3244,2944" coordsize="60,0" path="m3244,2944l3244,2944m3284,2944l3284,2944m3304,2944l3304,2944e" filled="false" stroked="true" strokeweight=".5pt" strokecolor="#000000">
              <v:path arrowok="t"/>
              <v:stroke dashstyle="solid"/>
            </v:shape>
            <v:shape style="position:absolute;left:3384;top:2944;width:60;height:2" coordorigin="3384,2944" coordsize="60,0" path="m3384,2944l3444,2944,3384,2944e" filled="false" stroked="true" strokeweight=".5pt" strokecolor="#000000">
              <v:path arrowok="t"/>
              <v:stroke dashstyle="solid"/>
            </v:shape>
            <v:shape style="position:absolute;left:3384;top:2944;width:60;height:2" coordorigin="3384,2944" coordsize="60,0" path="m3384,2944l3384,2944m3404,2944l3404,2944m3444,2944l3444,2944e" filled="false" stroked="true" strokeweight=".5pt" strokecolor="#000000">
              <v:path arrowok="t"/>
              <v:stroke dashstyle="solid"/>
            </v:shape>
            <v:shape style="position:absolute;left:3524;top:2944;width:60;height:2" coordorigin="3524,2944" coordsize="60,0" path="m3524,2944l3584,2944,3524,2944e" filled="false" stroked="true" strokeweight=".5pt" strokecolor="#000000">
              <v:path arrowok="t"/>
              <v:stroke dashstyle="solid"/>
            </v:shape>
            <v:shape style="position:absolute;left:3524;top:2944;width:60;height:2" coordorigin="3524,2944" coordsize="60,0" path="m3524,2944l3524,2944m3544,2944l3544,2944m3584,2944l3584,2944e" filled="false" stroked="true" strokeweight=".5pt" strokecolor="#000000">
              <v:path arrowok="t"/>
              <v:stroke dashstyle="solid"/>
            </v:shape>
            <v:shape style="position:absolute;left:3664;top:2944;width:60;height:2" coordorigin="3664,2944" coordsize="60,0" path="m3664,2944l3724,2944,3664,2944e" filled="false" stroked="true" strokeweight=".5pt" strokecolor="#000000">
              <v:path arrowok="t"/>
              <v:stroke dashstyle="solid"/>
            </v:shape>
            <v:shape style="position:absolute;left:3664;top:2944;width:60;height:2" coordorigin="3664,2944" coordsize="60,0" path="m3664,2944l3664,2944m3684,2944l3684,2944m3724,2944l3724,2944e" filled="false" stroked="true" strokeweight=".5pt" strokecolor="#000000">
              <v:path arrowok="t"/>
              <v:stroke dashstyle="solid"/>
            </v:shape>
            <v:shape style="position:absolute;left:3804;top:2944;width:60;height:2" coordorigin="3804,2944" coordsize="60,0" path="m3804,2944l3864,2944,3804,2944e" filled="false" stroked="true" strokeweight=".5pt" strokecolor="#000000">
              <v:path arrowok="t"/>
              <v:stroke dashstyle="solid"/>
            </v:shape>
            <v:shape style="position:absolute;left:3804;top:2944;width:40;height:2" coordorigin="3804,2944" coordsize="40,0" path="m3804,2944l3804,2944m3824,2944l3824,2944m3844,2944l3844,2944e" filled="false" stroked="true" strokeweight=".5pt" strokecolor="#000000">
              <v:path arrowok="t"/>
              <v:stroke dashstyle="solid"/>
            </v:shape>
            <v:shape style="position:absolute;left:3924;top:2944;width:80;height:2" coordorigin="3924,2944" coordsize="80,0" path="m3924,2944l4004,2944,3924,2944e" filled="false" stroked="true" strokeweight=".5pt" strokecolor="#000000">
              <v:path arrowok="t"/>
              <v:stroke dashstyle="solid"/>
            </v:shape>
            <v:shape style="position:absolute;left:884;top:124;width:3280;height:2860" coordorigin="884,124" coordsize="3280,2860" path="m3924,2944l3924,2944m3964,2944l3964,2944m3984,2944l3984,2944m1024,2944l1024,2984m2824,2944l2824,2984m1164,2944l1164,2984m1324,2944l1324,2984m1464,2944l1464,2984m1624,2944l1624,2984m1784,2944l1784,2984m1924,2944l1924,2984m2084,2944l2084,2984m2224,2944l2224,2984m2384,2944l2384,2984m2524,2944l2524,2984m2684,2944l2684,2984m2984,2944l2984,2984m3124,2944l3124,2984m3284,2944l3284,2984m3424,2944l3424,2984m3584,2944l3584,2984m3724,2944l3724,2984m3884,2944l3884,2984m4024,2944l4024,2984m2204,2944l2204,2944m984,2944l884,2944m984,2764l884,2764m984,2584l884,2584m984,2384l884,2384m984,2204l884,2204m984,2024l884,2024m984,1824l884,1824m984,1644l884,1644m984,1444l884,1444m984,1264l884,1264m984,1064l884,1064m984,884l884,884m984,704l884,704m984,504l884,504m984,324l884,324m984,124l884,124m4164,2944l4064,2944m4164,2764l4064,2764m4164,2584l4064,2584m4164,2384l4064,2384m4164,2204l4064,2204m4164,2024l4064,2024m4164,1824l4064,1824m4164,1644l4064,1644m4164,1444l4064,1444m4164,1264l4064,1264m4164,1064l4064,1064m4164,884l4064,884m4164,704l4064,704m4164,504l4064,504m4164,324l4064,324m4164,124l4064,124e" filled="false" stroked="true" strokeweight=".5pt" strokecolor="#000000">
              <v:path arrowok="t"/>
              <v:stroke dashstyle="solid"/>
            </v:shape>
            <v:rect style="position:absolute;left:2384;top:2584;width:120;height:360" filled="true" fillcolor="#ed1b2d" stroked="false">
              <v:fill type="solid"/>
            </v:rect>
            <v:rect style="position:absolute;left:2384;top:2584;width:120;height:360" filled="false" stroked="true" strokeweight=".5pt" strokecolor="#000000">
              <v:stroke dashstyle="solid"/>
            </v:rect>
            <v:rect style="position:absolute;left:2524;top:2764;width:120;height:180" filled="true" fillcolor="#ed1b2d" stroked="false">
              <v:fill type="solid"/>
            </v:rect>
            <v:rect style="position:absolute;left:2524;top:2764;width:120;height:180" filled="false" stroked="true" strokeweight=".5pt" strokecolor="#000000">
              <v:stroke dashstyle="solid"/>
            </v:rect>
            <w10:wrap type="none"/>
          </v:group>
        </w:pict>
      </w:r>
      <w:r>
        <w:rPr>
          <w:sz w:val="12"/>
        </w:rPr>
        <w:t>15</w:t>
      </w:r>
    </w:p>
    <w:p>
      <w:pPr>
        <w:spacing w:before="62"/>
        <w:ind w:left="0" w:right="711" w:firstLine="0"/>
        <w:jc w:val="right"/>
        <w:rPr>
          <w:sz w:val="12"/>
        </w:rPr>
      </w:pPr>
      <w:r>
        <w:rPr>
          <w:sz w:val="12"/>
        </w:rPr>
        <w:t>14</w:t>
      </w:r>
    </w:p>
    <w:p>
      <w:pPr>
        <w:spacing w:before="42"/>
        <w:ind w:left="0" w:right="711" w:firstLine="0"/>
        <w:jc w:val="right"/>
        <w:rPr>
          <w:sz w:val="12"/>
        </w:rPr>
      </w:pPr>
      <w:r>
        <w:rPr>
          <w:sz w:val="12"/>
        </w:rPr>
        <w:t>13</w:t>
      </w:r>
    </w:p>
    <w:p>
      <w:pPr>
        <w:spacing w:before="62"/>
        <w:ind w:left="0" w:right="711" w:firstLine="0"/>
        <w:jc w:val="right"/>
        <w:rPr>
          <w:sz w:val="12"/>
        </w:rPr>
      </w:pPr>
      <w:r>
        <w:rPr>
          <w:sz w:val="12"/>
        </w:rPr>
        <w:t>12</w:t>
      </w:r>
    </w:p>
    <w:p>
      <w:pPr>
        <w:spacing w:before="42"/>
        <w:ind w:left="0" w:right="711" w:firstLine="0"/>
        <w:jc w:val="right"/>
        <w:rPr>
          <w:sz w:val="12"/>
        </w:rPr>
      </w:pPr>
      <w:r>
        <w:rPr>
          <w:sz w:val="12"/>
        </w:rPr>
        <w:t>11</w:t>
      </w:r>
    </w:p>
    <w:p>
      <w:pPr>
        <w:spacing w:before="42"/>
        <w:ind w:left="0" w:right="711" w:firstLine="0"/>
        <w:jc w:val="right"/>
        <w:rPr>
          <w:sz w:val="12"/>
        </w:rPr>
      </w:pPr>
      <w:r>
        <w:rPr>
          <w:sz w:val="12"/>
        </w:rPr>
        <w:t>10</w:t>
      </w:r>
    </w:p>
    <w:p>
      <w:pPr>
        <w:spacing w:before="62"/>
        <w:ind w:left="0" w:right="711" w:firstLine="0"/>
        <w:jc w:val="right"/>
        <w:rPr>
          <w:sz w:val="12"/>
        </w:rPr>
      </w:pPr>
      <w:r>
        <w:rPr>
          <w:sz w:val="12"/>
        </w:rPr>
        <w:t>9</w:t>
      </w:r>
    </w:p>
    <w:p>
      <w:pPr>
        <w:spacing w:before="42"/>
        <w:ind w:left="0" w:right="711" w:firstLine="0"/>
        <w:jc w:val="right"/>
        <w:rPr>
          <w:sz w:val="12"/>
        </w:rPr>
      </w:pPr>
      <w:r>
        <w:rPr>
          <w:sz w:val="12"/>
        </w:rPr>
        <w:t>8</w:t>
      </w:r>
    </w:p>
    <w:p>
      <w:pPr>
        <w:spacing w:before="62"/>
        <w:ind w:left="0" w:right="711" w:firstLine="0"/>
        <w:jc w:val="right"/>
        <w:rPr>
          <w:sz w:val="12"/>
        </w:rPr>
      </w:pPr>
      <w:r>
        <w:rPr>
          <w:sz w:val="12"/>
        </w:rPr>
        <w:t>7</w:t>
      </w:r>
    </w:p>
    <w:p>
      <w:pPr>
        <w:spacing w:before="42"/>
        <w:ind w:left="0" w:right="711" w:firstLine="0"/>
        <w:jc w:val="right"/>
        <w:rPr>
          <w:sz w:val="12"/>
        </w:rPr>
      </w:pPr>
      <w:r>
        <w:rPr>
          <w:sz w:val="12"/>
        </w:rPr>
        <w:t>6</w:t>
      </w:r>
    </w:p>
    <w:p>
      <w:pPr>
        <w:spacing w:before="62"/>
        <w:ind w:left="0" w:right="711" w:firstLine="0"/>
        <w:jc w:val="right"/>
        <w:rPr>
          <w:sz w:val="12"/>
        </w:rPr>
      </w:pPr>
      <w:r>
        <w:rPr>
          <w:sz w:val="12"/>
        </w:rPr>
        <w:t>5</w:t>
      </w:r>
    </w:p>
    <w:p>
      <w:pPr>
        <w:spacing w:before="42"/>
        <w:ind w:left="0" w:right="711" w:firstLine="0"/>
        <w:jc w:val="right"/>
        <w:rPr>
          <w:sz w:val="12"/>
        </w:rPr>
      </w:pPr>
      <w:r>
        <w:rPr>
          <w:sz w:val="12"/>
        </w:rPr>
        <w:t>4</w:t>
      </w:r>
    </w:p>
    <w:p>
      <w:pPr>
        <w:spacing w:before="42"/>
        <w:ind w:left="0" w:right="711" w:firstLine="0"/>
        <w:jc w:val="right"/>
        <w:rPr>
          <w:sz w:val="12"/>
        </w:rPr>
      </w:pPr>
      <w:r>
        <w:rPr>
          <w:sz w:val="12"/>
        </w:rPr>
        <w:t>3</w:t>
      </w:r>
    </w:p>
    <w:p>
      <w:pPr>
        <w:spacing w:before="62"/>
        <w:ind w:left="0" w:right="711" w:firstLine="0"/>
        <w:jc w:val="right"/>
        <w:rPr>
          <w:sz w:val="12"/>
        </w:rPr>
      </w:pPr>
      <w:r>
        <w:rPr>
          <w:sz w:val="12"/>
        </w:rPr>
        <w:t>2</w:t>
      </w:r>
    </w:p>
    <w:p>
      <w:pPr>
        <w:spacing w:before="42"/>
        <w:ind w:left="0" w:right="711" w:firstLine="0"/>
        <w:jc w:val="right"/>
        <w:rPr>
          <w:sz w:val="12"/>
        </w:rPr>
      </w:pPr>
      <w:r>
        <w:rPr>
          <w:sz w:val="12"/>
        </w:rPr>
        <w:t>1</w:t>
      </w:r>
    </w:p>
    <w:p>
      <w:pPr>
        <w:spacing w:line="119" w:lineRule="exact" w:before="42"/>
        <w:ind w:left="0" w:right="711" w:firstLine="0"/>
        <w:jc w:val="right"/>
        <w:rPr>
          <w:sz w:val="12"/>
        </w:rPr>
      </w:pPr>
      <w:r>
        <w:rPr>
          <w:sz w:val="12"/>
        </w:rPr>
        <w:t>0</w:t>
      </w:r>
    </w:p>
    <w:p>
      <w:pPr>
        <w:spacing w:line="119" w:lineRule="exact" w:before="0"/>
        <w:ind w:left="314" w:right="0" w:firstLine="0"/>
        <w:jc w:val="left"/>
        <w:rPr>
          <w:sz w:val="12"/>
        </w:rPr>
      </w:pPr>
      <w:r>
        <w:rPr>
          <w:sz w:val="12"/>
        </w:rPr>
        <w:t>0.0 0.6 1.2 1.8 2.4 3.0 3.6 4.2 4.8 5.4 6.0</w:t>
      </w:r>
    </w:p>
    <w:p>
      <w:pPr>
        <w:spacing w:before="22"/>
        <w:ind w:left="1154" w:right="0" w:firstLine="0"/>
        <w:jc w:val="left"/>
        <w:rPr>
          <w:sz w:val="12"/>
        </w:rPr>
      </w:pPr>
      <w:r>
        <w:rPr>
          <w:sz w:val="12"/>
        </w:rPr>
        <w:t>Range of forecasts</w:t>
      </w:r>
    </w:p>
    <w:p>
      <w:pPr>
        <w:pStyle w:val="BodyText"/>
        <w:spacing w:before="3"/>
        <w:rPr>
          <w:sz w:val="17"/>
        </w:rPr>
      </w:pPr>
    </w:p>
    <w:p>
      <w:pPr>
        <w:spacing w:before="1"/>
        <w:ind w:left="164" w:right="0" w:firstLine="0"/>
        <w:jc w:val="left"/>
        <w:rPr>
          <w:sz w:val="12"/>
        </w:rPr>
      </w:pPr>
      <w:r>
        <w:rPr>
          <w:sz w:val="12"/>
        </w:rPr>
        <w:t>Source: Forecasts of 27 outside forecasters as of 29 January 1999.</w:t>
      </w:r>
    </w:p>
    <w:p>
      <w:pPr>
        <w:pStyle w:val="BodyText"/>
        <w:rPr>
          <w:sz w:val="12"/>
        </w:rPr>
      </w:pPr>
    </w:p>
    <w:p>
      <w:pPr>
        <w:pStyle w:val="BodyText"/>
        <w:rPr>
          <w:sz w:val="12"/>
        </w:rPr>
      </w:pPr>
    </w:p>
    <w:p>
      <w:pPr>
        <w:pStyle w:val="BodyText"/>
        <w:spacing w:before="6"/>
        <w:rPr>
          <w:sz w:val="13"/>
        </w:rPr>
      </w:pPr>
    </w:p>
    <w:p>
      <w:pPr>
        <w:pStyle w:val="Heading7"/>
        <w:spacing w:before="0"/>
        <w:ind w:left="174"/>
      </w:pPr>
      <w:r>
        <w:rPr>
          <w:color w:val="0093C1"/>
        </w:rPr>
        <w:t>Table 6.B</w:t>
      </w:r>
    </w:p>
    <w:p>
      <w:pPr>
        <w:spacing w:line="249" w:lineRule="auto" w:before="10"/>
        <w:ind w:left="174" w:right="20" w:firstLine="0"/>
        <w:jc w:val="left"/>
        <w:rPr>
          <w:sz w:val="12"/>
        </w:rPr>
      </w:pPr>
      <w:r>
        <w:rPr>
          <w:b/>
          <w:color w:val="0093C1"/>
          <w:sz w:val="20"/>
        </w:rPr>
        <w:t>Other forecasters’ expectations of RPIX inflation and GDP growth</w:t>
      </w:r>
      <w:r>
        <w:rPr>
          <w:position w:val="4"/>
          <w:sz w:val="12"/>
        </w:rPr>
        <w:t>(a)</w:t>
      </w:r>
    </w:p>
    <w:p>
      <w:pPr>
        <w:spacing w:before="47"/>
        <w:ind w:left="174" w:right="0" w:firstLine="0"/>
        <w:jc w:val="left"/>
        <w:rPr>
          <w:b/>
          <w:sz w:val="14"/>
        </w:rPr>
      </w:pPr>
      <w:r>
        <w:rPr>
          <w:b/>
          <w:sz w:val="14"/>
        </w:rPr>
        <w:t>RPIX inflation</w:t>
      </w:r>
    </w:p>
    <w:p>
      <w:pPr>
        <w:tabs>
          <w:tab w:pos="1614" w:val="left" w:leader="none"/>
          <w:tab w:pos="3419" w:val="left" w:leader="none"/>
        </w:tabs>
        <w:spacing w:line="160" w:lineRule="exact" w:before="139"/>
        <w:ind w:left="174" w:right="0" w:firstLine="0"/>
        <w:jc w:val="left"/>
        <w:rPr>
          <w:sz w:val="14"/>
        </w:rPr>
      </w:pPr>
      <w:r>
        <w:rPr>
          <w:sz w:val="14"/>
        </w:rPr>
        <w:t>Probability, per cent</w:t>
        <w:tab/>
      </w:r>
      <w:r>
        <w:rPr>
          <w:sz w:val="14"/>
          <w:u w:val="single"/>
        </w:rPr>
        <w:t>Range:</w:t>
        <w:tab/>
      </w:r>
    </w:p>
    <w:p>
      <w:pPr>
        <w:tabs>
          <w:tab w:pos="2093" w:val="left" w:leader="none"/>
          <w:tab w:pos="2573" w:val="left" w:leader="none"/>
          <w:tab w:pos="3053" w:val="left" w:leader="none"/>
        </w:tabs>
        <w:spacing w:line="208" w:lineRule="auto" w:before="16"/>
        <w:ind w:left="1613" w:right="1063" w:firstLine="0"/>
        <w:jc w:val="left"/>
        <w:rPr>
          <w:sz w:val="14"/>
        </w:rPr>
      </w:pPr>
      <w:r>
        <w:rPr>
          <w:sz w:val="14"/>
        </w:rPr>
        <w:t>less</w:t>
        <w:tab/>
        <w:t>1.5%  2.5%  </w:t>
      </w:r>
      <w:r>
        <w:rPr>
          <w:spacing w:val="-4"/>
          <w:sz w:val="14"/>
        </w:rPr>
        <w:t>more </w:t>
      </w:r>
      <w:r>
        <w:rPr>
          <w:sz w:val="14"/>
        </w:rPr>
        <w:t>than</w:t>
        <w:tab/>
        <w:t>to</w:t>
        <w:tab/>
        <w:t>to</w:t>
        <w:tab/>
        <w:t>than</w:t>
      </w:r>
    </w:p>
    <w:p>
      <w:pPr>
        <w:pStyle w:val="Heading2"/>
        <w:numPr>
          <w:ilvl w:val="1"/>
          <w:numId w:val="30"/>
        </w:numPr>
        <w:tabs>
          <w:tab w:pos="3606" w:val="left" w:leader="none"/>
          <w:tab w:pos="3607" w:val="left" w:leader="none"/>
          <w:tab w:pos="5684" w:val="left" w:leader="none"/>
        </w:tabs>
        <w:spacing w:line="240" w:lineRule="auto" w:before="88" w:after="0"/>
        <w:ind w:left="3606" w:right="0" w:hanging="3443"/>
        <w:jc w:val="left"/>
        <w:rPr>
          <w:u w:val="none"/>
        </w:rPr>
      </w:pPr>
      <w:r>
        <w:rPr>
          <w:color w:val="009483"/>
          <w:u w:val="thick" w:color="0093C1"/>
        </w:rPr>
        <w:br w:type="column"/>
        <w:t>Other</w:t>
      </w:r>
      <w:r>
        <w:rPr>
          <w:color w:val="009483"/>
          <w:spacing w:val="-6"/>
          <w:u w:val="thick" w:color="0093C1"/>
        </w:rPr>
        <w:t> </w:t>
      </w:r>
      <w:r>
        <w:rPr>
          <w:color w:val="009483"/>
          <w:u w:val="thick" w:color="0093C1"/>
        </w:rPr>
        <w:t>forecasts</w:t>
        <w:tab/>
      </w:r>
    </w:p>
    <w:p>
      <w:pPr>
        <w:pStyle w:val="Heading4"/>
        <w:spacing w:line="242" w:lineRule="auto" w:before="260"/>
        <w:ind w:left="164" w:right="212"/>
      </w:pPr>
      <w:hyperlink w:history="true" w:anchor="_bookmark17">
        <w:r>
          <w:rPr/>
          <w:t>Section 3</w:t>
        </w:r>
      </w:hyperlink>
      <w:r>
        <w:rPr/>
        <w:t> described the fall in survey measures of inflation expectations for the next one to two years. That fall is mirrored in the information gathered from 29 forecasters surveyed by the Bank. The median forecast for the year to 1999 Q4 was 2.1% in January, rising slightly to 2.3% for 2000 Q4, and reaching 2.5% in</w:t>
      </w:r>
    </w:p>
    <w:p>
      <w:pPr>
        <w:spacing w:line="242" w:lineRule="auto" w:before="8"/>
        <w:ind w:left="164" w:right="212" w:firstLine="0"/>
        <w:jc w:val="left"/>
        <w:rPr>
          <w:sz w:val="24"/>
        </w:rPr>
      </w:pPr>
      <w:r>
        <w:rPr>
          <w:sz w:val="24"/>
        </w:rPr>
        <w:t>2001 Q1. The estimates for 1999 and 2000 are a little lower than the projections made at the time of the October survey. Chart 6.8 shows the distribution of central forecasts for the twelve-month rate of RPIX inflation in 2001 Q1.</w:t>
      </w:r>
    </w:p>
    <w:p>
      <w:pPr>
        <w:pStyle w:val="BodyText"/>
        <w:spacing w:before="10"/>
        <w:rPr>
          <w:sz w:val="24"/>
        </w:rPr>
      </w:pPr>
    </w:p>
    <w:p>
      <w:pPr>
        <w:spacing w:line="242" w:lineRule="auto" w:before="0"/>
        <w:ind w:left="164" w:right="212" w:firstLine="0"/>
        <w:jc w:val="left"/>
        <w:rPr>
          <w:sz w:val="24"/>
        </w:rPr>
      </w:pPr>
      <w:r>
        <w:rPr>
          <w:sz w:val="24"/>
        </w:rPr>
        <w:t>The forecasters surveyed by the Bank also provided their assessments of the probabilities that they attach to various outcomes for inflation and growth (see</w:t>
      </w:r>
    </w:p>
    <w:p>
      <w:pPr>
        <w:spacing w:line="242" w:lineRule="auto" w:before="4"/>
        <w:ind w:left="163" w:right="267" w:firstLine="0"/>
        <w:jc w:val="left"/>
        <w:rPr>
          <w:sz w:val="24"/>
        </w:rPr>
      </w:pPr>
      <w:r>
        <w:rPr>
          <w:sz w:val="24"/>
        </w:rPr>
        <w:t>Table 6.B). They assign just over 40% probability to inflation being above the target in the first quarter of 2001, and just under 60% probability to it being below. These estimates are broadly the same as at the time of the October survey. The average projection for GDP growth in the year to 1999 Q4 is </w:t>
      </w:r>
      <w:r>
        <w:rPr>
          <w:position w:val="8"/>
          <w:sz w:val="12"/>
        </w:rPr>
        <w:t>3</w:t>
      </w:r>
      <w:r>
        <w:rPr>
          <w:sz w:val="24"/>
        </w:rPr>
        <w:t>/</w:t>
      </w:r>
      <w:r>
        <w:rPr>
          <w:sz w:val="12"/>
        </w:rPr>
        <w:t>4</w:t>
      </w:r>
      <w:r>
        <w:rPr>
          <w:sz w:val="24"/>
        </w:rPr>
        <w:t>% (with a range of projections from -</w:t>
      </w:r>
      <w:r>
        <w:rPr>
          <w:position w:val="8"/>
          <w:sz w:val="12"/>
        </w:rPr>
        <w:t>3</w:t>
      </w:r>
      <w:r>
        <w:rPr>
          <w:sz w:val="24"/>
        </w:rPr>
        <w:t>/</w:t>
      </w:r>
      <w:r>
        <w:rPr>
          <w:sz w:val="12"/>
        </w:rPr>
        <w:t>4</w:t>
      </w:r>
      <w:r>
        <w:rPr>
          <w:sz w:val="24"/>
        </w:rPr>
        <w:t>% to 1</w:t>
      </w:r>
      <w:r>
        <w:rPr>
          <w:position w:val="8"/>
          <w:sz w:val="12"/>
        </w:rPr>
        <w:t>3</w:t>
      </w:r>
      <w:r>
        <w:rPr>
          <w:sz w:val="24"/>
        </w:rPr>
        <w:t>/</w:t>
      </w:r>
      <w:r>
        <w:rPr>
          <w:sz w:val="12"/>
        </w:rPr>
        <w:t>4</w:t>
      </w:r>
      <w:r>
        <w:rPr>
          <w:sz w:val="24"/>
        </w:rPr>
        <w:t>%), rising to 2</w:t>
      </w:r>
      <w:r>
        <w:rPr>
          <w:position w:val="8"/>
          <w:sz w:val="12"/>
        </w:rPr>
        <w:t>1</w:t>
      </w:r>
      <w:r>
        <w:rPr>
          <w:sz w:val="24"/>
        </w:rPr>
        <w:t>/</w:t>
      </w:r>
      <w:r>
        <w:rPr>
          <w:sz w:val="12"/>
        </w:rPr>
        <w:t>2</w:t>
      </w:r>
      <w:r>
        <w:rPr>
          <w:sz w:val="24"/>
        </w:rPr>
        <w:t>% in the</w:t>
      </w:r>
    </w:p>
    <w:p>
      <w:pPr>
        <w:spacing w:after="0" w:line="242" w:lineRule="auto"/>
        <w:jc w:val="left"/>
        <w:rPr>
          <w:sz w:val="24"/>
        </w:rPr>
        <w:sectPr>
          <w:type w:val="continuous"/>
          <w:pgSz w:w="11900" w:h="16840"/>
          <w:pgMar w:top="1220" w:bottom="280" w:left="640" w:right="600"/>
          <w:cols w:num="2" w:equalWidth="0">
            <w:col w:w="4408" w:space="377"/>
            <w:col w:w="5875"/>
          </w:cols>
        </w:sectPr>
      </w:pPr>
    </w:p>
    <w:p>
      <w:pPr>
        <w:tabs>
          <w:tab w:pos="6533" w:val="left" w:leader="none"/>
          <w:tab w:pos="7346" w:val="left" w:leader="none"/>
        </w:tabs>
        <w:spacing w:line="19" w:lineRule="exact" w:before="0"/>
        <w:ind w:left="0" w:right="23" w:firstLine="0"/>
        <w:jc w:val="center"/>
        <w:rPr>
          <w:sz w:val="12"/>
        </w:rPr>
      </w:pPr>
      <w:r>
        <w:rPr>
          <w:sz w:val="14"/>
          <w:u w:val="single"/>
        </w:rPr>
        <w:t>1.5% </w:t>
      </w:r>
      <w:r>
        <w:rPr>
          <w:sz w:val="14"/>
        </w:rPr>
        <w:t>   </w:t>
      </w:r>
      <w:r>
        <w:rPr>
          <w:sz w:val="14"/>
          <w:u w:val="single"/>
        </w:rPr>
        <w:t>  2.5%</w:t>
      </w:r>
      <w:r>
        <w:rPr>
          <w:sz w:val="14"/>
        </w:rPr>
        <w:t>   </w:t>
      </w:r>
      <w:r>
        <w:rPr>
          <w:spacing w:val="26"/>
          <w:sz w:val="14"/>
        </w:rPr>
        <w:t> </w:t>
      </w:r>
      <w:r>
        <w:rPr>
          <w:sz w:val="14"/>
          <w:u w:val="single"/>
        </w:rPr>
        <w:t>3.5% </w:t>
      </w:r>
      <w:r>
        <w:rPr>
          <w:sz w:val="14"/>
        </w:rPr>
        <w:t>   </w:t>
      </w:r>
      <w:r>
        <w:rPr>
          <w:spacing w:val="13"/>
          <w:sz w:val="14"/>
        </w:rPr>
        <w:t> </w:t>
      </w:r>
      <w:r>
        <w:rPr>
          <w:sz w:val="14"/>
          <w:u w:val="single"/>
        </w:rPr>
        <w:t>3.5%</w:t>
      </w:r>
      <w:r>
        <w:rPr>
          <w:sz w:val="14"/>
        </w:rPr>
        <w:tab/>
      </w:r>
      <w:r>
        <w:rPr>
          <w:position w:val="-5"/>
          <w:sz w:val="12"/>
        </w:rPr>
        <w:t>3</w:t>
        <w:tab/>
        <w:t>1</w:t>
      </w:r>
    </w:p>
    <w:p>
      <w:pPr>
        <w:spacing w:after="0" w:line="19" w:lineRule="exact"/>
        <w:jc w:val="center"/>
        <w:rPr>
          <w:sz w:val="12"/>
        </w:rPr>
        <w:sectPr>
          <w:type w:val="continuous"/>
          <w:pgSz w:w="11900" w:h="16840"/>
          <w:pgMar w:top="1220" w:bottom="280" w:left="640" w:right="600"/>
        </w:sectPr>
      </w:pPr>
    </w:p>
    <w:p>
      <w:pPr>
        <w:tabs>
          <w:tab w:pos="1633" w:val="left" w:leader="none"/>
          <w:tab w:pos="2114" w:val="left" w:leader="none"/>
          <w:tab w:pos="2594" w:val="left" w:leader="none"/>
          <w:tab w:pos="3214" w:val="right" w:leader="none"/>
        </w:tabs>
        <w:spacing w:line="150" w:lineRule="exact" w:before="222"/>
        <w:ind w:left="174" w:right="0" w:firstLine="0"/>
        <w:jc w:val="left"/>
        <w:rPr>
          <w:sz w:val="14"/>
        </w:rPr>
      </w:pPr>
      <w:r>
        <w:rPr>
          <w:sz w:val="14"/>
        </w:rPr>
        <w:t>1999 Q4</w:t>
        <w:tab/>
        <w:t>17</w:t>
        <w:tab/>
        <w:t>51</w:t>
        <w:tab/>
        <w:t>27</w:t>
        <w:tab/>
        <w:t>5</w:t>
      </w:r>
    </w:p>
    <w:p>
      <w:pPr>
        <w:tabs>
          <w:tab w:pos="1633" w:val="left" w:leader="none"/>
          <w:tab w:pos="2114" w:val="left" w:leader="none"/>
          <w:tab w:pos="2594" w:val="left" w:leader="none"/>
          <w:tab w:pos="3214" w:val="right" w:leader="none"/>
        </w:tabs>
        <w:spacing w:line="140" w:lineRule="exact" w:before="0"/>
        <w:ind w:left="174" w:right="0" w:firstLine="0"/>
        <w:jc w:val="left"/>
        <w:rPr>
          <w:sz w:val="14"/>
        </w:rPr>
      </w:pPr>
      <w:r>
        <w:rPr>
          <w:sz w:val="14"/>
        </w:rPr>
        <w:t>2000 Q4</w:t>
        <w:tab/>
        <w:t>18</w:t>
        <w:tab/>
        <w:t>44</w:t>
        <w:tab/>
        <w:t>29</w:t>
        <w:tab/>
        <w:t>9</w:t>
      </w:r>
    </w:p>
    <w:p>
      <w:pPr>
        <w:tabs>
          <w:tab w:pos="1633" w:val="left" w:leader="none"/>
          <w:tab w:pos="2113" w:val="left" w:leader="none"/>
          <w:tab w:pos="2594" w:val="left" w:leader="none"/>
          <w:tab w:pos="3214" w:val="right" w:leader="none"/>
        </w:tabs>
        <w:spacing w:line="150" w:lineRule="exact" w:before="0"/>
        <w:ind w:left="174" w:right="0" w:firstLine="0"/>
        <w:jc w:val="left"/>
        <w:rPr>
          <w:sz w:val="14"/>
        </w:rPr>
      </w:pPr>
      <w:r>
        <w:rPr>
          <w:sz w:val="14"/>
        </w:rPr>
        <w:t>2001</w:t>
      </w:r>
      <w:r>
        <w:rPr>
          <w:spacing w:val="-1"/>
          <w:sz w:val="14"/>
        </w:rPr>
        <w:t> </w:t>
      </w:r>
      <w:r>
        <w:rPr>
          <w:sz w:val="14"/>
        </w:rPr>
        <w:t>Q1</w:t>
      </w:r>
      <w:r>
        <w:rPr>
          <w:spacing w:val="-1"/>
          <w:sz w:val="14"/>
        </w:rPr>
        <w:t> </w:t>
      </w:r>
      <w:r>
        <w:rPr>
          <w:sz w:val="12"/>
        </w:rPr>
        <w:t>(b)</w:t>
        <w:tab/>
      </w:r>
      <w:r>
        <w:rPr>
          <w:sz w:val="14"/>
        </w:rPr>
        <w:t>16</w:t>
        <w:tab/>
        <w:t>41</w:t>
        <w:tab/>
        <w:t>31</w:t>
        <w:tab/>
        <w:t>11</w:t>
      </w:r>
    </w:p>
    <w:p>
      <w:pPr>
        <w:spacing w:before="119"/>
        <w:ind w:left="173" w:right="0" w:firstLine="0"/>
        <w:jc w:val="left"/>
        <w:rPr>
          <w:b/>
          <w:sz w:val="14"/>
        </w:rPr>
      </w:pPr>
      <w:r>
        <w:rPr>
          <w:b/>
          <w:sz w:val="14"/>
        </w:rPr>
        <w:t>GDP growth</w:t>
      </w:r>
    </w:p>
    <w:p>
      <w:pPr>
        <w:tabs>
          <w:tab w:pos="1594" w:val="left" w:leader="none"/>
          <w:tab w:pos="4339" w:val="left" w:leader="none"/>
        </w:tabs>
        <w:spacing w:before="139"/>
        <w:ind w:left="173" w:right="0" w:firstLine="0"/>
        <w:jc w:val="left"/>
        <w:rPr>
          <w:sz w:val="14"/>
        </w:rPr>
      </w:pPr>
      <w:r>
        <w:rPr>
          <w:sz w:val="14"/>
        </w:rPr>
        <w:t>Probability, per cent</w:t>
        <w:tab/>
      </w:r>
      <w:r>
        <w:rPr>
          <w:sz w:val="14"/>
          <w:u w:val="single"/>
        </w:rPr>
        <w:t> Range:</w:t>
        <w:tab/>
      </w:r>
    </w:p>
    <w:tbl>
      <w:tblPr>
        <w:tblW w:w="0" w:type="auto"/>
        <w:jc w:val="left"/>
        <w:tblInd w:w="1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40"/>
        <w:gridCol w:w="441"/>
        <w:gridCol w:w="484"/>
        <w:gridCol w:w="490"/>
        <w:gridCol w:w="480"/>
        <w:gridCol w:w="471"/>
        <w:gridCol w:w="466"/>
      </w:tblGrid>
      <w:tr>
        <w:trPr>
          <w:trHeight w:val="295" w:hRule="atLeast"/>
        </w:trPr>
        <w:tc>
          <w:tcPr>
            <w:tcW w:w="1881" w:type="dxa"/>
            <w:gridSpan w:val="2"/>
          </w:tcPr>
          <w:p>
            <w:pPr>
              <w:pStyle w:val="TableParagraph"/>
              <w:spacing w:line="140" w:lineRule="exact" w:before="12"/>
              <w:ind w:left="1301" w:right="148"/>
              <w:jc w:val="right"/>
              <w:rPr>
                <w:sz w:val="14"/>
              </w:rPr>
            </w:pPr>
            <w:r>
              <w:rPr>
                <w:sz w:val="14"/>
              </w:rPr>
              <w:t>less than</w:t>
            </w:r>
          </w:p>
        </w:tc>
        <w:tc>
          <w:tcPr>
            <w:tcW w:w="484" w:type="dxa"/>
          </w:tcPr>
          <w:p>
            <w:pPr>
              <w:pStyle w:val="TableParagraph"/>
              <w:spacing w:line="145" w:lineRule="exact"/>
              <w:ind w:left="89"/>
              <w:rPr>
                <w:sz w:val="14"/>
              </w:rPr>
            </w:pPr>
            <w:r>
              <w:rPr>
                <w:sz w:val="14"/>
              </w:rPr>
              <w:t>0%</w:t>
            </w:r>
          </w:p>
          <w:p>
            <w:pPr>
              <w:pStyle w:val="TableParagraph"/>
              <w:spacing w:line="130" w:lineRule="exact"/>
              <w:ind w:left="88"/>
              <w:rPr>
                <w:sz w:val="14"/>
              </w:rPr>
            </w:pPr>
            <w:r>
              <w:rPr>
                <w:sz w:val="14"/>
              </w:rPr>
              <w:t>to</w:t>
            </w:r>
          </w:p>
        </w:tc>
        <w:tc>
          <w:tcPr>
            <w:tcW w:w="490" w:type="dxa"/>
          </w:tcPr>
          <w:p>
            <w:pPr>
              <w:pStyle w:val="TableParagraph"/>
              <w:spacing w:line="145" w:lineRule="exact"/>
              <w:ind w:left="85"/>
              <w:rPr>
                <w:sz w:val="14"/>
              </w:rPr>
            </w:pPr>
            <w:r>
              <w:rPr>
                <w:sz w:val="14"/>
              </w:rPr>
              <w:t>1%</w:t>
            </w:r>
          </w:p>
          <w:p>
            <w:pPr>
              <w:pStyle w:val="TableParagraph"/>
              <w:spacing w:line="130" w:lineRule="exact"/>
              <w:ind w:left="84"/>
              <w:rPr>
                <w:sz w:val="14"/>
              </w:rPr>
            </w:pPr>
            <w:r>
              <w:rPr>
                <w:sz w:val="14"/>
              </w:rPr>
              <w:t>to</w:t>
            </w:r>
          </w:p>
        </w:tc>
        <w:tc>
          <w:tcPr>
            <w:tcW w:w="480" w:type="dxa"/>
          </w:tcPr>
          <w:p>
            <w:pPr>
              <w:pStyle w:val="TableParagraph"/>
              <w:spacing w:line="145" w:lineRule="exact"/>
              <w:ind w:left="75"/>
              <w:rPr>
                <w:sz w:val="14"/>
              </w:rPr>
            </w:pPr>
            <w:r>
              <w:rPr>
                <w:sz w:val="14"/>
              </w:rPr>
              <w:t>2%</w:t>
            </w:r>
          </w:p>
          <w:p>
            <w:pPr>
              <w:pStyle w:val="TableParagraph"/>
              <w:spacing w:line="130" w:lineRule="exact"/>
              <w:ind w:left="74"/>
              <w:rPr>
                <w:sz w:val="14"/>
              </w:rPr>
            </w:pPr>
            <w:r>
              <w:rPr>
                <w:sz w:val="14"/>
              </w:rPr>
              <w:t>to</w:t>
            </w:r>
          </w:p>
        </w:tc>
        <w:tc>
          <w:tcPr>
            <w:tcW w:w="471" w:type="dxa"/>
          </w:tcPr>
          <w:p>
            <w:pPr>
              <w:pStyle w:val="TableParagraph"/>
              <w:spacing w:line="145" w:lineRule="exact"/>
              <w:ind w:left="75"/>
              <w:rPr>
                <w:sz w:val="14"/>
              </w:rPr>
            </w:pPr>
            <w:r>
              <w:rPr>
                <w:sz w:val="14"/>
              </w:rPr>
              <w:t>3%</w:t>
            </w:r>
          </w:p>
          <w:p>
            <w:pPr>
              <w:pStyle w:val="TableParagraph"/>
              <w:spacing w:line="130" w:lineRule="exact"/>
              <w:ind w:left="74"/>
              <w:rPr>
                <w:sz w:val="14"/>
              </w:rPr>
            </w:pPr>
            <w:r>
              <w:rPr>
                <w:sz w:val="14"/>
              </w:rPr>
              <w:t>to</w:t>
            </w:r>
          </w:p>
        </w:tc>
        <w:tc>
          <w:tcPr>
            <w:tcW w:w="466" w:type="dxa"/>
          </w:tcPr>
          <w:p>
            <w:pPr>
              <w:pStyle w:val="TableParagraph"/>
              <w:spacing w:line="140" w:lineRule="exact" w:before="12"/>
              <w:ind w:left="83" w:right="74" w:firstLine="1"/>
              <w:rPr>
                <w:sz w:val="14"/>
              </w:rPr>
            </w:pPr>
            <w:r>
              <w:rPr>
                <w:sz w:val="14"/>
              </w:rPr>
              <w:t>more than</w:t>
            </w:r>
          </w:p>
        </w:tc>
      </w:tr>
      <w:tr>
        <w:trPr>
          <w:trHeight w:val="202" w:hRule="atLeast"/>
        </w:trPr>
        <w:tc>
          <w:tcPr>
            <w:tcW w:w="1440" w:type="dxa"/>
          </w:tcPr>
          <w:p>
            <w:pPr>
              <w:pStyle w:val="TableParagraph"/>
              <w:spacing w:line="240" w:lineRule="auto"/>
              <w:rPr>
                <w:sz w:val="14"/>
              </w:rPr>
            </w:pPr>
          </w:p>
        </w:tc>
        <w:tc>
          <w:tcPr>
            <w:tcW w:w="441" w:type="dxa"/>
          </w:tcPr>
          <w:p>
            <w:pPr>
              <w:pStyle w:val="TableParagraph"/>
              <w:spacing w:line="155" w:lineRule="exact"/>
              <w:ind w:left="49"/>
              <w:rPr>
                <w:sz w:val="14"/>
              </w:rPr>
            </w:pPr>
            <w:r>
              <w:rPr>
                <w:sz w:val="14"/>
                <w:u w:val="single"/>
              </w:rPr>
              <w:t>0% </w:t>
            </w:r>
          </w:p>
        </w:tc>
        <w:tc>
          <w:tcPr>
            <w:tcW w:w="484" w:type="dxa"/>
          </w:tcPr>
          <w:p>
            <w:pPr>
              <w:pStyle w:val="TableParagraph"/>
              <w:spacing w:line="155" w:lineRule="exact"/>
              <w:ind w:right="23"/>
              <w:jc w:val="center"/>
              <w:rPr>
                <w:sz w:val="14"/>
              </w:rPr>
            </w:pPr>
            <w:r>
              <w:rPr>
                <w:sz w:val="14"/>
                <w:u w:val="single"/>
              </w:rPr>
              <w:t> 1% </w:t>
            </w:r>
          </w:p>
        </w:tc>
        <w:tc>
          <w:tcPr>
            <w:tcW w:w="490" w:type="dxa"/>
          </w:tcPr>
          <w:p>
            <w:pPr>
              <w:pStyle w:val="TableParagraph"/>
              <w:spacing w:line="155" w:lineRule="exact"/>
              <w:ind w:left="85"/>
              <w:rPr>
                <w:sz w:val="14"/>
              </w:rPr>
            </w:pPr>
            <w:r>
              <w:rPr>
                <w:sz w:val="14"/>
                <w:u w:val="single"/>
              </w:rPr>
              <w:t>2% </w:t>
            </w:r>
          </w:p>
        </w:tc>
        <w:tc>
          <w:tcPr>
            <w:tcW w:w="480" w:type="dxa"/>
          </w:tcPr>
          <w:p>
            <w:pPr>
              <w:pStyle w:val="TableParagraph"/>
              <w:spacing w:line="155" w:lineRule="exact"/>
              <w:ind w:left="75"/>
              <w:rPr>
                <w:sz w:val="14"/>
              </w:rPr>
            </w:pPr>
            <w:r>
              <w:rPr>
                <w:sz w:val="14"/>
                <w:u w:val="single"/>
              </w:rPr>
              <w:t>3% </w:t>
            </w:r>
          </w:p>
        </w:tc>
        <w:tc>
          <w:tcPr>
            <w:tcW w:w="471" w:type="dxa"/>
          </w:tcPr>
          <w:p>
            <w:pPr>
              <w:pStyle w:val="TableParagraph"/>
              <w:spacing w:line="155" w:lineRule="exact"/>
              <w:ind w:left="75"/>
              <w:rPr>
                <w:sz w:val="14"/>
              </w:rPr>
            </w:pPr>
            <w:r>
              <w:rPr>
                <w:sz w:val="14"/>
                <w:u w:val="single"/>
              </w:rPr>
              <w:t>4% </w:t>
            </w:r>
          </w:p>
        </w:tc>
        <w:tc>
          <w:tcPr>
            <w:tcW w:w="466" w:type="dxa"/>
          </w:tcPr>
          <w:p>
            <w:pPr>
              <w:pStyle w:val="TableParagraph"/>
              <w:spacing w:line="155" w:lineRule="exact"/>
              <w:ind w:left="84"/>
              <w:rPr>
                <w:sz w:val="14"/>
              </w:rPr>
            </w:pPr>
            <w:r>
              <w:rPr>
                <w:sz w:val="14"/>
                <w:u w:val="single"/>
              </w:rPr>
              <w:t>4% </w:t>
            </w:r>
          </w:p>
        </w:tc>
      </w:tr>
      <w:tr>
        <w:trPr>
          <w:trHeight w:val="210" w:hRule="atLeast"/>
        </w:trPr>
        <w:tc>
          <w:tcPr>
            <w:tcW w:w="1440" w:type="dxa"/>
          </w:tcPr>
          <w:p>
            <w:pPr>
              <w:pStyle w:val="TableParagraph"/>
              <w:spacing w:line="133" w:lineRule="exact" w:before="56"/>
              <w:ind w:left="50"/>
              <w:rPr>
                <w:sz w:val="14"/>
              </w:rPr>
            </w:pPr>
            <w:r>
              <w:rPr>
                <w:sz w:val="14"/>
              </w:rPr>
              <w:t>1999 Q4</w:t>
            </w:r>
          </w:p>
        </w:tc>
        <w:tc>
          <w:tcPr>
            <w:tcW w:w="441" w:type="dxa"/>
          </w:tcPr>
          <w:p>
            <w:pPr>
              <w:pStyle w:val="TableParagraph"/>
              <w:spacing w:line="133" w:lineRule="exact" w:before="56"/>
              <w:ind w:left="70"/>
              <w:rPr>
                <w:sz w:val="14"/>
              </w:rPr>
            </w:pPr>
            <w:r>
              <w:rPr>
                <w:sz w:val="14"/>
              </w:rPr>
              <w:t>20</w:t>
            </w:r>
          </w:p>
        </w:tc>
        <w:tc>
          <w:tcPr>
            <w:tcW w:w="484" w:type="dxa"/>
          </w:tcPr>
          <w:p>
            <w:pPr>
              <w:pStyle w:val="TableParagraph"/>
              <w:spacing w:line="133" w:lineRule="exact" w:before="56"/>
              <w:ind w:right="123"/>
              <w:jc w:val="center"/>
              <w:rPr>
                <w:sz w:val="14"/>
              </w:rPr>
            </w:pPr>
            <w:r>
              <w:rPr>
                <w:sz w:val="14"/>
              </w:rPr>
              <w:t>38</w:t>
            </w:r>
          </w:p>
        </w:tc>
        <w:tc>
          <w:tcPr>
            <w:tcW w:w="490" w:type="dxa"/>
          </w:tcPr>
          <w:p>
            <w:pPr>
              <w:pStyle w:val="TableParagraph"/>
              <w:spacing w:line="133" w:lineRule="exact" w:before="56"/>
              <w:ind w:left="105"/>
              <w:rPr>
                <w:sz w:val="14"/>
              </w:rPr>
            </w:pPr>
            <w:r>
              <w:rPr>
                <w:sz w:val="14"/>
              </w:rPr>
              <w:t>29</w:t>
            </w:r>
          </w:p>
        </w:tc>
        <w:tc>
          <w:tcPr>
            <w:tcW w:w="480" w:type="dxa"/>
          </w:tcPr>
          <w:p>
            <w:pPr>
              <w:pStyle w:val="TableParagraph"/>
              <w:spacing w:line="133" w:lineRule="exact" w:before="56"/>
              <w:ind w:left="95"/>
              <w:rPr>
                <w:sz w:val="14"/>
              </w:rPr>
            </w:pPr>
            <w:r>
              <w:rPr>
                <w:sz w:val="14"/>
              </w:rPr>
              <w:t>10</w:t>
            </w:r>
          </w:p>
        </w:tc>
        <w:tc>
          <w:tcPr>
            <w:tcW w:w="471" w:type="dxa"/>
          </w:tcPr>
          <w:p>
            <w:pPr>
              <w:pStyle w:val="TableParagraph"/>
              <w:spacing w:line="133" w:lineRule="exact" w:before="56"/>
              <w:ind w:right="68"/>
              <w:jc w:val="center"/>
              <w:rPr>
                <w:sz w:val="14"/>
              </w:rPr>
            </w:pPr>
            <w:r>
              <w:rPr>
                <w:sz w:val="14"/>
              </w:rPr>
              <w:t>3</w:t>
            </w:r>
          </w:p>
        </w:tc>
        <w:tc>
          <w:tcPr>
            <w:tcW w:w="466" w:type="dxa"/>
          </w:tcPr>
          <w:p>
            <w:pPr>
              <w:pStyle w:val="TableParagraph"/>
              <w:spacing w:line="133" w:lineRule="exact" w:before="56"/>
              <w:ind w:left="134"/>
              <w:rPr>
                <w:sz w:val="14"/>
              </w:rPr>
            </w:pPr>
            <w:r>
              <w:rPr>
                <w:sz w:val="14"/>
              </w:rPr>
              <w:t>1</w:t>
            </w:r>
          </w:p>
        </w:tc>
      </w:tr>
      <w:tr>
        <w:trPr>
          <w:trHeight w:val="139" w:hRule="atLeast"/>
        </w:trPr>
        <w:tc>
          <w:tcPr>
            <w:tcW w:w="1440" w:type="dxa"/>
          </w:tcPr>
          <w:p>
            <w:pPr>
              <w:pStyle w:val="TableParagraph"/>
              <w:ind w:left="50"/>
              <w:rPr>
                <w:sz w:val="14"/>
              </w:rPr>
            </w:pPr>
            <w:r>
              <w:rPr>
                <w:sz w:val="14"/>
              </w:rPr>
              <w:t>2000 Q4</w:t>
            </w:r>
          </w:p>
        </w:tc>
        <w:tc>
          <w:tcPr>
            <w:tcW w:w="441" w:type="dxa"/>
          </w:tcPr>
          <w:p>
            <w:pPr>
              <w:pStyle w:val="TableParagraph"/>
              <w:ind w:left="140"/>
              <w:rPr>
                <w:sz w:val="14"/>
              </w:rPr>
            </w:pPr>
            <w:r>
              <w:rPr>
                <w:sz w:val="14"/>
              </w:rPr>
              <w:t>7</w:t>
            </w:r>
          </w:p>
        </w:tc>
        <w:tc>
          <w:tcPr>
            <w:tcW w:w="484" w:type="dxa"/>
          </w:tcPr>
          <w:p>
            <w:pPr>
              <w:pStyle w:val="TableParagraph"/>
              <w:ind w:right="123"/>
              <w:jc w:val="center"/>
              <w:rPr>
                <w:sz w:val="14"/>
              </w:rPr>
            </w:pPr>
            <w:r>
              <w:rPr>
                <w:sz w:val="14"/>
              </w:rPr>
              <w:t>14</w:t>
            </w:r>
          </w:p>
        </w:tc>
        <w:tc>
          <w:tcPr>
            <w:tcW w:w="490" w:type="dxa"/>
          </w:tcPr>
          <w:p>
            <w:pPr>
              <w:pStyle w:val="TableParagraph"/>
              <w:ind w:left="105"/>
              <w:rPr>
                <w:sz w:val="14"/>
              </w:rPr>
            </w:pPr>
            <w:r>
              <w:rPr>
                <w:sz w:val="14"/>
              </w:rPr>
              <w:t>27</w:t>
            </w:r>
          </w:p>
        </w:tc>
        <w:tc>
          <w:tcPr>
            <w:tcW w:w="480" w:type="dxa"/>
          </w:tcPr>
          <w:p>
            <w:pPr>
              <w:pStyle w:val="TableParagraph"/>
              <w:ind w:left="95"/>
              <w:rPr>
                <w:sz w:val="14"/>
              </w:rPr>
            </w:pPr>
            <w:r>
              <w:rPr>
                <w:sz w:val="14"/>
              </w:rPr>
              <w:t>36</w:t>
            </w:r>
          </w:p>
        </w:tc>
        <w:tc>
          <w:tcPr>
            <w:tcW w:w="471" w:type="dxa"/>
          </w:tcPr>
          <w:p>
            <w:pPr>
              <w:pStyle w:val="TableParagraph"/>
              <w:ind w:left="95"/>
              <w:rPr>
                <w:sz w:val="14"/>
              </w:rPr>
            </w:pPr>
            <w:r>
              <w:rPr>
                <w:sz w:val="14"/>
              </w:rPr>
              <w:t>12</w:t>
            </w:r>
          </w:p>
        </w:tc>
        <w:tc>
          <w:tcPr>
            <w:tcW w:w="466" w:type="dxa"/>
          </w:tcPr>
          <w:p>
            <w:pPr>
              <w:pStyle w:val="TableParagraph"/>
              <w:ind w:left="134"/>
              <w:rPr>
                <w:sz w:val="14"/>
              </w:rPr>
            </w:pPr>
            <w:r>
              <w:rPr>
                <w:sz w:val="14"/>
              </w:rPr>
              <w:t>5</w:t>
            </w:r>
          </w:p>
        </w:tc>
      </w:tr>
      <w:tr>
        <w:trPr>
          <w:trHeight w:val="147" w:hRule="atLeast"/>
        </w:trPr>
        <w:tc>
          <w:tcPr>
            <w:tcW w:w="1440" w:type="dxa"/>
          </w:tcPr>
          <w:p>
            <w:pPr>
              <w:pStyle w:val="TableParagraph"/>
              <w:spacing w:line="128" w:lineRule="exact"/>
              <w:ind w:left="50"/>
              <w:rPr>
                <w:sz w:val="12"/>
              </w:rPr>
            </w:pPr>
            <w:r>
              <w:rPr>
                <w:sz w:val="14"/>
              </w:rPr>
              <w:t>2001 Q1 </w:t>
            </w:r>
            <w:r>
              <w:rPr>
                <w:sz w:val="12"/>
              </w:rPr>
              <w:t>(c)</w:t>
            </w:r>
          </w:p>
        </w:tc>
        <w:tc>
          <w:tcPr>
            <w:tcW w:w="441" w:type="dxa"/>
          </w:tcPr>
          <w:p>
            <w:pPr>
              <w:pStyle w:val="TableParagraph"/>
              <w:spacing w:line="128" w:lineRule="exact"/>
              <w:ind w:left="140"/>
              <w:rPr>
                <w:sz w:val="14"/>
              </w:rPr>
            </w:pPr>
            <w:r>
              <w:rPr>
                <w:sz w:val="14"/>
              </w:rPr>
              <w:t>5</w:t>
            </w:r>
          </w:p>
        </w:tc>
        <w:tc>
          <w:tcPr>
            <w:tcW w:w="484" w:type="dxa"/>
          </w:tcPr>
          <w:p>
            <w:pPr>
              <w:pStyle w:val="TableParagraph"/>
              <w:spacing w:line="128" w:lineRule="exact"/>
              <w:ind w:right="123"/>
              <w:jc w:val="center"/>
              <w:rPr>
                <w:sz w:val="14"/>
              </w:rPr>
            </w:pPr>
            <w:r>
              <w:rPr>
                <w:sz w:val="14"/>
              </w:rPr>
              <w:t>11</w:t>
            </w:r>
          </w:p>
        </w:tc>
        <w:tc>
          <w:tcPr>
            <w:tcW w:w="490" w:type="dxa"/>
          </w:tcPr>
          <w:p>
            <w:pPr>
              <w:pStyle w:val="TableParagraph"/>
              <w:spacing w:line="128" w:lineRule="exact"/>
              <w:ind w:left="105"/>
              <w:rPr>
                <w:sz w:val="14"/>
              </w:rPr>
            </w:pPr>
            <w:r>
              <w:rPr>
                <w:sz w:val="14"/>
              </w:rPr>
              <w:t>22</w:t>
            </w:r>
          </w:p>
        </w:tc>
        <w:tc>
          <w:tcPr>
            <w:tcW w:w="480" w:type="dxa"/>
          </w:tcPr>
          <w:p>
            <w:pPr>
              <w:pStyle w:val="TableParagraph"/>
              <w:spacing w:line="128" w:lineRule="exact"/>
              <w:ind w:left="95"/>
              <w:rPr>
                <w:sz w:val="14"/>
              </w:rPr>
            </w:pPr>
            <w:r>
              <w:rPr>
                <w:sz w:val="14"/>
              </w:rPr>
              <w:t>34</w:t>
            </w:r>
          </w:p>
        </w:tc>
        <w:tc>
          <w:tcPr>
            <w:tcW w:w="471" w:type="dxa"/>
          </w:tcPr>
          <w:p>
            <w:pPr>
              <w:pStyle w:val="TableParagraph"/>
              <w:spacing w:line="128" w:lineRule="exact"/>
              <w:ind w:left="95"/>
              <w:rPr>
                <w:sz w:val="14"/>
              </w:rPr>
            </w:pPr>
            <w:r>
              <w:rPr>
                <w:sz w:val="14"/>
              </w:rPr>
              <w:t>18</w:t>
            </w:r>
          </w:p>
        </w:tc>
        <w:tc>
          <w:tcPr>
            <w:tcW w:w="466" w:type="dxa"/>
          </w:tcPr>
          <w:p>
            <w:pPr>
              <w:pStyle w:val="TableParagraph"/>
              <w:spacing w:line="128" w:lineRule="exact"/>
              <w:ind w:left="64"/>
              <w:rPr>
                <w:sz w:val="14"/>
              </w:rPr>
            </w:pPr>
            <w:r>
              <w:rPr>
                <w:sz w:val="14"/>
              </w:rPr>
              <w:t>10</w:t>
            </w:r>
          </w:p>
        </w:tc>
      </w:tr>
    </w:tbl>
    <w:p>
      <w:pPr>
        <w:pStyle w:val="ListParagraph"/>
        <w:numPr>
          <w:ilvl w:val="0"/>
          <w:numId w:val="33"/>
        </w:numPr>
        <w:tabs>
          <w:tab w:pos="454" w:val="left" w:leader="none"/>
        </w:tabs>
        <w:spacing w:line="208" w:lineRule="auto" w:before="138" w:after="0"/>
        <w:ind w:left="453" w:right="38" w:hanging="280"/>
        <w:jc w:val="left"/>
        <w:rPr>
          <w:sz w:val="12"/>
        </w:rPr>
      </w:pPr>
      <w:r>
        <w:rPr>
          <w:sz w:val="12"/>
        </w:rPr>
        <w:t>29 other forecasters provided the Bank with their assessment of the likelihood, at three time horizons, of expected twelve-month RPIX inflation and four-quarter output growth falling in the ranges shown above. This table represents the means of the responses for each range. For example, on average, forecasters assign a probability of 16% to inflation turning out to be less than 1.5% in 2001 Q1. </w:t>
      </w:r>
      <w:r>
        <w:rPr>
          <w:spacing w:val="-5"/>
          <w:sz w:val="12"/>
        </w:rPr>
        <w:t>Rows </w:t>
      </w:r>
      <w:r>
        <w:rPr>
          <w:sz w:val="12"/>
        </w:rPr>
        <w:t>may not sum to 100 because of rounding.</w:t>
      </w:r>
    </w:p>
    <w:p>
      <w:pPr>
        <w:pStyle w:val="ListParagraph"/>
        <w:numPr>
          <w:ilvl w:val="0"/>
          <w:numId w:val="33"/>
        </w:numPr>
        <w:tabs>
          <w:tab w:pos="455" w:val="left" w:leader="none"/>
        </w:tabs>
        <w:spacing w:line="114" w:lineRule="exact" w:before="0" w:after="0"/>
        <w:ind w:left="454" w:right="0" w:hanging="281"/>
        <w:jc w:val="left"/>
        <w:rPr>
          <w:sz w:val="12"/>
        </w:rPr>
      </w:pPr>
      <w:r>
        <w:rPr>
          <w:sz w:val="12"/>
        </w:rPr>
        <w:t>27 forecasters.</w:t>
      </w:r>
    </w:p>
    <w:p>
      <w:pPr>
        <w:pStyle w:val="ListParagraph"/>
        <w:numPr>
          <w:ilvl w:val="0"/>
          <w:numId w:val="33"/>
        </w:numPr>
        <w:tabs>
          <w:tab w:pos="454" w:val="left" w:leader="none"/>
        </w:tabs>
        <w:spacing w:line="129" w:lineRule="exact" w:before="0" w:after="0"/>
        <w:ind w:left="453" w:right="0" w:hanging="280"/>
        <w:jc w:val="left"/>
        <w:rPr>
          <w:sz w:val="12"/>
        </w:rPr>
      </w:pPr>
      <w:r>
        <w:rPr>
          <w:sz w:val="12"/>
        </w:rPr>
        <w:t>26 forecasters.</w:t>
      </w:r>
    </w:p>
    <w:p>
      <w:pPr>
        <w:pStyle w:val="Heading4"/>
        <w:spacing w:line="242" w:lineRule="auto"/>
        <w:ind w:left="173" w:right="208"/>
      </w:pPr>
      <w:r>
        <w:rPr/>
        <w:br w:type="column"/>
      </w:r>
      <w:r>
        <w:rPr/>
        <w:t>year to 2001 Q1 (with a range of /</w:t>
      </w:r>
      <w:r>
        <w:rPr>
          <w:sz w:val="12"/>
        </w:rPr>
        <w:t>4</w:t>
      </w:r>
      <w:r>
        <w:rPr/>
        <w:t>% to 3 /</w:t>
      </w:r>
      <w:r>
        <w:rPr>
          <w:sz w:val="12"/>
        </w:rPr>
        <w:t>2</w:t>
      </w:r>
      <w:r>
        <w:rPr/>
        <w:t>%). The estimate for 1999 Q4 is similar to that at the time of the November </w:t>
      </w:r>
      <w:r>
        <w:rPr>
          <w:i/>
        </w:rPr>
        <w:t>Report</w:t>
      </w:r>
      <w:r>
        <w:rPr/>
        <w:t>. Overall, the forecasters assign a 20% probability to output growth falling below zero in the year to 1999 Q4, compared with 21% at the time of the October survey.</w:t>
      </w:r>
    </w:p>
    <w:p>
      <w:pPr>
        <w:pStyle w:val="BodyText"/>
        <w:rPr>
          <w:sz w:val="26"/>
        </w:rPr>
      </w:pPr>
    </w:p>
    <w:p>
      <w:pPr>
        <w:pStyle w:val="BodyText"/>
        <w:rPr>
          <w:sz w:val="26"/>
        </w:rPr>
      </w:pPr>
    </w:p>
    <w:p>
      <w:pPr>
        <w:pStyle w:val="BodyText"/>
        <w:spacing w:before="6"/>
        <w:rPr>
          <w:sz w:val="22"/>
        </w:rPr>
      </w:pPr>
    </w:p>
    <w:p>
      <w:pPr>
        <w:spacing w:line="242" w:lineRule="auto" w:before="0"/>
        <w:ind w:left="173" w:right="208" w:firstLine="0"/>
        <w:jc w:val="left"/>
        <w:rPr>
          <w:b/>
          <w:sz w:val="24"/>
        </w:rPr>
      </w:pPr>
      <w:r>
        <w:rPr>
          <w:b/>
          <w:sz w:val="24"/>
        </w:rPr>
        <w:t>The implications of the latest projections for the stance of monetary policy are discussed in the </w:t>
      </w:r>
      <w:hyperlink w:history="true" w:anchor="_bookmark0">
        <w:r>
          <w:rPr>
            <w:b/>
            <w:sz w:val="24"/>
          </w:rPr>
          <w:t>Overview</w:t>
        </w:r>
      </w:hyperlink>
      <w:r>
        <w:rPr>
          <w:b/>
          <w:sz w:val="24"/>
        </w:rPr>
        <w:t> at the beginning of the </w:t>
      </w:r>
      <w:r>
        <w:rPr>
          <w:b/>
          <w:i/>
          <w:color w:val="231F20"/>
          <w:sz w:val="24"/>
        </w:rPr>
        <w:t>Report</w:t>
      </w:r>
      <w:r>
        <w:rPr>
          <w:b/>
          <w:color w:val="231F20"/>
          <w:sz w:val="24"/>
        </w:rPr>
        <w:t>.</w:t>
      </w:r>
    </w:p>
    <w:p>
      <w:pPr>
        <w:spacing w:after="0" w:line="242" w:lineRule="auto"/>
        <w:jc w:val="left"/>
        <w:rPr>
          <w:sz w:val="24"/>
        </w:rPr>
        <w:sectPr>
          <w:type w:val="continuous"/>
          <w:pgSz w:w="11900" w:h="16840"/>
          <w:pgMar w:top="1220" w:bottom="280" w:left="640" w:right="600"/>
          <w:cols w:num="2" w:equalWidth="0">
            <w:col w:w="4447" w:space="328"/>
            <w:col w:w="5885"/>
          </w:cols>
        </w:sectPr>
      </w:pPr>
    </w:p>
    <w:p>
      <w:pPr>
        <w:pStyle w:val="BodyText"/>
        <w:rPr>
          <w:b/>
          <w:sz w:val="20"/>
        </w:rPr>
      </w:pPr>
      <w:r>
        <w:rPr/>
        <w:pict>
          <v:group style="position:absolute;margin-left:39pt;margin-top:39.669998pt;width:517pt;height:740.35pt;mso-position-horizontal-relative:page;mso-position-vertical-relative:page;z-index:-20913152" coordorigin="780,793" coordsize="10340,14807">
            <v:shape style="position:absolute;left:940;top:953;width:10020;height:14487" coordorigin="940,953" coordsize="10020,14487" path="m10960,953l5964,953,5936,953,940,953,940,8168,940,8226,940,15440,5936,15440,5964,15440,10960,15440,10960,8225,10960,8168,10960,953xe" filled="true" fillcolor="#c3e0dc" stroked="false">
              <v:path arrowok="t"/>
              <v:fill type="solid"/>
            </v:shape>
            <v:shape style="position:absolute;left:1016;top:1073;width:9867;height:14248" coordorigin="1017,1073" coordsize="9867,14248" path="m5950,1073l1017,8197,5950,15320,10883,8197,5950,1073xe" filled="true" fillcolor="#c4e1dd" stroked="false">
              <v:path arrowok="t"/>
              <v:fill type="solid"/>
            </v:shape>
            <v:shape style="position:absolute;left:1113;top:1212;width:9673;height:13968" coordorigin="1113,1213" coordsize="9673,13968" path="m5950,1213l1113,8197,5950,15180,10786,8197,5950,1213xe" filled="true" fillcolor="#c5e1dd" stroked="false">
              <v:path arrowok="t"/>
              <v:fill type="solid"/>
            </v:shape>
            <v:shape style="position:absolute;left:1210;top:1352;width:9480;height:13689" coordorigin="1210,1352" coordsize="9480,13689" path="m5950,1352l1210,8197,5950,15041,10690,8197,5950,1352xe" filled="true" fillcolor="#c6e2de" stroked="false">
              <v:path arrowok="t"/>
              <v:fill type="solid"/>
            </v:shape>
            <v:shape style="position:absolute;left:1306;top:1492;width:9286;height:13410" coordorigin="1307,1492" coordsize="9286,13410" path="m5950,1492l1307,8197,5950,14901,10593,8197,5950,1492xe" filled="true" fillcolor="#c7e2df" stroked="false">
              <v:path arrowok="t"/>
              <v:fill type="solid"/>
            </v:shape>
            <v:shape style="position:absolute;left:1403;top:1631;width:9093;height:13130" coordorigin="1404,1632" coordsize="9093,13130" path="m5950,1632l1404,8197,5950,14761,10496,8197,5950,1632xe" filled="true" fillcolor="#c8e3df" stroked="false">
              <v:path arrowok="t"/>
              <v:fill type="solid"/>
            </v:shape>
            <v:shape style="position:absolute;left:1500;top:1771;width:8900;height:12851" coordorigin="1500,1771" coordsize="8900,12851" path="m5950,1771l1500,8197,5950,14622,10399,8197,5950,1771xe" filled="true" fillcolor="#c9e3e0" stroked="false">
              <v:path arrowok="t"/>
              <v:fill type="solid"/>
            </v:shape>
            <v:shape style="position:absolute;left:1597;top:1911;width:8706;height:12571" coordorigin="1597,1911" coordsize="8706,12571" path="m5950,1911l1597,8197,5950,14482,10303,8197,5950,1911xe" filled="true" fillcolor="#cae4e0" stroked="false">
              <v:path arrowok="t"/>
              <v:fill type="solid"/>
            </v:shape>
            <v:shape style="position:absolute;left:1693;top:2050;width:8513;height:12292" coordorigin="1694,2051" coordsize="8513,12292" path="m5950,2051l1694,8197,5950,14342,10206,8197,5950,2051xe" filled="true" fillcolor="#cbe4e1" stroked="false">
              <v:path arrowok="t"/>
              <v:fill type="solid"/>
            </v:shape>
            <v:shape style="position:absolute;left:1790;top:2190;width:8319;height:12013" coordorigin="1791,2191" coordsize="8319,12013" path="m5950,2191l1791,8197,5950,14203,10109,8197,5950,2191xe" filled="true" fillcolor="#cce5e1" stroked="false">
              <v:path arrowok="t"/>
              <v:fill type="solid"/>
            </v:shape>
            <v:shape style="position:absolute;left:1887;top:2330;width:8126;height:11733" coordorigin="1887,2330" coordsize="8126,11733" path="m5950,2330l1887,8197,5950,14063,10012,8197,5950,2330xe" filled="true" fillcolor="#cde5e2" stroked="false">
              <v:path arrowok="t"/>
              <v:fill type="solid"/>
            </v:shape>
            <v:shape style="position:absolute;left:1984;top:2469;width:7932;height:11454" coordorigin="1984,2470" coordsize="7932,11454" path="m5950,2470l1984,8197,5950,13923,9916,8197,5950,2470xe" filled="true" fillcolor="#cee6e3" stroked="false">
              <v:path arrowok="t"/>
              <v:fill type="solid"/>
            </v:shape>
            <v:shape style="position:absolute;left:2080;top:2609;width:7739;height:11175" coordorigin="2081,2610" coordsize="7739,11175" path="m5950,2610l2081,8197,5950,13784,9819,8197,5950,2610xe" filled="true" fillcolor="#cfe6e3" stroked="false">
              <v:path arrowok="t"/>
              <v:fill type="solid"/>
            </v:shape>
            <v:shape style="position:absolute;left:2177;top:2749;width:7545;height:10895" coordorigin="2177,2749" coordsize="7545,10895" path="m5950,2749l2177,8197,5950,13644,9722,8197,5950,2749xe" filled="true" fillcolor="#d0e7e4" stroked="false">
              <v:path arrowok="t"/>
              <v:fill type="solid"/>
            </v:shape>
            <v:shape style="position:absolute;left:2274;top:2888;width:7352;height:10616" coordorigin="2274,2889" coordsize="7352,10616" path="m5950,2889l2274,8197,5950,13504,9626,8197,5950,2889xe" filled="true" fillcolor="#d1e7e4" stroked="false">
              <v:path arrowok="t"/>
              <v:fill type="solid"/>
            </v:shape>
            <v:shape style="position:absolute;left:2370;top:3028;width:7158;height:10337" coordorigin="2371,3029" coordsize="7158,10337" path="m5950,3029l2371,8197,5950,13365,9529,8197,5950,3029xe" filled="true" fillcolor="#d3e8e5" stroked="false">
              <v:path arrowok="t"/>
              <v:fill type="solid"/>
            </v:shape>
            <v:shape style="position:absolute;left:2467;top:3168;width:6965;height:10057" coordorigin="2468,3168" coordsize="6965,10057" path="m5950,3168l2468,8197,5950,13225,9432,8197,5950,3168xe" filled="true" fillcolor="#d4e8e5" stroked="false">
              <v:path arrowok="t"/>
              <v:fill type="solid"/>
            </v:shape>
            <v:shape style="position:absolute;left:2564;top:3307;width:6771;height:9778" coordorigin="2564,3308" coordsize="6771,9778" path="m5950,3308l2564,8197,5950,13085,9335,8197,5950,3308xe" filled="true" fillcolor="#d5e9e6" stroked="false">
              <v:path arrowok="t"/>
              <v:fill type="solid"/>
            </v:shape>
            <v:shape style="position:absolute;left:2661;top:3447;width:6578;height:9499" coordorigin="2661,3448" coordsize="6578,9499" path="m5950,3448l2661,8197,5950,12946,9239,8197,5950,3448xe" filled="true" fillcolor="#d6eae7" stroked="false">
              <v:path arrowok="t"/>
              <v:fill type="solid"/>
            </v:shape>
            <v:shape style="position:absolute;left:2757;top:3587;width:6385;height:9219" coordorigin="2758,3587" coordsize="6385,9219" path="m5950,3587l2758,8197,5950,12806,9142,8197,5950,3587xe" filled="true" fillcolor="#d7eae7" stroked="false">
              <v:path arrowok="t"/>
              <v:fill type="solid"/>
            </v:shape>
            <v:shape style="position:absolute;left:2854;top:3726;width:6191;height:8940" coordorigin="2855,3727" coordsize="6191,8940" path="m5950,3727l2855,8197,5950,12666,9045,8197,5950,3727xe" filled="true" fillcolor="#d8ebe8" stroked="false">
              <v:path arrowok="t"/>
              <v:fill type="solid"/>
            </v:shape>
            <v:shape style="position:absolute;left:2951;top:3866;width:5998;height:8660" coordorigin="2951,3867" coordsize="5998,8660" path="m5950,3867l2951,8197,5950,12527,8948,8197,5950,3867xe" filled="true" fillcolor="#d9ebe8" stroked="false">
              <v:path arrowok="t"/>
              <v:fill type="solid"/>
            </v:shape>
            <v:shape style="position:absolute;left:3048;top:4006;width:5804;height:8381" coordorigin="3048,4006" coordsize="5804,8381" path="m5950,4006l3048,8197,5950,12387,8852,8197,5950,4006xe" filled="true" fillcolor="#daece9" stroked="false">
              <v:path arrowok="t"/>
              <v:fill type="solid"/>
            </v:shape>
            <v:shape style="position:absolute;left:3144;top:4145;width:5611;height:8102" coordorigin="3145,4146" coordsize="5611,8102" path="m5950,4146l3145,8197,5950,12247,8755,8197,5950,4146xe" filled="true" fillcolor="#dbece9" stroked="false">
              <v:path arrowok="t"/>
              <v:fill type="solid"/>
            </v:shape>
            <v:shape style="position:absolute;left:3241;top:4285;width:5417;height:7822" coordorigin="3241,4286" coordsize="5417,7822" path="m5950,4286l3241,8197,5950,12108,8658,8197,5950,4286xe" filled="true" fillcolor="#dcedea" stroked="false">
              <v:path arrowok="t"/>
              <v:fill type="solid"/>
            </v:shape>
            <v:shape style="position:absolute;left:3338;top:4425;width:5224;height:7543" coordorigin="3338,4425" coordsize="5224,7543" path="m5950,4425l3338,8197,5950,11968,8562,8197,5950,4425xe" filled="true" fillcolor="#ddedeb" stroked="false">
              <v:path arrowok="t"/>
              <v:fill type="solid"/>
            </v:shape>
            <v:shape style="position:absolute;left:3434;top:4565;width:5030;height:7264" coordorigin="3435,4565" coordsize="5030,7264" path="m5950,4565l3435,8197,5950,11828,8465,8197,5950,4565xe" filled="true" fillcolor="#deeeeb" stroked="false">
              <v:path arrowok="t"/>
              <v:fill type="solid"/>
            </v:shape>
            <v:shape style="position:absolute;left:3531;top:4704;width:4837;height:6984" coordorigin="3532,4705" coordsize="4837,6984" path="m5950,4705l3532,8197,5950,11689,8368,8197,5950,4705xe" filled="true" fillcolor="#e0efec" stroked="false">
              <v:path arrowok="t"/>
              <v:fill type="solid"/>
            </v:shape>
            <v:shape style="position:absolute;left:3628;top:4844;width:4643;height:6705" coordorigin="3628,4844" coordsize="4643,6705" path="m5950,4844l3628,8197,5950,11549,8271,8197,5950,4844xe" filled="true" fillcolor="#e1efec" stroked="false">
              <v:path arrowok="t"/>
              <v:fill type="solid"/>
            </v:shape>
            <v:shape style="position:absolute;left:3725;top:4984;width:4450;height:6426" coordorigin="3725,4984" coordsize="4450,6426" path="m5950,4984l3725,8197,5950,11409,8175,8197,5950,4984xe" filled="true" fillcolor="#e2f0ed" stroked="false">
              <v:path arrowok="t"/>
              <v:fill type="solid"/>
            </v:shape>
            <v:shape style="position:absolute;left:3821;top:5123;width:4257;height:6146" coordorigin="3822,5124" coordsize="4257,6146" path="m5950,5124l3822,8197,5950,11270,8078,8197,5950,5124xe" filled="true" fillcolor="#e3f0ee" stroked="false">
              <v:path arrowok="t"/>
              <v:fill type="solid"/>
            </v:shape>
            <v:shape style="position:absolute;left:3918;top:5263;width:4063;height:5867" coordorigin="3919,5263" coordsize="4063,5867" path="m5950,5263l3919,8197,5950,11130,7981,8197,5950,5263xe" filled="true" fillcolor="#e4f1ee" stroked="false">
              <v:path arrowok="t"/>
              <v:fill type="solid"/>
            </v:shape>
            <v:shape style="position:absolute;left:4015;top:5403;width:3870;height:5588" coordorigin="4015,5403" coordsize="3870,5588" path="m5950,5403l4015,8197,5950,10990,7884,8197,5950,5403xe" filled="true" fillcolor="#e5f1ef" stroked="false">
              <v:path arrowok="t"/>
              <v:fill type="solid"/>
            </v:shape>
            <v:shape style="position:absolute;left:4112;top:5542;width:3676;height:5308" coordorigin="4112,5543" coordsize="3676,5308" path="m5950,5543l4112,8197,5950,10851,7788,8197,5950,5543xe" filled="true" fillcolor="#e6f2ef" stroked="false">
              <v:path arrowok="t"/>
              <v:fill type="solid"/>
            </v:shape>
            <v:shape style="position:absolute;left:4208;top:5682;width:3483;height:5029" coordorigin="4209,5682" coordsize="3483,5029" path="m5950,5682l4209,8197,5950,10711,7691,8197,5950,5682xe" filled="true" fillcolor="#e7f3f0" stroked="false">
              <v:path arrowok="t"/>
              <v:fill type="solid"/>
            </v:shape>
            <v:shape style="position:absolute;left:4305;top:5822;width:3289;height:4750" coordorigin="4305,5822" coordsize="3289,4750" path="m5950,5822l4305,8197,5950,10571,7594,8197,5950,5822xe" filled="true" fillcolor="#e9f3f1" stroked="false">
              <v:path arrowok="t"/>
              <v:fill type="solid"/>
            </v:shape>
            <v:shape style="position:absolute;left:4402;top:5961;width:3096;height:4470" coordorigin="4402,5962" coordsize="3096,4470" path="m5950,5962l4402,8197,5950,10431,7498,8197,5950,5962xe" filled="true" fillcolor="#eaf4f2" stroked="false">
              <v:path arrowok="t"/>
              <v:fill type="solid"/>
            </v:shape>
            <v:shape style="position:absolute;left:4498;top:6101;width:2902;height:4191" coordorigin="4499,6101" coordsize="2902,4191" path="m5950,6101l4499,8197,5950,10292,7401,8197,5950,6101xe" filled="true" fillcolor="#ebf4f2" stroked="false">
              <v:path arrowok="t"/>
              <v:fill type="solid"/>
            </v:shape>
            <v:shape style="position:absolute;left:4595;top:6241;width:2709;height:3911" coordorigin="4596,6241" coordsize="2709,3911" path="m5950,6241l4596,8197,5950,10152,7304,8197,5950,6241xe" filled="true" fillcolor="#ecf5f3" stroked="false">
              <v:path arrowok="t"/>
              <v:fill type="solid"/>
            </v:shape>
            <v:shape style="position:absolute;left:4692;top:6380;width:2515;height:3632" coordorigin="4692,6381" coordsize="2515,3632" path="m5950,6381l4692,8197,5950,10012,7207,8197,5950,6381xe" filled="true" fillcolor="#edf6f4" stroked="false">
              <v:path arrowok="t"/>
              <v:fill type="solid"/>
            </v:shape>
            <v:shape style="position:absolute;left:4789;top:6520;width:2322;height:3353" coordorigin="4789,6521" coordsize="2322,3353" path="m5950,6521l4789,8197,5950,9873,7111,8197,5950,6521xe" filled="true" fillcolor="#eff7f5" stroked="false">
              <v:path arrowok="t"/>
              <v:fill type="solid"/>
            </v:shape>
            <v:shape style="position:absolute;left:4885;top:6660;width:2129;height:3073" coordorigin="4886,6660" coordsize="2129,3073" path="m5950,6660l4886,8197,5950,9733,7014,8197,5950,6660xe" filled="true" fillcolor="#f0f7f5" stroked="false">
              <v:path arrowok="t"/>
              <v:fill type="solid"/>
            </v:shape>
            <v:shape style="position:absolute;left:4982;top:6799;width:1935;height:2794" coordorigin="4983,6800" coordsize="1935,2794" path="m5950,6800l4983,8197,5950,9593,6917,8197,5950,6800xe" filled="true" fillcolor="#f1f8f6" stroked="false">
              <v:path arrowok="t"/>
              <v:fill type="solid"/>
            </v:shape>
            <v:shape style="position:absolute;left:5079;top:6939;width:1742;height:2515" coordorigin="5079,6940" coordsize="1742,2515" path="m5950,6940l5079,8197,5950,9454,6820,8197,5950,6940xe" filled="true" fillcolor="#f2f8f7" stroked="false">
              <v:path arrowok="t"/>
              <v:fill type="solid"/>
            </v:shape>
            <v:shape style="position:absolute;left:5176;top:7079;width:1548;height:2235" coordorigin="5176,7079" coordsize="1548,2235" path="m5950,7079l5176,8197,5950,9314,6724,8197,5950,7079xe" filled="true" fillcolor="#f3f9f8" stroked="false">
              <v:path arrowok="t"/>
              <v:fill type="solid"/>
            </v:shape>
            <v:shape style="position:absolute;left:5272;top:7218;width:1355;height:1956" coordorigin="5273,7219" coordsize="1355,1956" path="m5950,7219l5273,8197,5950,9174,6627,8197,5950,7219xe" filled="true" fillcolor="#f5f9f8" stroked="false">
              <v:path arrowok="t"/>
              <v:fill type="solid"/>
            </v:shape>
            <v:shape style="position:absolute;left:5369;top:7358;width:1161;height:1677" coordorigin="5370,7359" coordsize="1161,1677" path="m5950,7359l5370,8197,5950,9035,6530,8197,5950,7359xe" filled="true" fillcolor="#f6faf9" stroked="false">
              <v:path arrowok="t"/>
              <v:fill type="solid"/>
            </v:shape>
            <v:shape style="position:absolute;left:5466;top:7498;width:968;height:1397" coordorigin="5466,7498" coordsize="968,1397" path="m5950,7498l5466,8197,5950,8895,6434,8197,5950,7498xe" filled="true" fillcolor="#f8fbfa" stroked="false">
              <v:path arrowok="t"/>
              <v:fill type="solid"/>
            </v:shape>
            <v:shape style="position:absolute;left:5562;top:7637;width:774;height:1118" coordorigin="5563,7638" coordsize="774,1118" path="m5950,7638l5563,8197,5950,8755,6337,8197,5950,7638xe" filled="true" fillcolor="#f9fcfc" stroked="false">
              <v:path arrowok="t"/>
              <v:fill type="solid"/>
            </v:shape>
            <v:shape style="position:absolute;left:5659;top:7777;width:581;height:839" coordorigin="5660,7778" coordsize="581,839" path="m5950,7778l5660,8197,5950,8616,6240,8197,5950,7778xe" filled="true" fillcolor="#fbfdfd" stroked="false">
              <v:path arrowok="t"/>
              <v:fill type="solid"/>
            </v:shape>
            <v:shape style="position:absolute;left:5756;top:7917;width:387;height:559" coordorigin="5756,7917" coordsize="387,559" path="m5950,7917l5756,8197,5950,8476,6143,8197,5950,7917xe" filled="true" fillcolor="#fdfefe" stroked="false">
              <v:path arrowok="t"/>
              <v:fill type="solid"/>
            </v:shape>
            <v:shape style="position:absolute;left:5853;top:8056;width:194;height:280" coordorigin="5853,8057" coordsize="194,280" path="m5950,8057l5853,8197,5950,8336,6047,8197,5950,8057xe" filled="true" fillcolor="#ffffff" stroked="false">
              <v:path arrowok="t"/>
              <v:fill type="solid"/>
            </v:shape>
            <v:rect style="position:absolute;left:820;top:833;width:10260;height:14727" filled="false" stroked="true" strokeweight="4pt" strokecolor="#009483">
              <v:stroke dashstyle="solid"/>
            </v:rect>
            <v:rect style="position:absolute;left:926;top:939;width:10048;height:14515" filled="false" stroked="true" strokeweight="1.37pt" strokecolor="#009483">
              <v:stroke dashstyle="solid"/>
            </v:rect>
            <v:rect style="position:absolute;left:1533;top:1473;width:8840;height:13460" filled="false" stroked="true" strokeweight="2pt" strokecolor="#009483">
              <v:stroke dashstyle="solid"/>
            </v:rect>
            <v:rect style="position:absolute;left:1587;top:1527;width:8733;height:13353" filled="false" stroked="true" strokeweight=".62pt" strokecolor="#009483">
              <v:stroke dashstyle="solid"/>
            </v:rect>
            <v:shape style="position:absolute;left:3078;top:7233;width:5863;height:5887" type="#_x0000_t75" stroked="false">
              <v:imagedata r:id="rId120" o:title=""/>
            </v:shape>
            <w10:wrap type="none"/>
          </v:group>
        </w:pict>
      </w:r>
    </w:p>
    <w:p>
      <w:pPr>
        <w:pStyle w:val="BodyText"/>
        <w:rPr>
          <w:b/>
          <w:sz w:val="20"/>
        </w:rPr>
      </w:pPr>
    </w:p>
    <w:p>
      <w:pPr>
        <w:pStyle w:val="BodyText"/>
        <w:rPr>
          <w:b/>
          <w:sz w:val="20"/>
        </w:rPr>
      </w:pPr>
    </w:p>
    <w:p>
      <w:pPr>
        <w:pStyle w:val="BodyText"/>
        <w:rPr>
          <w:b/>
          <w:sz w:val="20"/>
        </w:rPr>
      </w:pPr>
    </w:p>
    <w:p>
      <w:pPr>
        <w:pStyle w:val="BodyText"/>
        <w:rPr>
          <w:b/>
          <w:sz w:val="20"/>
        </w:rPr>
      </w:pPr>
    </w:p>
    <w:p>
      <w:pPr>
        <w:spacing w:line="665" w:lineRule="exact" w:before="212"/>
        <w:ind w:left="1971" w:right="1898" w:firstLine="0"/>
        <w:jc w:val="center"/>
        <w:rPr>
          <w:b/>
          <w:sz w:val="60"/>
        </w:rPr>
      </w:pPr>
      <w:bookmarkStart w:name="Monetary Policy Commitee meeting minutes" w:id="85"/>
      <w:bookmarkEnd w:id="85"/>
      <w:r>
        <w:rPr/>
      </w:r>
      <w:bookmarkStart w:name="_bookmark35" w:id="86"/>
      <w:bookmarkEnd w:id="86"/>
      <w:r>
        <w:rPr/>
      </w:r>
      <w:r>
        <w:rPr>
          <w:b/>
          <w:color w:val="231F20"/>
          <w:sz w:val="60"/>
        </w:rPr>
        <w:t>Annex:</w:t>
      </w:r>
    </w:p>
    <w:p>
      <w:pPr>
        <w:spacing w:line="223" w:lineRule="auto" w:before="15"/>
        <w:ind w:left="1975" w:right="1898" w:firstLine="0"/>
        <w:jc w:val="center"/>
        <w:rPr>
          <w:b/>
          <w:sz w:val="60"/>
        </w:rPr>
      </w:pPr>
      <w:r>
        <w:rPr>
          <w:b/>
          <w:color w:val="231F20"/>
          <w:sz w:val="60"/>
        </w:rPr>
        <w:t>Minutes and Press Notices of the monthly</w:t>
      </w:r>
    </w:p>
    <w:p>
      <w:pPr>
        <w:spacing w:line="223" w:lineRule="auto" w:before="0"/>
        <w:ind w:left="1734" w:right="1658" w:firstLine="0"/>
        <w:jc w:val="center"/>
        <w:rPr>
          <w:b/>
          <w:sz w:val="60"/>
        </w:rPr>
      </w:pPr>
      <w:r>
        <w:rPr>
          <w:b/>
          <w:color w:val="231F20"/>
          <w:sz w:val="60"/>
        </w:rPr>
        <w:t>Monetary Policy Committee meetings</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1"/>
        <w:rPr>
          <w:b/>
          <w:sz w:val="16"/>
        </w:rPr>
      </w:pPr>
    </w:p>
    <w:p>
      <w:pPr>
        <w:spacing w:before="93"/>
        <w:ind w:left="0" w:right="199" w:firstLine="0"/>
        <w:jc w:val="right"/>
        <w:rPr>
          <w:sz w:val="16"/>
        </w:rPr>
      </w:pPr>
      <w:r>
        <w:rPr>
          <w:color w:val="231F20"/>
          <w:sz w:val="16"/>
        </w:rPr>
        <w:t>55</w:t>
      </w:r>
    </w:p>
    <w:p>
      <w:pPr>
        <w:spacing w:after="0"/>
        <w:jc w:val="right"/>
        <w:rPr>
          <w:sz w:val="16"/>
        </w:rPr>
        <w:sectPr>
          <w:headerReference w:type="even" r:id="rId118"/>
          <w:footerReference w:type="even" r:id="rId119"/>
          <w:pgSz w:w="11900" w:h="16840"/>
          <w:pgMar w:header="0" w:footer="0" w:top="800" w:bottom="280" w:left="640" w:right="600"/>
        </w:sectPr>
      </w:pPr>
    </w:p>
    <w:p>
      <w:pPr>
        <w:pStyle w:val="BodyText"/>
        <w:rPr>
          <w:sz w:val="20"/>
        </w:rPr>
      </w:pPr>
    </w:p>
    <w:p>
      <w:pPr>
        <w:pStyle w:val="BodyText"/>
        <w:rPr>
          <w:sz w:val="20"/>
        </w:rPr>
      </w:pPr>
    </w:p>
    <w:p>
      <w:pPr>
        <w:pStyle w:val="BodyText"/>
        <w:spacing w:before="2"/>
        <w:rPr>
          <w:sz w:val="20"/>
        </w:rPr>
      </w:pPr>
    </w:p>
    <w:p>
      <w:pPr>
        <w:pStyle w:val="Heading1"/>
        <w:ind w:left="170"/>
      </w:pPr>
      <w:bookmarkStart w:name="November minutes" w:id="87"/>
      <w:bookmarkEnd w:id="87"/>
      <w:r>
        <w:rPr>
          <w:b w:val="0"/>
        </w:rPr>
      </w:r>
      <w:bookmarkStart w:name="_bookmark36" w:id="88"/>
      <w:bookmarkEnd w:id="88"/>
      <w:r>
        <w:rPr>
          <w:b w:val="0"/>
        </w:rPr>
      </w:r>
      <w:r>
        <w:rPr>
          <w:color w:val="009483"/>
        </w:rPr>
        <w:t>Minutes of the Monetary Policy Committee meeting on 4–5 November 1998</w:t>
      </w:r>
    </w:p>
    <w:p>
      <w:pPr>
        <w:pStyle w:val="BodyText"/>
        <w:spacing w:before="1"/>
        <w:rPr>
          <w:b/>
          <w:sz w:val="28"/>
        </w:rPr>
      </w:pPr>
    </w:p>
    <w:p>
      <w:pPr>
        <w:spacing w:after="0"/>
        <w:rPr>
          <w:sz w:val="28"/>
        </w:rPr>
        <w:sectPr>
          <w:headerReference w:type="default" r:id="rId121"/>
          <w:headerReference w:type="even" r:id="rId122"/>
          <w:footerReference w:type="default" r:id="rId123"/>
          <w:footerReference w:type="even" r:id="rId124"/>
          <w:pgSz w:w="11900" w:h="16840"/>
          <w:pgMar w:header="566" w:footer="597" w:top="760" w:bottom="780" w:left="640" w:right="600"/>
          <w:pgNumType w:start="57"/>
        </w:sectPr>
      </w:pPr>
    </w:p>
    <w:p>
      <w:pPr>
        <w:pStyle w:val="ListParagraph"/>
        <w:numPr>
          <w:ilvl w:val="0"/>
          <w:numId w:val="34"/>
        </w:numPr>
        <w:tabs>
          <w:tab w:pos="639" w:val="left" w:leader="none"/>
          <w:tab w:pos="641" w:val="left" w:leader="none"/>
        </w:tabs>
        <w:spacing w:line="232" w:lineRule="auto" w:before="97" w:after="0"/>
        <w:ind w:left="160" w:right="102" w:firstLine="0"/>
        <w:jc w:val="left"/>
        <w:rPr>
          <w:sz w:val="18"/>
        </w:rPr>
      </w:pPr>
      <w:r>
        <w:rPr>
          <w:color w:val="231F20"/>
          <w:sz w:val="18"/>
        </w:rPr>
        <w:t>In the context of completing its quarterly inflation and activity projections, the Committee discussed the indications from surveys and from the Bank’s regional Agents of a sharp slowdown in economic growth; how to gauge labour market conditions </w:t>
      </w:r>
      <w:r>
        <w:rPr>
          <w:color w:val="231F20"/>
          <w:spacing w:val="-4"/>
          <w:sz w:val="18"/>
        </w:rPr>
        <w:t>given </w:t>
      </w:r>
      <w:r>
        <w:rPr>
          <w:color w:val="231F20"/>
          <w:sz w:val="18"/>
        </w:rPr>
        <w:t>the problems with the Average Earnings Index (AEI); the world economic outlook; and monetary and financial market conditions, including whether a material tightening of credit conditions had occurred or was in prospect. Prior to the meeting, the Committee was briefed by Treasury officials on the Chancellor’s latest projections for economic activity and the public finances.</w:t>
      </w:r>
    </w:p>
    <w:p>
      <w:pPr>
        <w:pStyle w:val="BodyText"/>
        <w:rPr>
          <w:sz w:val="20"/>
        </w:rPr>
      </w:pPr>
    </w:p>
    <w:p>
      <w:pPr>
        <w:pStyle w:val="Heading6"/>
        <w:ind w:left="160"/>
      </w:pPr>
      <w:r>
        <w:rPr>
          <w:color w:val="009483"/>
        </w:rPr>
        <w:t>Survey evidence, domestic demand, activity</w:t>
      </w:r>
    </w:p>
    <w:p>
      <w:pPr>
        <w:pStyle w:val="ListParagraph"/>
        <w:numPr>
          <w:ilvl w:val="0"/>
          <w:numId w:val="34"/>
        </w:numPr>
        <w:tabs>
          <w:tab w:pos="639" w:val="left" w:leader="none"/>
          <w:tab w:pos="641" w:val="left" w:leader="none"/>
        </w:tabs>
        <w:spacing w:line="232" w:lineRule="auto" w:before="70" w:after="0"/>
        <w:ind w:left="160" w:right="107" w:firstLine="0"/>
        <w:jc w:val="left"/>
        <w:rPr>
          <w:sz w:val="18"/>
        </w:rPr>
      </w:pPr>
      <w:r>
        <w:rPr>
          <w:color w:val="231F20"/>
          <w:sz w:val="18"/>
        </w:rPr>
        <w:t>The evidence of a sharp slowdown in domestic output growth was strongest in the surveys and in reports from the Bank’s regional Agencies. Both business and consumer confidence had continued to deteriorate during October. Survey indicators of export orders had been very weak for some time, but the domestic activity indicators had fallen sharply in the latest month, and this had extended to services as well as manufacturing; the C</w:t>
      </w:r>
      <w:r>
        <w:rPr>
          <w:color w:val="231F20"/>
          <w:sz w:val="14"/>
        </w:rPr>
        <w:t>IPS </w:t>
      </w:r>
      <w:r>
        <w:rPr>
          <w:color w:val="231F20"/>
          <w:sz w:val="18"/>
        </w:rPr>
        <w:t>measure of incoming new business, for example, was below 50, although business expectations remained quite buoyant. There </w:t>
      </w:r>
      <w:r>
        <w:rPr>
          <w:color w:val="231F20"/>
          <w:spacing w:val="-6"/>
          <w:sz w:val="18"/>
        </w:rPr>
        <w:t>had </w:t>
      </w:r>
      <w:r>
        <w:rPr>
          <w:color w:val="231F20"/>
          <w:sz w:val="18"/>
        </w:rPr>
        <w:t>not been such an abrupt change in sentiment in manufacturing—as measured by the CBI Industrial Trends Survey of business optimism—since the early 1980s. It was, however, difficult to make comparisons with the past as there were now many more surveys, mostly with relatively short histories.</w:t>
      </w:r>
    </w:p>
    <w:p>
      <w:pPr>
        <w:pStyle w:val="ListParagraph"/>
        <w:numPr>
          <w:ilvl w:val="0"/>
          <w:numId w:val="34"/>
        </w:numPr>
        <w:tabs>
          <w:tab w:pos="639" w:val="left" w:leader="none"/>
          <w:tab w:pos="641" w:val="left" w:leader="none"/>
        </w:tabs>
        <w:spacing w:line="232" w:lineRule="auto" w:before="169" w:after="0"/>
        <w:ind w:left="160" w:right="38" w:firstLine="0"/>
        <w:jc w:val="left"/>
        <w:rPr>
          <w:sz w:val="18"/>
        </w:rPr>
      </w:pPr>
      <w:r>
        <w:rPr>
          <w:color w:val="231F20"/>
          <w:sz w:val="18"/>
        </w:rPr>
        <w:t>The Bank’s regional Agents had for some time been indicating that the economy was slowing, but their reports over the past two months indicated a sharper slowdown. The Committee noted that the Agents had identified evidence of the downturn in </w:t>
      </w:r>
      <w:r>
        <w:rPr>
          <w:color w:val="231F20"/>
          <w:spacing w:val="-6"/>
          <w:sz w:val="18"/>
        </w:rPr>
        <w:t>the </w:t>
      </w:r>
      <w:r>
        <w:rPr>
          <w:color w:val="231F20"/>
          <w:sz w:val="18"/>
        </w:rPr>
        <w:t>early 1990s before it had become apparent in the official data.</w:t>
      </w:r>
    </w:p>
    <w:p>
      <w:pPr>
        <w:pStyle w:val="ListParagraph"/>
        <w:numPr>
          <w:ilvl w:val="0"/>
          <w:numId w:val="34"/>
        </w:numPr>
        <w:tabs>
          <w:tab w:pos="639" w:val="left" w:leader="none"/>
          <w:tab w:pos="641" w:val="left" w:leader="none"/>
        </w:tabs>
        <w:spacing w:line="232" w:lineRule="auto" w:before="176" w:after="0"/>
        <w:ind w:left="160" w:right="172" w:firstLine="0"/>
        <w:jc w:val="left"/>
        <w:rPr>
          <w:sz w:val="18"/>
        </w:rPr>
      </w:pPr>
      <w:r>
        <w:rPr>
          <w:color w:val="231F20"/>
          <w:sz w:val="18"/>
        </w:rPr>
        <w:t>This latest evidence suggested that the slowdown was </w:t>
      </w:r>
      <w:r>
        <w:rPr>
          <w:color w:val="231F20"/>
          <w:spacing w:val="-5"/>
          <w:sz w:val="18"/>
        </w:rPr>
        <w:t>more </w:t>
      </w:r>
      <w:r>
        <w:rPr>
          <w:color w:val="231F20"/>
          <w:sz w:val="18"/>
        </w:rPr>
        <w:t>marked than predicted in the Committee’s August central projection, although measured GDP growth in Q3 was slightly stronger than expected. In judging how much weight to place on survey data, the Committee discussed possible causes and its consistency with recent data on demand and activity.</w:t>
      </w:r>
    </w:p>
    <w:p>
      <w:pPr>
        <w:pStyle w:val="ListParagraph"/>
        <w:numPr>
          <w:ilvl w:val="0"/>
          <w:numId w:val="34"/>
        </w:numPr>
        <w:tabs>
          <w:tab w:pos="639" w:val="left" w:leader="none"/>
          <w:tab w:pos="641" w:val="left" w:leader="none"/>
        </w:tabs>
        <w:spacing w:line="232" w:lineRule="auto" w:before="175" w:after="0"/>
        <w:ind w:left="159" w:right="63" w:firstLine="0"/>
        <w:jc w:val="left"/>
        <w:rPr>
          <w:sz w:val="18"/>
        </w:rPr>
      </w:pPr>
      <w:r>
        <w:rPr>
          <w:color w:val="231F20"/>
          <w:sz w:val="18"/>
        </w:rPr>
        <w:t>One source of accumulating stress had been the substantial appreciation in the real exchange rate from mid-1996. This had not immediately hit confidence, in marked contrast to some earlier episodes when sterling had risen sharply, for example in the 1970s and early 1980s.  And its impact on net trade had in fact taken much longer to emerge than the Bank had originally expected. There were various possible explanations for this, each of which probably had some validity. Some firms had initially had in place financial market hedges against currency movements, but anecdotal evidence suggested probably not much beyond a year. Similarly some firms would have enjoyed a degree of stability until contracts with overseas trading partners matured and were renegotiated. There might also have been a delayed effect where plans and major investment and expansion projects were reviewed at infrequent intervals. And, more generally, businesses had had to judge how persistent sterling’s appreciation would be. As discussed at previous meetings and in earlier </w:t>
      </w:r>
      <w:r>
        <w:rPr>
          <w:i/>
          <w:color w:val="231F20"/>
          <w:sz w:val="18"/>
        </w:rPr>
        <w:t>Inflation Reports</w:t>
      </w:r>
      <w:r>
        <w:rPr>
          <w:color w:val="231F20"/>
          <w:sz w:val="18"/>
        </w:rPr>
        <w:t>, these and other factors might have contributed to long lags in the impact of sterling’s appreciation on export volumes. As the effects became evident, the implications for the economy generally of a slowdown in the trade of externally exposed businesses might have become more apparent to firms in relatively more sheltered sectors and to consumers. For example, just as a buoyant services sector and strong domestic demand growth had probably helped to sustain growth in manufacturing for a while, so services would not be insulated from a manufacturing slowdown.</w:t>
      </w:r>
    </w:p>
    <w:p>
      <w:pPr>
        <w:pStyle w:val="ListParagraph"/>
        <w:numPr>
          <w:ilvl w:val="0"/>
          <w:numId w:val="34"/>
        </w:numPr>
        <w:tabs>
          <w:tab w:pos="639" w:val="left" w:leader="none"/>
          <w:tab w:pos="641" w:val="left" w:leader="none"/>
        </w:tabs>
        <w:spacing w:line="232" w:lineRule="auto" w:before="97" w:after="0"/>
        <w:ind w:left="160" w:right="199" w:firstLine="0"/>
        <w:jc w:val="left"/>
        <w:rPr>
          <w:sz w:val="18"/>
        </w:rPr>
      </w:pPr>
      <w:r>
        <w:rPr>
          <w:color w:val="231F20"/>
          <w:sz w:val="18"/>
        </w:rPr>
        <w:br w:type="column"/>
        <w:t>In the absence of other factors, the slowdown brought about by sterling’s appreciation and the tightening of monetary and fiscal policy could plausibly have been associated with a gradual decline in domestic sentiment rather than the sharp fall indicated by surveys. But the world economic outlook had been affected over the summer by a series of adverse shocks, which would further reduce external demand for UK exports and sharpen price competition from imports. Confidence in the financial services industry had been hit; optimism in the financial sector, as </w:t>
      </w:r>
      <w:r>
        <w:rPr>
          <w:color w:val="231F20"/>
          <w:spacing w:val="-3"/>
          <w:sz w:val="18"/>
        </w:rPr>
        <w:t>measured </w:t>
      </w:r>
      <w:r>
        <w:rPr>
          <w:color w:val="231F20"/>
          <w:sz w:val="18"/>
        </w:rPr>
        <w:t>by the CBI Financial Services Survey, was lower in 1998 Q3 than for eight years. Well publicised job cuts in a range of sectors, whether or not directly affected by general economic conditions, had probably increased awareness of the changing outlook.</w:t>
      </w:r>
    </w:p>
    <w:p>
      <w:pPr>
        <w:pStyle w:val="BodyText"/>
        <w:spacing w:before="8"/>
        <w:rPr>
          <w:sz w:val="21"/>
        </w:rPr>
      </w:pPr>
    </w:p>
    <w:p>
      <w:pPr>
        <w:pStyle w:val="ListParagraph"/>
        <w:numPr>
          <w:ilvl w:val="0"/>
          <w:numId w:val="34"/>
        </w:numPr>
        <w:tabs>
          <w:tab w:pos="639" w:val="left" w:leader="none"/>
          <w:tab w:pos="641" w:val="left" w:leader="none"/>
        </w:tabs>
        <w:spacing w:line="232" w:lineRule="auto" w:before="1" w:after="0"/>
        <w:ind w:left="160" w:right="209" w:firstLine="0"/>
        <w:jc w:val="left"/>
        <w:rPr>
          <w:sz w:val="18"/>
        </w:rPr>
      </w:pPr>
      <w:r>
        <w:rPr>
          <w:color w:val="231F20"/>
          <w:sz w:val="18"/>
        </w:rPr>
        <w:t>The preliminary official estimate suggested that Q3 GDP growth was unchanged at 0.5%, still close to trend. But the latest industrial production numbers showed that output had recently </w:t>
      </w:r>
      <w:r>
        <w:rPr>
          <w:color w:val="231F20"/>
          <w:spacing w:val="-5"/>
          <w:sz w:val="18"/>
        </w:rPr>
        <w:t>been </w:t>
      </w:r>
      <w:r>
        <w:rPr>
          <w:color w:val="231F20"/>
          <w:sz w:val="18"/>
        </w:rPr>
        <w:t>falling; in particular, manufacturing output fell by 1.1% between July and September, with falls in most parts of the production industries. These numbers were more consistent with what recent surveys had been indicating, and gave grounds for thinking that the Q3 GDP number might be revised down. Separately there were signs in recent surveys—for example in the monthly CBI Industrial Trends Survey and the CBI Distributive Trades Survey—that </w:t>
      </w:r>
      <w:r>
        <w:rPr>
          <w:color w:val="231F20"/>
          <w:spacing w:val="-3"/>
          <w:sz w:val="18"/>
        </w:rPr>
        <w:t>recent </w:t>
      </w:r>
      <w:r>
        <w:rPr>
          <w:color w:val="231F20"/>
          <w:sz w:val="18"/>
        </w:rPr>
        <w:t>output growth might have been associated with greater than planned stockbuilding, with production not yet fully adjusted to weakening demand.</w:t>
      </w:r>
    </w:p>
    <w:p>
      <w:pPr>
        <w:pStyle w:val="BodyText"/>
        <w:spacing w:before="8"/>
        <w:rPr>
          <w:sz w:val="21"/>
        </w:rPr>
      </w:pPr>
    </w:p>
    <w:p>
      <w:pPr>
        <w:pStyle w:val="ListParagraph"/>
        <w:numPr>
          <w:ilvl w:val="0"/>
          <w:numId w:val="34"/>
        </w:numPr>
        <w:tabs>
          <w:tab w:pos="639" w:val="left" w:leader="none"/>
          <w:tab w:pos="641" w:val="left" w:leader="none"/>
        </w:tabs>
        <w:spacing w:line="232" w:lineRule="auto" w:before="0" w:after="0"/>
        <w:ind w:left="160" w:right="219" w:firstLine="0"/>
        <w:jc w:val="left"/>
        <w:rPr>
          <w:sz w:val="18"/>
        </w:rPr>
      </w:pPr>
      <w:r>
        <w:rPr>
          <w:color w:val="231F20"/>
          <w:sz w:val="18"/>
        </w:rPr>
        <w:t>On the expenditure side, the Committee noted that the latest data showed falling retail sales growth, and lower turnover in the housing market compared with a year ago. Despite the recent </w:t>
      </w:r>
      <w:r>
        <w:rPr>
          <w:color w:val="231F20"/>
          <w:spacing w:val="-4"/>
          <w:sz w:val="18"/>
        </w:rPr>
        <w:t>sharp </w:t>
      </w:r>
      <w:r>
        <w:rPr>
          <w:color w:val="231F20"/>
          <w:sz w:val="18"/>
        </w:rPr>
        <w:t>rebound, the equity market was 15% lower than its peak in July, which would tend to reduce consumption growth via its effect on households wealth, and reduce investment demand via a higher </w:t>
      </w:r>
      <w:r>
        <w:rPr>
          <w:color w:val="231F20"/>
          <w:spacing w:val="-5"/>
          <w:sz w:val="18"/>
        </w:rPr>
        <w:t>cost </w:t>
      </w:r>
      <w:r>
        <w:rPr>
          <w:color w:val="231F20"/>
          <w:sz w:val="18"/>
        </w:rPr>
        <w:t>of capital.</w:t>
      </w:r>
    </w:p>
    <w:p>
      <w:pPr>
        <w:pStyle w:val="BodyText"/>
        <w:spacing w:before="4"/>
        <w:rPr>
          <w:sz w:val="20"/>
        </w:rPr>
      </w:pPr>
    </w:p>
    <w:p>
      <w:pPr>
        <w:pStyle w:val="ListParagraph"/>
        <w:numPr>
          <w:ilvl w:val="0"/>
          <w:numId w:val="34"/>
        </w:numPr>
        <w:tabs>
          <w:tab w:pos="639" w:val="left" w:leader="none"/>
          <w:tab w:pos="641" w:val="left" w:leader="none"/>
        </w:tabs>
        <w:spacing w:line="232" w:lineRule="auto" w:before="1" w:after="0"/>
        <w:ind w:left="160" w:right="284" w:firstLine="0"/>
        <w:jc w:val="left"/>
        <w:rPr>
          <w:sz w:val="18"/>
        </w:rPr>
      </w:pPr>
      <w:r>
        <w:rPr>
          <w:color w:val="231F20"/>
          <w:sz w:val="18"/>
        </w:rPr>
        <w:t>There were, therefore, signs in the data that a slowdown, as indicated by surveys, was occurring. The direction of change was clear. But it was quite possible that the surveys were painting too bleak a picture. For example, the equity market had not fallen to a level that would reduce consumption to the extent suggested by surveys. And the surveys had historically been more volatile than recorded output and so could mislead. Moreover, the tone of </w:t>
      </w:r>
      <w:r>
        <w:rPr>
          <w:color w:val="231F20"/>
          <w:spacing w:val="-5"/>
          <w:sz w:val="18"/>
        </w:rPr>
        <w:t>some </w:t>
      </w:r>
      <w:r>
        <w:rPr>
          <w:color w:val="231F20"/>
          <w:sz w:val="18"/>
        </w:rPr>
        <w:t>public comment had moved from predicting a slowdown through a downturn, to a recession and even a slump. That was extreme, </w:t>
      </w:r>
      <w:r>
        <w:rPr>
          <w:color w:val="231F20"/>
          <w:spacing w:val="-6"/>
          <w:sz w:val="18"/>
        </w:rPr>
        <w:t>and </w:t>
      </w:r>
      <w:r>
        <w:rPr>
          <w:color w:val="231F20"/>
          <w:sz w:val="18"/>
        </w:rPr>
        <w:t>might be contributing to deteriorating confidence. It could, therefore, have some effect on spending.</w:t>
      </w:r>
    </w:p>
    <w:p>
      <w:pPr>
        <w:pStyle w:val="BodyText"/>
        <w:spacing w:before="9"/>
        <w:rPr>
          <w:sz w:val="21"/>
        </w:rPr>
      </w:pPr>
    </w:p>
    <w:p>
      <w:pPr>
        <w:pStyle w:val="ListParagraph"/>
        <w:numPr>
          <w:ilvl w:val="0"/>
          <w:numId w:val="34"/>
        </w:numPr>
        <w:tabs>
          <w:tab w:pos="639" w:val="left" w:leader="none"/>
          <w:tab w:pos="641" w:val="left" w:leader="none"/>
        </w:tabs>
        <w:spacing w:line="232" w:lineRule="auto" w:before="1" w:after="0"/>
        <w:ind w:left="160" w:right="214" w:firstLine="0"/>
        <w:jc w:val="left"/>
        <w:rPr>
          <w:sz w:val="18"/>
        </w:rPr>
      </w:pPr>
      <w:r>
        <w:rPr>
          <w:color w:val="231F20"/>
          <w:sz w:val="18"/>
        </w:rPr>
        <w:t>In the light of all these considerations, the Committee judged that the forward-looking evidence from surveys and the Bank’s regional Agents should be given increased weight in assessing the outlook for activity and inflation. The Committee thought that the economy should, however, be better placed to face adverse shocks than in the early 1990s, in large part because both corporate and personal sector balance sheets (especially in the housing market) and liquidity were stronger now than then, and inflation had </w:t>
      </w:r>
      <w:r>
        <w:rPr>
          <w:color w:val="231F20"/>
          <w:spacing w:val="-3"/>
          <w:sz w:val="18"/>
        </w:rPr>
        <w:t>already </w:t>
      </w:r>
      <w:r>
        <w:rPr>
          <w:color w:val="231F20"/>
          <w:sz w:val="18"/>
        </w:rPr>
        <w:t>reached the target. Moreover, monetary growth remained robust. The most likely outcome was for continuing positive output growth in 1999, though at a lower rate than expected in August, and the downside risks had increased.</w:t>
      </w:r>
    </w:p>
    <w:p>
      <w:pPr>
        <w:pStyle w:val="BodyText"/>
        <w:rPr>
          <w:sz w:val="25"/>
        </w:rPr>
      </w:pPr>
    </w:p>
    <w:p>
      <w:pPr>
        <w:pStyle w:val="Heading6"/>
        <w:spacing w:before="1"/>
        <w:ind w:left="160"/>
      </w:pPr>
      <w:r>
        <w:rPr>
          <w:color w:val="009483"/>
        </w:rPr>
        <w:t>Implications of the world economic</w:t>
      </w:r>
      <w:r>
        <w:rPr>
          <w:color w:val="009483"/>
          <w:spacing w:val="-16"/>
        </w:rPr>
        <w:t> </w:t>
      </w:r>
      <w:r>
        <w:rPr>
          <w:color w:val="009483"/>
        </w:rPr>
        <w:t>environment</w:t>
      </w:r>
    </w:p>
    <w:p>
      <w:pPr>
        <w:pStyle w:val="ListParagraph"/>
        <w:numPr>
          <w:ilvl w:val="0"/>
          <w:numId w:val="34"/>
        </w:numPr>
        <w:tabs>
          <w:tab w:pos="639" w:val="left" w:leader="none"/>
          <w:tab w:pos="641" w:val="left" w:leader="none"/>
        </w:tabs>
        <w:spacing w:line="232" w:lineRule="auto" w:before="129" w:after="0"/>
        <w:ind w:left="160" w:right="214" w:firstLine="0"/>
        <w:jc w:val="left"/>
        <w:rPr>
          <w:sz w:val="18"/>
        </w:rPr>
      </w:pPr>
      <w:r>
        <w:rPr>
          <w:color w:val="231F20"/>
          <w:sz w:val="18"/>
        </w:rPr>
        <w:t>The international environment remained fragile. There was still considerable uncertainty about the prospects for recovery in </w:t>
      </w:r>
      <w:r>
        <w:rPr>
          <w:color w:val="231F20"/>
          <w:spacing w:val="-6"/>
          <w:sz w:val="18"/>
        </w:rPr>
        <w:t>the</w:t>
      </w:r>
    </w:p>
    <w:p>
      <w:pPr>
        <w:spacing w:after="0" w:line="232" w:lineRule="auto"/>
        <w:jc w:val="left"/>
        <w:rPr>
          <w:sz w:val="18"/>
        </w:rPr>
        <w:sectPr>
          <w:type w:val="continuous"/>
          <w:pgSz w:w="11900" w:h="16840"/>
          <w:pgMar w:top="1220" w:bottom="280" w:left="640" w:right="600"/>
          <w:cols w:num="2" w:equalWidth="0">
            <w:col w:w="5104" w:space="286"/>
            <w:col w:w="5270"/>
          </w:cols>
        </w:sectPr>
      </w:pPr>
    </w:p>
    <w:p>
      <w:pPr>
        <w:pStyle w:val="BodyText"/>
        <w:rPr>
          <w:sz w:val="20"/>
        </w:rPr>
      </w:pPr>
    </w:p>
    <w:p>
      <w:pPr>
        <w:spacing w:after="0"/>
        <w:rPr>
          <w:sz w:val="20"/>
        </w:rPr>
        <w:sectPr>
          <w:pgSz w:w="11900" w:h="16840"/>
          <w:pgMar w:header="566" w:footer="597" w:top="760" w:bottom="780" w:left="640" w:right="600"/>
        </w:sectPr>
      </w:pPr>
    </w:p>
    <w:p>
      <w:pPr>
        <w:pStyle w:val="BodyText"/>
        <w:spacing w:before="4"/>
        <w:rPr>
          <w:sz w:val="21"/>
        </w:rPr>
      </w:pPr>
    </w:p>
    <w:p>
      <w:pPr>
        <w:pStyle w:val="BodyText"/>
        <w:spacing w:line="232" w:lineRule="auto" w:before="1"/>
        <w:ind w:left="174"/>
      </w:pPr>
      <w:r>
        <w:rPr>
          <w:color w:val="231F20"/>
        </w:rPr>
        <w:t>Japanese economy. The recession there was deeper than had been assumed in the Committee’s August forecast. Most forecasters had revised down their projections for continental European growth.</w:t>
      </w:r>
    </w:p>
    <w:p>
      <w:pPr>
        <w:pStyle w:val="BodyText"/>
        <w:spacing w:line="232" w:lineRule="auto"/>
        <w:ind w:left="174" w:right="56"/>
      </w:pPr>
      <w:r>
        <w:rPr>
          <w:color w:val="231F20"/>
        </w:rPr>
        <w:t>According to the initial estimate, Q3 growth in the United States had been stronger than expected, although some of that strength might be the result of involuntary inventory accumulation. US broad monetary growth remained quite strong. The risks of further contagion and shocks to emerging market economies seemed to have reduced somewhat over the past month, and the extreme uncertainty in some markets had lessened, perhaps helped most recently by the G7 statement.</w:t>
      </w:r>
    </w:p>
    <w:p>
      <w:pPr>
        <w:pStyle w:val="BodyText"/>
        <w:spacing w:before="7"/>
        <w:rPr>
          <w:sz w:val="16"/>
        </w:rPr>
      </w:pPr>
    </w:p>
    <w:p>
      <w:pPr>
        <w:pStyle w:val="ListParagraph"/>
        <w:numPr>
          <w:ilvl w:val="0"/>
          <w:numId w:val="34"/>
        </w:numPr>
        <w:tabs>
          <w:tab w:pos="654" w:val="left" w:leader="none"/>
          <w:tab w:pos="655" w:val="left" w:leader="none"/>
        </w:tabs>
        <w:spacing w:line="232" w:lineRule="auto" w:before="0" w:after="0"/>
        <w:ind w:left="174" w:right="48" w:firstLine="0"/>
        <w:jc w:val="left"/>
        <w:rPr>
          <w:sz w:val="18"/>
        </w:rPr>
      </w:pPr>
      <w:r>
        <w:rPr>
          <w:color w:val="231F20"/>
          <w:sz w:val="18"/>
        </w:rPr>
        <w:t>An important element of the Committee’s analysis was the deteriorating outlook for world trade given the poor prospects in Japan and some emerging market economies. Between 1980 and 1993 world trade had grown at an average annual rate of 4%. This had risen to around 9% in 1994–97, but was projected by the international organisations to fall to 4%–6% over 1998–2000. Part of the expected fall was attributable to (perhaps temporarily) reduced intra-Asian trade, which had accounted for much of the earlier increase. The Committee thought that the near term growth rate of the UK’s export markets should fall by less than overall world trade.  But on the other hand the strength of sterling, although less pronounced than in August, was likely to mean that UK exports would grow less quickly than UK export markets over the forecast period. The Committee agreed that it was most likely that net trade would contribute negatively to output growth over </w:t>
      </w:r>
      <w:r>
        <w:rPr>
          <w:color w:val="231F20"/>
          <w:spacing w:val="-6"/>
          <w:sz w:val="18"/>
        </w:rPr>
        <w:t>the </w:t>
      </w:r>
      <w:r>
        <w:rPr>
          <w:color w:val="231F20"/>
          <w:sz w:val="18"/>
        </w:rPr>
        <w:t>next two years.</w:t>
      </w:r>
    </w:p>
    <w:p>
      <w:pPr>
        <w:pStyle w:val="BodyText"/>
        <w:spacing w:before="4"/>
        <w:rPr>
          <w:sz w:val="16"/>
        </w:rPr>
      </w:pPr>
    </w:p>
    <w:p>
      <w:pPr>
        <w:pStyle w:val="ListParagraph"/>
        <w:numPr>
          <w:ilvl w:val="0"/>
          <w:numId w:val="34"/>
        </w:numPr>
        <w:tabs>
          <w:tab w:pos="654" w:val="left" w:leader="none"/>
          <w:tab w:pos="655" w:val="left" w:leader="none"/>
        </w:tabs>
        <w:spacing w:line="232" w:lineRule="auto" w:before="0" w:after="0"/>
        <w:ind w:left="174" w:right="38" w:firstLine="0"/>
        <w:jc w:val="left"/>
        <w:rPr>
          <w:sz w:val="18"/>
        </w:rPr>
      </w:pPr>
      <w:r>
        <w:rPr>
          <w:color w:val="231F20"/>
          <w:sz w:val="18"/>
        </w:rPr>
        <w:t>The weakening in the external environment had also had a material effect on world prices. Commodity prices were still falling, as were input prices more generally. Looking forward, the expected rate of world price inflation had fallen compared with a quarter ago, reducing expected imported inflation and thus the outlook for RPIX. This was an important factor in the Committee’s inflation projection.  In addition, domestic output price inflation was at its lowest level since 1975. Both CBI and BCC surveys indicated further falls.</w:t>
      </w:r>
    </w:p>
    <w:p>
      <w:pPr>
        <w:pStyle w:val="BodyText"/>
        <w:rPr>
          <w:sz w:val="20"/>
        </w:rPr>
      </w:pPr>
    </w:p>
    <w:p>
      <w:pPr>
        <w:pStyle w:val="Heading6"/>
        <w:ind w:left="174"/>
      </w:pPr>
      <w:r>
        <w:rPr>
          <w:color w:val="009483"/>
        </w:rPr>
        <w:t>The labour market</w:t>
      </w:r>
    </w:p>
    <w:p>
      <w:pPr>
        <w:pStyle w:val="ListParagraph"/>
        <w:numPr>
          <w:ilvl w:val="0"/>
          <w:numId w:val="34"/>
        </w:numPr>
        <w:tabs>
          <w:tab w:pos="654" w:val="left" w:leader="none"/>
          <w:tab w:pos="655" w:val="left" w:leader="none"/>
        </w:tabs>
        <w:spacing w:line="232" w:lineRule="auto" w:before="110" w:after="0"/>
        <w:ind w:left="174" w:right="59" w:firstLine="0"/>
        <w:jc w:val="left"/>
        <w:rPr>
          <w:sz w:val="18"/>
        </w:rPr>
      </w:pPr>
      <w:r>
        <w:rPr>
          <w:color w:val="231F20"/>
          <w:sz w:val="18"/>
        </w:rPr>
        <w:t>The Committee discussed a range of labour market indicators. LFS employment had risen quite strongly in the three months to August, as had total hours worked. On the other hand, LFS unemployment had increased slightly. The number of economically inactive people had fallen. Overall the latest </w:t>
      </w:r>
      <w:r>
        <w:rPr>
          <w:color w:val="231F20"/>
          <w:spacing w:val="-3"/>
          <w:sz w:val="18"/>
        </w:rPr>
        <w:t>quantity </w:t>
      </w:r>
      <w:r>
        <w:rPr>
          <w:color w:val="231F20"/>
          <w:sz w:val="18"/>
        </w:rPr>
        <w:t>data suggested that conditions were still tight but might no longer be tightening.</w:t>
      </w:r>
    </w:p>
    <w:p>
      <w:pPr>
        <w:pStyle w:val="BodyText"/>
        <w:spacing w:before="10"/>
        <w:rPr>
          <w:sz w:val="16"/>
        </w:rPr>
      </w:pPr>
    </w:p>
    <w:p>
      <w:pPr>
        <w:pStyle w:val="ListParagraph"/>
        <w:numPr>
          <w:ilvl w:val="0"/>
          <w:numId w:val="34"/>
        </w:numPr>
        <w:tabs>
          <w:tab w:pos="654" w:val="left" w:leader="none"/>
          <w:tab w:pos="655" w:val="left" w:leader="none"/>
        </w:tabs>
        <w:spacing w:line="232" w:lineRule="auto" w:before="0" w:after="0"/>
        <w:ind w:left="174" w:right="98" w:firstLine="0"/>
        <w:jc w:val="left"/>
        <w:rPr>
          <w:sz w:val="18"/>
        </w:rPr>
      </w:pPr>
      <w:r>
        <w:rPr>
          <w:color w:val="231F20"/>
          <w:sz w:val="18"/>
        </w:rPr>
        <w:t>Earnings growth was a key indicator of domestically generated inflation. While labour market pressures should abate and earnings growth ease as the economy slowed, the implications for inflation would also depend on the current rate of earnings growth. There was greater than normal uncertainty about this, given the problems with the AEI. The Committee agreed to </w:t>
      </w:r>
      <w:r>
        <w:rPr>
          <w:color w:val="231F20"/>
          <w:spacing w:val="-3"/>
          <w:sz w:val="18"/>
        </w:rPr>
        <w:t>reflect </w:t>
      </w:r>
      <w:r>
        <w:rPr>
          <w:color w:val="231F20"/>
          <w:sz w:val="18"/>
        </w:rPr>
        <w:t>this in its forecast variance.</w:t>
      </w:r>
    </w:p>
    <w:p>
      <w:pPr>
        <w:pStyle w:val="BodyText"/>
        <w:spacing w:before="3"/>
        <w:rPr>
          <w:sz w:val="20"/>
        </w:rPr>
      </w:pPr>
    </w:p>
    <w:p>
      <w:pPr>
        <w:pStyle w:val="Heading6"/>
        <w:ind w:left="174"/>
      </w:pPr>
      <w:r>
        <w:rPr>
          <w:color w:val="009483"/>
        </w:rPr>
        <w:t>Monetary and credit conditions</w:t>
      </w:r>
    </w:p>
    <w:p>
      <w:pPr>
        <w:pStyle w:val="ListParagraph"/>
        <w:numPr>
          <w:ilvl w:val="0"/>
          <w:numId w:val="34"/>
        </w:numPr>
        <w:tabs>
          <w:tab w:pos="654" w:val="left" w:leader="none"/>
          <w:tab w:pos="655" w:val="left" w:leader="none"/>
        </w:tabs>
        <w:spacing w:line="232" w:lineRule="auto" w:before="109" w:after="0"/>
        <w:ind w:left="174" w:right="138" w:firstLine="0"/>
        <w:jc w:val="left"/>
        <w:rPr>
          <w:sz w:val="18"/>
        </w:rPr>
      </w:pPr>
      <w:r>
        <w:rPr>
          <w:color w:val="231F20"/>
          <w:sz w:val="18"/>
        </w:rPr>
        <w:t>The future path of interest rates expected by the market </w:t>
      </w:r>
      <w:r>
        <w:rPr>
          <w:color w:val="231F20"/>
          <w:spacing w:val="-6"/>
          <w:sz w:val="18"/>
        </w:rPr>
        <w:t>was </w:t>
      </w:r>
      <w:r>
        <w:rPr>
          <w:color w:val="231F20"/>
          <w:sz w:val="18"/>
        </w:rPr>
        <w:t>lower than a month ago, and much lower than at the time of the August </w:t>
      </w:r>
      <w:r>
        <w:rPr>
          <w:i/>
          <w:color w:val="231F20"/>
          <w:sz w:val="18"/>
        </w:rPr>
        <w:t>Inflation Report</w:t>
      </w:r>
      <w:r>
        <w:rPr>
          <w:color w:val="231F20"/>
          <w:sz w:val="18"/>
        </w:rPr>
        <w:t>. Taken together with the</w:t>
      </w:r>
      <w:r>
        <w:rPr>
          <w:color w:val="231F20"/>
          <w:spacing w:val="-2"/>
          <w:sz w:val="18"/>
        </w:rPr>
        <w:t> </w:t>
      </w:r>
      <w:r>
        <w:rPr>
          <w:color w:val="231F20"/>
          <w:sz w:val="18"/>
        </w:rPr>
        <w:t>Committee’s</w:t>
      </w:r>
    </w:p>
    <w:p>
      <w:pPr>
        <w:pStyle w:val="BodyText"/>
        <w:spacing w:line="232" w:lineRule="auto"/>
        <w:ind w:left="174" w:right="211"/>
      </w:pPr>
      <w:r>
        <w:rPr>
          <w:color w:val="231F20"/>
        </w:rPr>
        <w:t>25 basis point cut at its October meeting, this had delivered some easing in monetary conditions.</w:t>
      </w:r>
    </w:p>
    <w:p>
      <w:pPr>
        <w:pStyle w:val="BodyText"/>
        <w:spacing w:before="1"/>
        <w:rPr>
          <w:sz w:val="17"/>
        </w:rPr>
      </w:pPr>
    </w:p>
    <w:p>
      <w:pPr>
        <w:pStyle w:val="ListParagraph"/>
        <w:numPr>
          <w:ilvl w:val="0"/>
          <w:numId w:val="35"/>
        </w:numPr>
        <w:tabs>
          <w:tab w:pos="654" w:val="left" w:leader="none"/>
          <w:tab w:pos="655" w:val="left" w:leader="none"/>
        </w:tabs>
        <w:spacing w:line="232" w:lineRule="auto" w:before="0" w:after="0"/>
        <w:ind w:left="174" w:right="58" w:firstLine="0"/>
        <w:jc w:val="left"/>
        <w:rPr>
          <w:sz w:val="18"/>
        </w:rPr>
      </w:pPr>
      <w:r>
        <w:rPr>
          <w:color w:val="231F20"/>
          <w:sz w:val="18"/>
        </w:rPr>
        <w:t>Sterling had fallen 4</w:t>
      </w:r>
      <w:r>
        <w:rPr>
          <w:color w:val="231F20"/>
          <w:position w:val="6"/>
          <w:sz w:val="9"/>
        </w:rPr>
        <w:t>1</w:t>
      </w:r>
      <w:r>
        <w:rPr>
          <w:color w:val="231F20"/>
          <w:sz w:val="18"/>
        </w:rPr>
        <w:t>/</w:t>
      </w:r>
      <w:r>
        <w:rPr>
          <w:color w:val="231F20"/>
          <w:sz w:val="9"/>
        </w:rPr>
        <w:t>4</w:t>
      </w:r>
      <w:r>
        <w:rPr>
          <w:color w:val="231F20"/>
          <w:sz w:val="18"/>
        </w:rPr>
        <w:t>% from the 15-day average used in </w:t>
      </w:r>
      <w:r>
        <w:rPr>
          <w:color w:val="231F20"/>
          <w:spacing w:val="-6"/>
          <w:sz w:val="18"/>
        </w:rPr>
        <w:t>the </w:t>
      </w:r>
      <w:r>
        <w:rPr>
          <w:color w:val="231F20"/>
          <w:sz w:val="18"/>
        </w:rPr>
        <w:t>projections published in the August </w:t>
      </w:r>
      <w:r>
        <w:rPr>
          <w:i/>
          <w:color w:val="231F20"/>
          <w:sz w:val="18"/>
        </w:rPr>
        <w:t>Inflation Report</w:t>
      </w:r>
      <w:r>
        <w:rPr>
          <w:color w:val="231F20"/>
          <w:sz w:val="18"/>
        </w:rPr>
        <w:t>. This would tend to reduce the restraining effect on inflation from sterling’s earlier appreciation. The Committee judged that the balance of risks was still in the direction of sterling falling by more than assumed in its central projection, although the downside risk was not as large as in August.</w:t>
      </w:r>
    </w:p>
    <w:p>
      <w:pPr>
        <w:pStyle w:val="BodyText"/>
        <w:spacing w:before="4"/>
        <w:rPr>
          <w:sz w:val="21"/>
        </w:rPr>
      </w:pPr>
      <w:r>
        <w:rPr/>
        <w:br w:type="column"/>
      </w:r>
      <w:r>
        <w:rPr>
          <w:sz w:val="21"/>
        </w:rPr>
      </w:r>
    </w:p>
    <w:p>
      <w:pPr>
        <w:pStyle w:val="ListParagraph"/>
        <w:numPr>
          <w:ilvl w:val="0"/>
          <w:numId w:val="35"/>
        </w:numPr>
        <w:tabs>
          <w:tab w:pos="654" w:val="left" w:leader="none"/>
          <w:tab w:pos="655" w:val="left" w:leader="none"/>
        </w:tabs>
        <w:spacing w:line="232" w:lineRule="auto" w:before="1" w:after="0"/>
        <w:ind w:left="174" w:right="431" w:firstLine="0"/>
        <w:jc w:val="left"/>
        <w:rPr>
          <w:sz w:val="18"/>
        </w:rPr>
      </w:pPr>
      <w:r>
        <w:rPr>
          <w:color w:val="231F20"/>
          <w:sz w:val="18"/>
        </w:rPr>
        <w:t>The Committee noted that broad money and credit </w:t>
      </w:r>
      <w:r>
        <w:rPr>
          <w:color w:val="231F20"/>
          <w:spacing w:val="-3"/>
          <w:sz w:val="18"/>
        </w:rPr>
        <w:t>growth </w:t>
      </w:r>
      <w:r>
        <w:rPr>
          <w:color w:val="231F20"/>
          <w:sz w:val="18"/>
        </w:rPr>
        <w:t>remained robust. High broad money growth remained an upside risk to the inflation outlook. Unsecured lending to the personal sector continued to grow rapidly, although the macroeconomic consequences were possibly not great as it accounted for only around 20% of the stock of lending to the personal sector.</w:t>
      </w:r>
    </w:p>
    <w:p>
      <w:pPr>
        <w:pStyle w:val="BodyText"/>
        <w:spacing w:before="11"/>
        <w:rPr>
          <w:sz w:val="16"/>
        </w:rPr>
      </w:pPr>
    </w:p>
    <w:p>
      <w:pPr>
        <w:pStyle w:val="ListParagraph"/>
        <w:numPr>
          <w:ilvl w:val="0"/>
          <w:numId w:val="35"/>
        </w:numPr>
        <w:tabs>
          <w:tab w:pos="654" w:val="left" w:leader="none"/>
          <w:tab w:pos="655" w:val="left" w:leader="none"/>
        </w:tabs>
        <w:spacing w:line="232" w:lineRule="auto" w:before="0" w:after="0"/>
        <w:ind w:left="174" w:right="221" w:firstLine="0"/>
        <w:jc w:val="left"/>
        <w:rPr>
          <w:sz w:val="18"/>
        </w:rPr>
      </w:pPr>
      <w:r>
        <w:rPr>
          <w:color w:val="231F20"/>
          <w:sz w:val="18"/>
        </w:rPr>
        <w:t>Of more immediate interest was whether there were signs of a material tightening in credit conditions. The spread of corporate bond yields over government bond yields had increased significantly since the Russian and Long-Term Capital Management crises, corporate issuance was lower than usual, and actual and implied volatility were higher in a number of markets. But, perhaps in contrast to the United States, there was no evidence that the credit process had been significantly interrupted in the United Kingdom. Corporate bond and swap market spreads had eased slightly from the peaks, but were still high by previous standards. There had recently been some domestic corporate bond issuance in sterling, as well as a more marked return of issuance in international bond markets. Perhaps more significantly, UK banking markets seemed to have been less affected by the turbulence than capital markets. Conditions in wholesale money markets seemed reasonably calm. The syndicated credit markets had remained open; spreads had risen in this market too, but by rather less than in capital markets. The September M4 numbers </w:t>
      </w:r>
      <w:r>
        <w:rPr>
          <w:color w:val="231F20"/>
          <w:spacing w:val="-6"/>
          <w:sz w:val="18"/>
        </w:rPr>
        <w:t>did </w:t>
      </w:r>
      <w:r>
        <w:rPr>
          <w:color w:val="231F20"/>
          <w:sz w:val="18"/>
        </w:rPr>
        <w:t>not suggest emergency drawing down of deposits, and showed continued robust growth in lending to the corporate sector. It was possible that that reflected reintermediation into the banking sector of some borrowing that would previously have been undertaken in the capital markets.  This was widely believed to be occurring in the US, but dependence on capital market borrowing was much greater there. Evidence of this happening in the United Kingdom was less clear. The UK banking sector was, on the basis of currently available information, well capitalised by the standards of recent decades and so prospectively capable of reintermediating credit flows if that were to prove necessary.</w:t>
      </w:r>
    </w:p>
    <w:p>
      <w:pPr>
        <w:pStyle w:val="ListParagraph"/>
        <w:numPr>
          <w:ilvl w:val="0"/>
          <w:numId w:val="35"/>
        </w:numPr>
        <w:tabs>
          <w:tab w:pos="654" w:val="left" w:leader="none"/>
          <w:tab w:pos="655" w:val="left" w:leader="none"/>
        </w:tabs>
        <w:spacing w:line="232" w:lineRule="auto" w:before="177" w:after="0"/>
        <w:ind w:left="174" w:right="242" w:firstLine="0"/>
        <w:jc w:val="left"/>
        <w:rPr>
          <w:sz w:val="18"/>
        </w:rPr>
      </w:pPr>
      <w:r>
        <w:rPr>
          <w:color w:val="231F20"/>
          <w:sz w:val="18"/>
        </w:rPr>
        <w:t>The Committee agreed that so far there was no evidence of </w:t>
      </w:r>
      <w:r>
        <w:rPr>
          <w:color w:val="231F20"/>
          <w:spacing w:val="-12"/>
          <w:sz w:val="18"/>
        </w:rPr>
        <w:t>a </w:t>
      </w:r>
      <w:r>
        <w:rPr>
          <w:color w:val="231F20"/>
          <w:sz w:val="18"/>
        </w:rPr>
        <w:t>‘credit crunch’ in the sense of a material tightening of credit conditions for a given general level of interest rates and borrower credit risk. The environment had nevertheless changed somewhat. On the one hand, the general level of medium-longer maturity interest rates had fallen in recent months, so that the level of nominal yields (and probably real yields) on corporate bonds had fallen for at least the highest credit ratings, notwithstanding the widening of spreads. This would tend to be supportive of activity. On the other hand, as the economy slowed and as the shocks from the external environment affected the UK, the creditworthiness of some borrowers was deteriorating, which would affect the terms </w:t>
      </w:r>
      <w:r>
        <w:rPr>
          <w:color w:val="231F20"/>
          <w:spacing w:val="-9"/>
          <w:sz w:val="18"/>
        </w:rPr>
        <w:t>on </w:t>
      </w:r>
      <w:r>
        <w:rPr>
          <w:color w:val="231F20"/>
          <w:sz w:val="18"/>
        </w:rPr>
        <w:t>which they could obtain credit. The corporate sector as a whole was, however, stronger financially than in the late 1980s-early 1990s, and thus should generally be better able to withstand a downturn.</w:t>
      </w:r>
    </w:p>
    <w:p>
      <w:pPr>
        <w:pStyle w:val="BodyText"/>
        <w:spacing w:before="4"/>
        <w:rPr>
          <w:sz w:val="16"/>
        </w:rPr>
      </w:pPr>
    </w:p>
    <w:p>
      <w:pPr>
        <w:pStyle w:val="ListParagraph"/>
        <w:numPr>
          <w:ilvl w:val="0"/>
          <w:numId w:val="35"/>
        </w:numPr>
        <w:tabs>
          <w:tab w:pos="654" w:val="left" w:leader="none"/>
          <w:tab w:pos="655" w:val="left" w:leader="none"/>
        </w:tabs>
        <w:spacing w:line="232" w:lineRule="auto" w:before="0" w:after="0"/>
        <w:ind w:left="174" w:right="267" w:firstLine="0"/>
        <w:jc w:val="left"/>
        <w:rPr>
          <w:sz w:val="18"/>
        </w:rPr>
      </w:pPr>
      <w:r>
        <w:rPr>
          <w:color w:val="231F20"/>
          <w:sz w:val="18"/>
        </w:rPr>
        <w:t>The Committee agreed that world financial markets were calmer than a few weeks earlier. But the possibility of a tightening of credit conditions in the future needed to be kept under careful review.</w:t>
      </w:r>
    </w:p>
    <w:p>
      <w:pPr>
        <w:pStyle w:val="BodyText"/>
        <w:spacing w:before="5"/>
        <w:rPr>
          <w:sz w:val="20"/>
        </w:rPr>
      </w:pPr>
    </w:p>
    <w:p>
      <w:pPr>
        <w:pStyle w:val="Heading6"/>
        <w:ind w:left="174"/>
      </w:pPr>
      <w:r>
        <w:rPr>
          <w:color w:val="009483"/>
        </w:rPr>
        <w:t>The MPC’s November forecast</w:t>
      </w:r>
    </w:p>
    <w:p>
      <w:pPr>
        <w:pStyle w:val="ListParagraph"/>
        <w:numPr>
          <w:ilvl w:val="0"/>
          <w:numId w:val="35"/>
        </w:numPr>
        <w:tabs>
          <w:tab w:pos="654" w:val="left" w:leader="none"/>
          <w:tab w:pos="655" w:val="left" w:leader="none"/>
        </w:tabs>
        <w:spacing w:line="232" w:lineRule="auto" w:before="109" w:after="0"/>
        <w:ind w:left="174" w:right="373" w:firstLine="0"/>
        <w:jc w:val="left"/>
        <w:rPr>
          <w:sz w:val="18"/>
        </w:rPr>
      </w:pPr>
      <w:r>
        <w:rPr>
          <w:color w:val="231F20"/>
          <w:sz w:val="18"/>
        </w:rPr>
        <w:t>The Committee reviewed its forecast, which was </w:t>
      </w:r>
      <w:r>
        <w:rPr>
          <w:color w:val="231F20"/>
          <w:spacing w:val="-3"/>
          <w:sz w:val="18"/>
        </w:rPr>
        <w:t>described </w:t>
      </w:r>
      <w:r>
        <w:rPr>
          <w:color w:val="231F20"/>
          <w:sz w:val="18"/>
        </w:rPr>
        <w:t>fully in the </w:t>
      </w:r>
      <w:r>
        <w:rPr>
          <w:i/>
          <w:color w:val="231F20"/>
          <w:sz w:val="18"/>
        </w:rPr>
        <w:t>Inflation Report </w:t>
      </w:r>
      <w:r>
        <w:rPr>
          <w:color w:val="231F20"/>
          <w:sz w:val="18"/>
        </w:rPr>
        <w:t>published in the week following the meeting.</w:t>
      </w:r>
    </w:p>
    <w:p>
      <w:pPr>
        <w:pStyle w:val="BodyText"/>
        <w:spacing w:before="2"/>
        <w:rPr>
          <w:sz w:val="17"/>
        </w:rPr>
      </w:pPr>
    </w:p>
    <w:p>
      <w:pPr>
        <w:pStyle w:val="ListParagraph"/>
        <w:numPr>
          <w:ilvl w:val="0"/>
          <w:numId w:val="35"/>
        </w:numPr>
        <w:tabs>
          <w:tab w:pos="654" w:val="left" w:leader="none"/>
          <w:tab w:pos="655" w:val="left" w:leader="none"/>
        </w:tabs>
        <w:spacing w:line="232" w:lineRule="auto" w:before="0" w:after="0"/>
        <w:ind w:left="174" w:right="266" w:firstLine="0"/>
        <w:jc w:val="left"/>
        <w:rPr>
          <w:sz w:val="18"/>
        </w:rPr>
      </w:pPr>
      <w:r>
        <w:rPr>
          <w:color w:val="231F20"/>
          <w:sz w:val="18"/>
        </w:rPr>
        <w:t>The general </w:t>
      </w:r>
      <w:r>
        <w:rPr>
          <w:color w:val="231F20"/>
          <w:sz w:val="18"/>
          <w:u w:val="single" w:color="231F20"/>
        </w:rPr>
        <w:t>shape</w:t>
      </w:r>
      <w:r>
        <w:rPr>
          <w:color w:val="231F20"/>
          <w:sz w:val="18"/>
        </w:rPr>
        <w:t> of the projections was as follows. </w:t>
      </w:r>
      <w:r>
        <w:rPr>
          <w:color w:val="231F20"/>
          <w:spacing w:val="-3"/>
          <w:sz w:val="18"/>
        </w:rPr>
        <w:t>Output </w:t>
      </w:r>
      <w:r>
        <w:rPr>
          <w:color w:val="231F20"/>
          <w:sz w:val="18"/>
        </w:rPr>
        <w:t>growth was expected to fall for a year or so before recovering, principally via stronger domestic demand growth. In the second half of the forecast period and beyond, an important source of this increased demand was public sector consumption and investment, but there was some uncertainty about the timing of public investment spending. The balance of risks to activity were on the</w:t>
      </w:r>
    </w:p>
    <w:p>
      <w:pPr>
        <w:spacing w:after="0" w:line="232" w:lineRule="auto"/>
        <w:jc w:val="left"/>
        <w:rPr>
          <w:sz w:val="18"/>
        </w:rPr>
        <w:sectPr>
          <w:type w:val="continuous"/>
          <w:pgSz w:w="11900" w:h="16840"/>
          <w:pgMar w:top="1220" w:bottom="280" w:left="640" w:right="600"/>
          <w:cols w:num="2" w:equalWidth="0">
            <w:col w:w="5104" w:space="278"/>
            <w:col w:w="5278"/>
          </w:cols>
        </w:sectPr>
      </w:pPr>
    </w:p>
    <w:p>
      <w:pPr>
        <w:pStyle w:val="BodyText"/>
        <w:rPr>
          <w:sz w:val="20"/>
        </w:rPr>
      </w:pPr>
    </w:p>
    <w:p>
      <w:pPr>
        <w:spacing w:after="0"/>
        <w:rPr>
          <w:sz w:val="20"/>
        </w:rPr>
        <w:sectPr>
          <w:pgSz w:w="11900" w:h="16840"/>
          <w:pgMar w:header="566" w:footer="597" w:top="760" w:bottom="780" w:left="640" w:right="600"/>
        </w:sectPr>
      </w:pPr>
    </w:p>
    <w:p>
      <w:pPr>
        <w:pStyle w:val="BodyText"/>
        <w:spacing w:before="6"/>
        <w:rPr>
          <w:sz w:val="20"/>
        </w:rPr>
      </w:pPr>
    </w:p>
    <w:p>
      <w:pPr>
        <w:pStyle w:val="BodyText"/>
        <w:spacing w:line="232" w:lineRule="auto"/>
        <w:ind w:left="180"/>
      </w:pPr>
      <w:r>
        <w:rPr>
          <w:color w:val="231F20"/>
        </w:rPr>
        <w:t>downside, largely on account of the external environment and risks to consumption. The central projection for inflation rose somewhat in the short run before falling. The balance of risks to the inflation outlook were modestly on the upside until mid-2000 and then modestly on the downside, but overall closer to neutral throughout the forecast period than in August when the balance of risks had clearly been on the upside.</w:t>
      </w:r>
    </w:p>
    <w:p>
      <w:pPr>
        <w:pStyle w:val="BodyText"/>
        <w:spacing w:before="11"/>
        <w:rPr>
          <w:sz w:val="16"/>
        </w:rPr>
      </w:pPr>
    </w:p>
    <w:p>
      <w:pPr>
        <w:pStyle w:val="ListParagraph"/>
        <w:numPr>
          <w:ilvl w:val="0"/>
          <w:numId w:val="35"/>
        </w:numPr>
        <w:tabs>
          <w:tab w:pos="659" w:val="left" w:leader="none"/>
          <w:tab w:pos="661" w:val="left" w:leader="none"/>
        </w:tabs>
        <w:spacing w:line="232" w:lineRule="auto" w:before="0" w:after="0"/>
        <w:ind w:left="179" w:right="38" w:firstLine="0"/>
        <w:jc w:val="left"/>
        <w:rPr>
          <w:sz w:val="18"/>
        </w:rPr>
      </w:pPr>
      <w:r>
        <w:rPr>
          <w:color w:val="231F20"/>
          <w:sz w:val="18"/>
        </w:rPr>
        <w:t>There was a more important difference from the August forecast. For any given level of interest rates, the </w:t>
      </w:r>
      <w:r>
        <w:rPr>
          <w:color w:val="231F20"/>
          <w:sz w:val="18"/>
          <w:u w:val="single" w:color="231F20"/>
        </w:rPr>
        <w:t>level</w:t>
      </w:r>
      <w:r>
        <w:rPr>
          <w:color w:val="231F20"/>
          <w:sz w:val="18"/>
        </w:rPr>
        <w:t> of the projections for output growth and inflation were now both lower. </w:t>
      </w:r>
      <w:r>
        <w:rPr>
          <w:color w:val="231F20"/>
          <w:spacing w:val="-9"/>
          <w:sz w:val="18"/>
        </w:rPr>
        <w:t>If </w:t>
      </w:r>
      <w:r>
        <w:rPr>
          <w:color w:val="231F20"/>
          <w:sz w:val="18"/>
        </w:rPr>
        <w:t>interest rates were left at 7.25%, the central projection for inflation would undershoot the target at the end of the forecast period.</w:t>
      </w:r>
    </w:p>
    <w:p>
      <w:pPr>
        <w:pStyle w:val="BodyText"/>
        <w:rPr>
          <w:sz w:val="17"/>
        </w:rPr>
      </w:pPr>
    </w:p>
    <w:p>
      <w:pPr>
        <w:pStyle w:val="ListParagraph"/>
        <w:numPr>
          <w:ilvl w:val="0"/>
          <w:numId w:val="35"/>
        </w:numPr>
        <w:tabs>
          <w:tab w:pos="659" w:val="left" w:leader="none"/>
          <w:tab w:pos="661" w:val="left" w:leader="none"/>
        </w:tabs>
        <w:spacing w:line="232" w:lineRule="auto" w:before="0" w:after="0"/>
        <w:ind w:left="179" w:right="403" w:firstLine="0"/>
        <w:jc w:val="left"/>
        <w:rPr>
          <w:sz w:val="18"/>
        </w:rPr>
      </w:pPr>
      <w:r>
        <w:rPr>
          <w:color w:val="231F20"/>
          <w:sz w:val="18"/>
        </w:rPr>
        <w:t>The Committee discussed whether there were any </w:t>
      </w:r>
      <w:r>
        <w:rPr>
          <w:color w:val="231F20"/>
          <w:spacing w:val="-4"/>
          <w:sz w:val="18"/>
        </w:rPr>
        <w:t>major </w:t>
      </w:r>
      <w:r>
        <w:rPr>
          <w:color w:val="231F20"/>
          <w:sz w:val="18"/>
        </w:rPr>
        <w:t>eventualities not captured in the forecast. It had increased the short-term uncertainty underlying the published projections to</w:t>
      </w:r>
    </w:p>
    <w:p>
      <w:pPr>
        <w:pStyle w:val="BodyText"/>
        <w:spacing w:line="232" w:lineRule="auto"/>
        <w:ind w:left="179" w:right="58"/>
      </w:pPr>
      <w:r>
        <w:rPr>
          <w:color w:val="231F20"/>
        </w:rPr>
        <w:t>reflect the problems with the AEI numbers, but it was very difficult to judge the degree of extra uncertainty created.  It was possible that further adverse news about the world economy could dent the outlook for output growth still further. And it was possible that weak world price inflation and the fall in domestic inflation expectations would have a bigger than assumed impact on RPIX. On the other hand, the recent recovery in the equity market meant that at the time of the meeting equity prices were 6% higher than the 15-day average used in the forecast. Overall the Committee </w:t>
      </w:r>
      <w:r>
        <w:rPr>
          <w:color w:val="231F20"/>
          <w:spacing w:val="-5"/>
        </w:rPr>
        <w:t>felt </w:t>
      </w:r>
      <w:r>
        <w:rPr>
          <w:color w:val="231F20"/>
        </w:rPr>
        <w:t>that the important factors were reflected in the forecast.</w:t>
      </w:r>
    </w:p>
    <w:p>
      <w:pPr>
        <w:pStyle w:val="BodyText"/>
        <w:spacing w:before="6"/>
        <w:rPr>
          <w:sz w:val="16"/>
        </w:rPr>
      </w:pPr>
    </w:p>
    <w:p>
      <w:pPr>
        <w:pStyle w:val="ListParagraph"/>
        <w:numPr>
          <w:ilvl w:val="0"/>
          <w:numId w:val="35"/>
        </w:numPr>
        <w:tabs>
          <w:tab w:pos="659" w:val="left" w:leader="none"/>
          <w:tab w:pos="661" w:val="left" w:leader="none"/>
        </w:tabs>
        <w:spacing w:line="232" w:lineRule="auto" w:before="0" w:after="0"/>
        <w:ind w:left="179" w:right="88" w:firstLine="0"/>
        <w:jc w:val="left"/>
        <w:rPr>
          <w:sz w:val="18"/>
        </w:rPr>
      </w:pPr>
      <w:r>
        <w:rPr>
          <w:color w:val="231F20"/>
          <w:sz w:val="18"/>
        </w:rPr>
        <w:t>The Committee noted that the shape and level of the projections were different when made using market expectations </w:t>
      </w:r>
      <w:r>
        <w:rPr>
          <w:color w:val="231F20"/>
          <w:spacing w:val="-9"/>
          <w:sz w:val="18"/>
        </w:rPr>
        <w:t>of </w:t>
      </w:r>
      <w:r>
        <w:rPr>
          <w:color w:val="231F20"/>
          <w:sz w:val="18"/>
        </w:rPr>
        <w:t>the likely path of interest rates (as derived from the short sterling futures contract adjusted for the typical premium between unsecured interbank deposit rates and gilt repo rates). Faster growth was implied, and a central projection for inflation which was above the target throughout 1999 and 2000. The </w:t>
      </w:r>
      <w:r>
        <w:rPr>
          <w:i/>
          <w:color w:val="231F20"/>
          <w:sz w:val="18"/>
        </w:rPr>
        <w:t>Inflation </w:t>
      </w:r>
      <w:r>
        <w:rPr>
          <w:i/>
          <w:color w:val="231F20"/>
          <w:sz w:val="18"/>
        </w:rPr>
        <w:t>Report </w:t>
      </w:r>
      <w:r>
        <w:rPr>
          <w:color w:val="231F20"/>
          <w:sz w:val="18"/>
        </w:rPr>
        <w:t>would show the difference between projections based on constant interest rates and market rates (as at 4 November).</w:t>
      </w:r>
    </w:p>
    <w:p>
      <w:pPr>
        <w:pStyle w:val="BodyText"/>
        <w:spacing w:before="9"/>
        <w:rPr>
          <w:sz w:val="16"/>
        </w:rPr>
      </w:pPr>
    </w:p>
    <w:p>
      <w:pPr>
        <w:pStyle w:val="ListParagraph"/>
        <w:numPr>
          <w:ilvl w:val="0"/>
          <w:numId w:val="35"/>
        </w:numPr>
        <w:tabs>
          <w:tab w:pos="659" w:val="left" w:leader="none"/>
          <w:tab w:pos="661" w:val="left" w:leader="none"/>
        </w:tabs>
        <w:spacing w:line="232" w:lineRule="auto" w:before="0" w:after="0"/>
        <w:ind w:left="179" w:right="287" w:firstLine="0"/>
        <w:jc w:val="left"/>
        <w:rPr>
          <w:sz w:val="18"/>
        </w:rPr>
      </w:pPr>
      <w:r>
        <w:rPr>
          <w:color w:val="231F20"/>
          <w:sz w:val="18"/>
        </w:rPr>
        <w:t>The Committee discussed the predictions of a sample of outside forecasters. The average forecast of GDP in the year to Q4 1999 was down by one percentage point since August. </w:t>
      </w:r>
      <w:r>
        <w:rPr>
          <w:color w:val="231F20"/>
          <w:spacing w:val="-5"/>
          <w:sz w:val="18"/>
        </w:rPr>
        <w:t>Most </w:t>
      </w:r>
      <w:r>
        <w:rPr>
          <w:color w:val="231F20"/>
          <w:sz w:val="18"/>
        </w:rPr>
        <w:t>forecasters predicted recovery in 2000. Inflation profiles were generally lower than three months ago. The average of outside forecasts was similar to the Bank’s central projection.</w:t>
      </w:r>
    </w:p>
    <w:p>
      <w:pPr>
        <w:pStyle w:val="BodyText"/>
        <w:spacing w:before="3"/>
        <w:rPr>
          <w:sz w:val="20"/>
        </w:rPr>
      </w:pPr>
    </w:p>
    <w:p>
      <w:pPr>
        <w:pStyle w:val="Heading6"/>
      </w:pPr>
      <w:r>
        <w:rPr>
          <w:color w:val="009483"/>
        </w:rPr>
        <w:t>Tactical considerations</w:t>
      </w:r>
    </w:p>
    <w:p>
      <w:pPr>
        <w:pStyle w:val="ListParagraph"/>
        <w:numPr>
          <w:ilvl w:val="0"/>
          <w:numId w:val="35"/>
        </w:numPr>
        <w:tabs>
          <w:tab w:pos="659" w:val="left" w:leader="none"/>
          <w:tab w:pos="661" w:val="left" w:leader="none"/>
        </w:tabs>
        <w:spacing w:line="232" w:lineRule="auto" w:before="110" w:after="0"/>
        <w:ind w:left="180" w:right="38" w:firstLine="0"/>
        <w:jc w:val="left"/>
        <w:rPr>
          <w:sz w:val="18"/>
        </w:rPr>
      </w:pPr>
      <w:r>
        <w:rPr>
          <w:color w:val="231F20"/>
          <w:sz w:val="18"/>
        </w:rPr>
        <w:t>While reiterating its earlier expressed view that there could be no mechanical or precise link between the forecast and policy settings, the Committee agreed that its latest forecast clearly pointed to a further cut in official interest rates. Before turning to the immediate policy decision, members first discussed a number </w:t>
      </w:r>
      <w:r>
        <w:rPr>
          <w:color w:val="231F20"/>
          <w:spacing w:val="-9"/>
          <w:sz w:val="18"/>
        </w:rPr>
        <w:t>of </w:t>
      </w:r>
      <w:r>
        <w:rPr>
          <w:color w:val="231F20"/>
          <w:sz w:val="18"/>
        </w:rPr>
        <w:t>tactical considerations.</w:t>
      </w:r>
    </w:p>
    <w:p>
      <w:pPr>
        <w:pStyle w:val="BodyText"/>
        <w:spacing w:before="11"/>
        <w:rPr>
          <w:sz w:val="16"/>
        </w:rPr>
      </w:pPr>
    </w:p>
    <w:p>
      <w:pPr>
        <w:pStyle w:val="ListParagraph"/>
        <w:numPr>
          <w:ilvl w:val="0"/>
          <w:numId w:val="35"/>
        </w:numPr>
        <w:tabs>
          <w:tab w:pos="659" w:val="left" w:leader="none"/>
          <w:tab w:pos="661" w:val="left" w:leader="none"/>
        </w:tabs>
        <w:spacing w:line="232" w:lineRule="auto" w:before="0" w:after="0"/>
        <w:ind w:left="180" w:right="138" w:firstLine="0"/>
        <w:jc w:val="left"/>
        <w:rPr>
          <w:sz w:val="18"/>
        </w:rPr>
      </w:pPr>
      <w:r>
        <w:rPr>
          <w:color w:val="231F20"/>
          <w:sz w:val="18"/>
        </w:rPr>
        <w:t>Was there a case for delaying part of any desired rate cut </w:t>
      </w:r>
      <w:r>
        <w:rPr>
          <w:color w:val="231F20"/>
          <w:spacing w:val="-9"/>
          <w:sz w:val="18"/>
        </w:rPr>
        <w:t>on </w:t>
      </w:r>
      <w:r>
        <w:rPr>
          <w:color w:val="231F20"/>
          <w:sz w:val="18"/>
        </w:rPr>
        <w:t>the grounds that some of the uncertainty about the earnings data should be resolved by the December or January meetings? The Committee agreed that this should not affect its immediate decision. It would need to take account of the new information about earnings as and when it became available, changing interest rates then if necessary.</w:t>
      </w:r>
    </w:p>
    <w:p>
      <w:pPr>
        <w:pStyle w:val="BodyText"/>
        <w:spacing w:before="11"/>
        <w:rPr>
          <w:sz w:val="16"/>
        </w:rPr>
      </w:pPr>
    </w:p>
    <w:p>
      <w:pPr>
        <w:pStyle w:val="ListParagraph"/>
        <w:numPr>
          <w:ilvl w:val="0"/>
          <w:numId w:val="35"/>
        </w:numPr>
        <w:tabs>
          <w:tab w:pos="659" w:val="left" w:leader="none"/>
          <w:tab w:pos="661" w:val="left" w:leader="none"/>
        </w:tabs>
        <w:spacing w:line="232" w:lineRule="auto" w:before="0" w:after="0"/>
        <w:ind w:left="180" w:right="47" w:firstLine="0"/>
        <w:jc w:val="left"/>
        <w:rPr>
          <w:sz w:val="18"/>
        </w:rPr>
      </w:pPr>
      <w:r>
        <w:rPr>
          <w:color w:val="231F20"/>
          <w:sz w:val="18"/>
        </w:rPr>
        <w:t>What would be the impact of different sized cuts on confidence and expectations in the real economy and financial markets? A range of views was expressed on this. One possible view was that, taken in isolation, a cut of more than 25 basis points might create the misleading impression that the outlook was worse than implied by the Committee’s central projection on the grounds that (i) financial markets thought the most likely outcome of the meeting was a cut of 25 basis points; and (ii) the Committee had </w:t>
      </w:r>
      <w:r>
        <w:rPr>
          <w:color w:val="231F20"/>
          <w:spacing w:val="-9"/>
          <w:sz w:val="18"/>
        </w:rPr>
        <w:t>so </w:t>
      </w:r>
      <w:r>
        <w:rPr>
          <w:color w:val="231F20"/>
          <w:sz w:val="18"/>
        </w:rPr>
        <w:t>far moved (in both directions) in steps of 25 basis points. But, against this, any move would in fact be followed by publication of</w:t>
      </w:r>
    </w:p>
    <w:p>
      <w:pPr>
        <w:pStyle w:val="BodyText"/>
        <w:spacing w:before="6"/>
        <w:rPr>
          <w:sz w:val="20"/>
        </w:rPr>
      </w:pPr>
      <w:r>
        <w:rPr/>
        <w:br w:type="column"/>
      </w:r>
      <w:r>
        <w:rPr>
          <w:sz w:val="20"/>
        </w:rPr>
      </w:r>
    </w:p>
    <w:p>
      <w:pPr>
        <w:pStyle w:val="BodyText"/>
        <w:spacing w:line="232" w:lineRule="auto"/>
        <w:ind w:left="180" w:right="399"/>
      </w:pPr>
      <w:r>
        <w:rPr>
          <w:color w:val="231F20"/>
        </w:rPr>
        <w:t>the </w:t>
      </w:r>
      <w:r>
        <w:rPr>
          <w:i/>
          <w:color w:val="231F20"/>
        </w:rPr>
        <w:t>Inflation Report </w:t>
      </w:r>
      <w:r>
        <w:rPr>
          <w:color w:val="231F20"/>
        </w:rPr>
        <w:t>a week later. Whatever the Committee’s decision, policy would then be seen in the light of its forecast for inflation.</w:t>
      </w:r>
    </w:p>
    <w:p>
      <w:pPr>
        <w:pStyle w:val="BodyText"/>
        <w:spacing w:before="2"/>
        <w:rPr>
          <w:sz w:val="17"/>
        </w:rPr>
      </w:pPr>
    </w:p>
    <w:p>
      <w:pPr>
        <w:pStyle w:val="ListParagraph"/>
        <w:numPr>
          <w:ilvl w:val="0"/>
          <w:numId w:val="35"/>
        </w:numPr>
        <w:tabs>
          <w:tab w:pos="659" w:val="left" w:leader="none"/>
          <w:tab w:pos="661" w:val="left" w:leader="none"/>
        </w:tabs>
        <w:spacing w:line="232" w:lineRule="auto" w:before="0" w:after="0"/>
        <w:ind w:left="180" w:right="302" w:firstLine="0"/>
        <w:jc w:val="left"/>
        <w:rPr>
          <w:sz w:val="18"/>
        </w:rPr>
      </w:pPr>
      <w:r>
        <w:rPr>
          <w:color w:val="231F20"/>
          <w:sz w:val="18"/>
        </w:rPr>
        <w:t>A second possible view was that there would be positive merit in moving by more than 25 basis points in order to display that, as the Committee had said before, it was prepared to move in larger steps. The Committee agreed that while that might be a welcome by-product of a cut of more than 25 basis points, it </w:t>
      </w:r>
      <w:r>
        <w:rPr>
          <w:color w:val="231F20"/>
          <w:spacing w:val="-3"/>
          <w:sz w:val="18"/>
        </w:rPr>
        <w:t>could </w:t>
      </w:r>
      <w:r>
        <w:rPr>
          <w:color w:val="231F20"/>
          <w:sz w:val="18"/>
        </w:rPr>
        <w:t>not be part of the reason for such a cut, which had to depend on </w:t>
      </w:r>
      <w:r>
        <w:rPr>
          <w:color w:val="231F20"/>
          <w:spacing w:val="-6"/>
          <w:sz w:val="18"/>
        </w:rPr>
        <w:t>its </w:t>
      </w:r>
      <w:r>
        <w:rPr>
          <w:color w:val="231F20"/>
          <w:sz w:val="18"/>
        </w:rPr>
        <w:t>assessment of the inflation outlook. A similarly welcome</w:t>
      </w:r>
    </w:p>
    <w:p>
      <w:pPr>
        <w:pStyle w:val="BodyText"/>
        <w:spacing w:line="232" w:lineRule="auto"/>
        <w:ind w:left="180" w:right="204"/>
      </w:pPr>
      <w:r>
        <w:rPr>
          <w:color w:val="231F20"/>
        </w:rPr>
        <w:t>by-product, but again not one that could affect the decision, was that a larger than expected cut would underline the symmetry of the Committee’s remit, ie that a prospect of falling below the 2</w:t>
      </w:r>
      <w:r>
        <w:rPr>
          <w:color w:val="231F20"/>
          <w:position w:val="6"/>
          <w:sz w:val="9"/>
        </w:rPr>
        <w:t>1</w:t>
      </w:r>
      <w:r>
        <w:rPr>
          <w:color w:val="231F20"/>
        </w:rPr>
        <w:t>/</w:t>
      </w:r>
      <w:r>
        <w:rPr>
          <w:color w:val="231F20"/>
          <w:sz w:val="9"/>
        </w:rPr>
        <w:t>2</w:t>
      </w:r>
      <w:r>
        <w:rPr>
          <w:color w:val="231F20"/>
        </w:rPr>
        <w:t>% target was taken as seriously as exceeding the target.</w:t>
      </w:r>
    </w:p>
    <w:p>
      <w:pPr>
        <w:pStyle w:val="BodyText"/>
        <w:spacing w:before="8"/>
        <w:rPr>
          <w:sz w:val="16"/>
        </w:rPr>
      </w:pPr>
    </w:p>
    <w:p>
      <w:pPr>
        <w:pStyle w:val="ListParagraph"/>
        <w:numPr>
          <w:ilvl w:val="0"/>
          <w:numId w:val="35"/>
        </w:numPr>
        <w:tabs>
          <w:tab w:pos="659" w:val="left" w:leader="none"/>
          <w:tab w:pos="661" w:val="left" w:leader="none"/>
        </w:tabs>
        <w:spacing w:line="232" w:lineRule="auto" w:before="0" w:after="0"/>
        <w:ind w:left="180" w:right="192" w:firstLine="0"/>
        <w:jc w:val="left"/>
        <w:rPr>
          <w:sz w:val="18"/>
        </w:rPr>
      </w:pPr>
      <w:r>
        <w:rPr>
          <w:color w:val="231F20"/>
          <w:sz w:val="18"/>
        </w:rPr>
        <w:t>A third possible view was that the Committee should err on the side of a larger cut in order to underpin business and consumer confidence in the economy. Against this it was felt that, whatever its size, the effect of a reduction in interest rates on confidence would depend on the justification for it. The Committee also needed to bear in mind that the larger the cut, the more likely it was that sterling would fall, which would tend to increase the price </w:t>
      </w:r>
      <w:r>
        <w:rPr>
          <w:color w:val="231F20"/>
          <w:spacing w:val="-4"/>
          <w:sz w:val="18"/>
        </w:rPr>
        <w:t>level </w:t>
      </w:r>
      <w:r>
        <w:rPr>
          <w:color w:val="231F20"/>
          <w:sz w:val="18"/>
        </w:rPr>
        <w:t>and thus temporarily increase future expected inflation.</w:t>
      </w:r>
    </w:p>
    <w:p>
      <w:pPr>
        <w:pStyle w:val="BodyText"/>
        <w:spacing w:before="1"/>
        <w:rPr>
          <w:sz w:val="20"/>
        </w:rPr>
      </w:pPr>
    </w:p>
    <w:p>
      <w:pPr>
        <w:pStyle w:val="Heading6"/>
      </w:pPr>
      <w:r>
        <w:rPr>
          <w:color w:val="009483"/>
        </w:rPr>
        <w:t>The immediate policy decision</w:t>
      </w:r>
    </w:p>
    <w:p>
      <w:pPr>
        <w:pStyle w:val="ListParagraph"/>
        <w:numPr>
          <w:ilvl w:val="0"/>
          <w:numId w:val="35"/>
        </w:numPr>
        <w:tabs>
          <w:tab w:pos="659" w:val="left" w:leader="none"/>
          <w:tab w:pos="661" w:val="left" w:leader="none"/>
        </w:tabs>
        <w:spacing w:line="232" w:lineRule="auto" w:before="110" w:after="0"/>
        <w:ind w:left="179" w:right="217" w:firstLine="0"/>
        <w:jc w:val="left"/>
        <w:rPr>
          <w:sz w:val="18"/>
        </w:rPr>
      </w:pPr>
      <w:r>
        <w:rPr>
          <w:color w:val="231F20"/>
          <w:sz w:val="18"/>
        </w:rPr>
        <w:t>By way of background, the Committee noted that over the past six years the economy had on average grown above trend, and until quite recently had still been growing at a rate that could not </w:t>
      </w:r>
      <w:r>
        <w:rPr>
          <w:color w:val="231F20"/>
          <w:spacing w:val="-9"/>
          <w:sz w:val="18"/>
        </w:rPr>
        <w:t>be </w:t>
      </w:r>
      <w:r>
        <w:rPr>
          <w:color w:val="231F20"/>
          <w:sz w:val="18"/>
        </w:rPr>
        <w:t>sustained given the economy’s productive capacity. That had been the justification for the past tightening of monetary policy. Relatively high short-term real rates of interest, fiscal policy tightening and the appreciation of the exchange rate had all helped to keep inflation in check, but it had still not fallen below 2</w:t>
      </w:r>
      <w:r>
        <w:rPr>
          <w:color w:val="231F20"/>
          <w:position w:val="6"/>
          <w:sz w:val="9"/>
        </w:rPr>
        <w:t>1</w:t>
      </w:r>
      <w:r>
        <w:rPr>
          <w:color w:val="231F20"/>
          <w:sz w:val="18"/>
        </w:rPr>
        <w:t>/</w:t>
      </w:r>
      <w:r>
        <w:rPr>
          <w:color w:val="231F20"/>
          <w:sz w:val="9"/>
        </w:rPr>
        <w:t>2</w:t>
      </w:r>
      <w:r>
        <w:rPr>
          <w:color w:val="231F20"/>
          <w:sz w:val="18"/>
        </w:rPr>
        <w:t>%, which was indicative of the strength of domestically generated inflationary pressures. Since August there had been a lot of news affecting the outlook for activity and inflation, including the fall in sterling, the shocks to the world economy, and the evidence from surveys and the Bank’s regional Agents of a sharp fall in business and consumer confidence. The extent of the lags between these developments and their effect on growth and inflation was highly uncertain, but they implied lower activity growth and inflation than expected in August.</w:t>
      </w:r>
    </w:p>
    <w:p>
      <w:pPr>
        <w:pStyle w:val="BodyText"/>
        <w:spacing w:before="2"/>
        <w:rPr>
          <w:sz w:val="16"/>
        </w:rPr>
      </w:pPr>
    </w:p>
    <w:p>
      <w:pPr>
        <w:pStyle w:val="ListParagraph"/>
        <w:numPr>
          <w:ilvl w:val="0"/>
          <w:numId w:val="35"/>
        </w:numPr>
        <w:tabs>
          <w:tab w:pos="659" w:val="left" w:leader="none"/>
          <w:tab w:pos="661" w:val="left" w:leader="none"/>
        </w:tabs>
        <w:spacing w:line="232" w:lineRule="auto" w:before="1" w:after="0"/>
        <w:ind w:left="179" w:right="346" w:firstLine="0"/>
        <w:jc w:val="left"/>
        <w:rPr>
          <w:sz w:val="18"/>
        </w:rPr>
      </w:pPr>
      <w:r>
        <w:rPr>
          <w:color w:val="231F20"/>
          <w:sz w:val="18"/>
        </w:rPr>
        <w:t>Against this background, the Committee discussed the arguments for interest rate cuts of 25 basis points, 50 basis </w:t>
      </w:r>
      <w:r>
        <w:rPr>
          <w:color w:val="231F20"/>
          <w:spacing w:val="-3"/>
          <w:sz w:val="18"/>
        </w:rPr>
        <w:t>points, </w:t>
      </w:r>
      <w:r>
        <w:rPr>
          <w:color w:val="231F20"/>
          <w:sz w:val="18"/>
        </w:rPr>
        <w:t>and of up to 75 basis points.</w:t>
      </w:r>
    </w:p>
    <w:p>
      <w:pPr>
        <w:pStyle w:val="BodyText"/>
        <w:spacing w:before="2"/>
        <w:rPr>
          <w:sz w:val="17"/>
        </w:rPr>
      </w:pPr>
    </w:p>
    <w:p>
      <w:pPr>
        <w:pStyle w:val="ListParagraph"/>
        <w:numPr>
          <w:ilvl w:val="0"/>
          <w:numId w:val="35"/>
        </w:numPr>
        <w:tabs>
          <w:tab w:pos="659" w:val="left" w:leader="none"/>
          <w:tab w:pos="661" w:val="left" w:leader="none"/>
        </w:tabs>
        <w:spacing w:line="232" w:lineRule="auto" w:before="0" w:after="0"/>
        <w:ind w:left="179" w:right="186" w:firstLine="0"/>
        <w:jc w:val="left"/>
        <w:rPr>
          <w:sz w:val="18"/>
        </w:rPr>
      </w:pPr>
      <w:r>
        <w:rPr>
          <w:color w:val="231F20"/>
          <w:sz w:val="18"/>
        </w:rPr>
        <w:t>Possible arguments identified for a 25 basis point cut were that the unusually high uncertainty about the earnings data pointed to caution in any move; that the Committee should avoid surprising financial markets given the risk of sterling falling if it did so; and that the Committee should avoid taking actions that could be construed as trying to fine tune output growth in 1999. On the first of these points the Committee agreed that if the earnings data were substantially revised upwards the interest rate move might need to be reversed, but that was not per se an argument for moving in small steps now. On the second point, the Committee agreed that the risk of surprising the financial markets could not justify limiting the cut to a size that would leave the central projection for inflation materially below the target in the second year of the forecast. On the third point, the Committee agreed that monetary policy could not have a significant impact on output growth in 1999 given the lags in its effects. But this did not amount to an argument for a</w:t>
      </w:r>
    </w:p>
    <w:p>
      <w:pPr>
        <w:pStyle w:val="BodyText"/>
        <w:spacing w:line="190" w:lineRule="exact"/>
        <w:ind w:left="179"/>
      </w:pPr>
      <w:r>
        <w:rPr>
          <w:color w:val="231F20"/>
        </w:rPr>
        <w:t>25 basis point cut.</w:t>
      </w:r>
    </w:p>
    <w:p>
      <w:pPr>
        <w:pStyle w:val="BodyText"/>
        <w:spacing w:before="2"/>
        <w:rPr>
          <w:sz w:val="17"/>
        </w:rPr>
      </w:pPr>
    </w:p>
    <w:p>
      <w:pPr>
        <w:pStyle w:val="ListParagraph"/>
        <w:numPr>
          <w:ilvl w:val="0"/>
          <w:numId w:val="36"/>
        </w:numPr>
        <w:tabs>
          <w:tab w:pos="659" w:val="left" w:leader="none"/>
          <w:tab w:pos="661" w:val="left" w:leader="none"/>
        </w:tabs>
        <w:spacing w:line="232" w:lineRule="auto" w:before="0" w:after="0"/>
        <w:ind w:left="179" w:right="301" w:firstLine="0"/>
        <w:jc w:val="left"/>
        <w:rPr>
          <w:sz w:val="18"/>
        </w:rPr>
      </w:pPr>
      <w:r>
        <w:rPr>
          <w:color w:val="231F20"/>
          <w:sz w:val="18"/>
        </w:rPr>
        <w:t>The arguments identified for a 50 basis point cut, supported in varying degrees by those members of the Committee who </w:t>
      </w:r>
      <w:r>
        <w:rPr>
          <w:color w:val="231F20"/>
          <w:spacing w:val="-4"/>
          <w:sz w:val="18"/>
        </w:rPr>
        <w:t>voted </w:t>
      </w:r>
      <w:r>
        <w:rPr>
          <w:color w:val="231F20"/>
          <w:sz w:val="18"/>
        </w:rPr>
        <w:t>for this course of action, were as follows. First, on the central projection, with a 50 basis point cut inflation would rise slightly above the target before returning to around 2.5% at the two year</w:t>
      </w:r>
    </w:p>
    <w:p>
      <w:pPr>
        <w:spacing w:after="0" w:line="232" w:lineRule="auto"/>
        <w:jc w:val="left"/>
        <w:rPr>
          <w:sz w:val="18"/>
        </w:rPr>
        <w:sectPr>
          <w:type w:val="continuous"/>
          <w:pgSz w:w="11900" w:h="16840"/>
          <w:pgMar w:top="1220" w:bottom="280" w:left="640" w:right="600"/>
          <w:cols w:num="2" w:equalWidth="0">
            <w:col w:w="5119" w:space="268"/>
            <w:col w:w="5273"/>
          </w:cols>
        </w:sectPr>
      </w:pPr>
    </w:p>
    <w:p>
      <w:pPr>
        <w:pStyle w:val="BodyText"/>
        <w:rPr>
          <w:sz w:val="20"/>
        </w:rPr>
      </w:pPr>
    </w:p>
    <w:p>
      <w:pPr>
        <w:spacing w:after="0"/>
        <w:rPr>
          <w:sz w:val="20"/>
        </w:rPr>
        <w:sectPr>
          <w:pgSz w:w="11900" w:h="16840"/>
          <w:pgMar w:header="566" w:footer="597" w:top="760" w:bottom="780" w:left="640" w:right="600"/>
        </w:sectPr>
      </w:pPr>
    </w:p>
    <w:p>
      <w:pPr>
        <w:pStyle w:val="BodyText"/>
        <w:spacing w:before="7"/>
        <w:rPr>
          <w:sz w:val="19"/>
        </w:rPr>
      </w:pPr>
    </w:p>
    <w:p>
      <w:pPr>
        <w:pStyle w:val="BodyText"/>
        <w:spacing w:line="232" w:lineRule="auto" w:before="1"/>
        <w:ind w:left="160" w:right="20"/>
      </w:pPr>
      <w:r>
        <w:rPr>
          <w:color w:val="231F20"/>
        </w:rPr>
        <w:t>horizon, with the risks initially on the upside and later on the downside, and with uncertainty greater at the longer horizons. By contrast, if rates were cut by 75 basis points, inflation would be above the target throughout the year 2000 on the central projection and up to the third quarter of 2000 even if the balance of downside risks assumed in the forecast materialised. Second, a larger cut might cause sterling to fall by more than was taken into account in the forecast. Third, notwithstanding the opportunity to explain any policy decision in the following week’s </w:t>
      </w:r>
      <w:r>
        <w:rPr>
          <w:i/>
          <w:color w:val="231F20"/>
        </w:rPr>
        <w:t>Inflation Report</w:t>
      </w:r>
      <w:r>
        <w:rPr>
          <w:color w:val="231F20"/>
        </w:rPr>
        <w:t>, there could well be a prolonged effect on perceptions of the Committee’s assessment of the outlook, with a risk that people, businesses and markets mistakenly concluded that the Committee knew something that it had not disclosed about the outlook.</w:t>
      </w:r>
    </w:p>
    <w:p>
      <w:pPr>
        <w:pStyle w:val="BodyText"/>
        <w:spacing w:before="5"/>
        <w:rPr>
          <w:sz w:val="16"/>
        </w:rPr>
      </w:pPr>
    </w:p>
    <w:p>
      <w:pPr>
        <w:pStyle w:val="ListParagraph"/>
        <w:numPr>
          <w:ilvl w:val="0"/>
          <w:numId w:val="36"/>
        </w:numPr>
        <w:tabs>
          <w:tab w:pos="639" w:val="left" w:leader="none"/>
          <w:tab w:pos="641" w:val="left" w:leader="none"/>
        </w:tabs>
        <w:spacing w:line="232" w:lineRule="auto" w:before="1" w:after="0"/>
        <w:ind w:left="160" w:right="38" w:firstLine="0"/>
        <w:jc w:val="left"/>
        <w:rPr>
          <w:sz w:val="18"/>
        </w:rPr>
      </w:pPr>
      <w:r>
        <w:rPr>
          <w:color w:val="231F20"/>
          <w:sz w:val="18"/>
        </w:rPr>
        <w:t>Among those members favouring an immediate 50 basis point cut, there was a range of views on the likely future course of policy. On one view, it was more likely than not that further cuts would at some point be needed, but the lags in the economy meant that it was not optimal to make those cuts now. It was argued that further cuts could over time be necessary because at 6.75% official rates would still most probably be above the ‘neutral’ rate implied by an equilibrium real interest rate and the 2</w:t>
      </w:r>
      <w:r>
        <w:rPr>
          <w:color w:val="231F20"/>
          <w:position w:val="6"/>
          <w:sz w:val="9"/>
        </w:rPr>
        <w:t>1</w:t>
      </w:r>
      <w:r>
        <w:rPr>
          <w:color w:val="231F20"/>
          <w:sz w:val="18"/>
        </w:rPr>
        <w:t>/</w:t>
      </w:r>
      <w:r>
        <w:rPr>
          <w:color w:val="231F20"/>
          <w:sz w:val="9"/>
        </w:rPr>
        <w:t>2</w:t>
      </w:r>
      <w:r>
        <w:rPr>
          <w:color w:val="231F20"/>
          <w:sz w:val="18"/>
        </w:rPr>
        <w:t>% inflation target. It was also possible that the near-term downward pressures on UK domestic prices might be greater than reflected in the projection. On another view, the short run outlook for future policy was more evenly balanced, bearing in mind continued domestically generated inflationary pressures.</w:t>
      </w:r>
    </w:p>
    <w:p>
      <w:pPr>
        <w:pStyle w:val="BodyText"/>
        <w:spacing w:before="5"/>
        <w:rPr>
          <w:sz w:val="16"/>
        </w:rPr>
      </w:pPr>
    </w:p>
    <w:p>
      <w:pPr>
        <w:pStyle w:val="ListParagraph"/>
        <w:numPr>
          <w:ilvl w:val="0"/>
          <w:numId w:val="36"/>
        </w:numPr>
        <w:tabs>
          <w:tab w:pos="639" w:val="left" w:leader="none"/>
          <w:tab w:pos="641" w:val="left" w:leader="none"/>
        </w:tabs>
        <w:spacing w:line="232" w:lineRule="auto" w:before="1" w:after="0"/>
        <w:ind w:left="160" w:right="52" w:firstLine="0"/>
        <w:jc w:val="left"/>
        <w:rPr>
          <w:sz w:val="18"/>
        </w:rPr>
      </w:pPr>
      <w:r>
        <w:rPr>
          <w:color w:val="231F20"/>
          <w:sz w:val="18"/>
        </w:rPr>
        <w:t>The arguments identified for a cut of up to 75 basis points were as follows. First, given that the balance of risks to inflation was on the downside at the end of the forecast period, inflation could be expected to undershoot the target in about two years’ </w:t>
      </w:r>
      <w:r>
        <w:rPr>
          <w:color w:val="231F20"/>
          <w:spacing w:val="-5"/>
          <w:sz w:val="18"/>
        </w:rPr>
        <w:t>time </w:t>
      </w:r>
      <w:r>
        <w:rPr>
          <w:color w:val="231F20"/>
          <w:sz w:val="18"/>
        </w:rPr>
        <w:t>if rates were cut by only 50 basis points. The size of cut should take account of these risks. A cut of more than 50 basis points— possibly 75 basis points, possibly in between—could be viewed as</w:t>
      </w:r>
    </w:p>
    <w:p>
      <w:pPr>
        <w:pStyle w:val="BodyText"/>
        <w:spacing w:before="7"/>
        <w:rPr>
          <w:sz w:val="19"/>
        </w:rPr>
      </w:pPr>
      <w:r>
        <w:rPr/>
        <w:br w:type="column"/>
      </w:r>
      <w:r>
        <w:rPr>
          <w:sz w:val="19"/>
        </w:rPr>
      </w:r>
    </w:p>
    <w:p>
      <w:pPr>
        <w:pStyle w:val="BodyText"/>
        <w:spacing w:line="232" w:lineRule="auto" w:before="1"/>
        <w:ind w:left="160" w:right="274"/>
      </w:pPr>
      <w:r>
        <w:rPr>
          <w:color w:val="231F20"/>
        </w:rPr>
        <w:t>taking out insurance against those risks, with the precise size depending on the weight given to the downside risks and the value placed on insurance. Second, a larger cut might fortify otherwise fragile business and consumer confidence, helping to guard against the effects of encircling gloom and thus worse outcomes than featured in the Committee’s forecast. Third, while a larger cut might well surprise the markets, it could be carefully explained in the </w:t>
      </w:r>
      <w:r>
        <w:rPr>
          <w:i/>
          <w:color w:val="231F20"/>
        </w:rPr>
        <w:t>Inflation Report</w:t>
      </w:r>
      <w:r>
        <w:rPr>
          <w:color w:val="231F20"/>
        </w:rPr>
        <w:t>, so that the cost of any surprise should be short-lived. Fourth, cutting by more than 50 basis points was preferable to cutting by 50 basis points with an expectation of making further cuts later.</w:t>
      </w:r>
    </w:p>
    <w:p>
      <w:pPr>
        <w:pStyle w:val="BodyText"/>
        <w:spacing w:before="7"/>
        <w:rPr>
          <w:sz w:val="16"/>
        </w:rPr>
      </w:pPr>
    </w:p>
    <w:p>
      <w:pPr>
        <w:pStyle w:val="ListParagraph"/>
        <w:numPr>
          <w:ilvl w:val="0"/>
          <w:numId w:val="36"/>
        </w:numPr>
        <w:tabs>
          <w:tab w:pos="639" w:val="left" w:leader="none"/>
          <w:tab w:pos="641" w:val="left" w:leader="none"/>
        </w:tabs>
        <w:spacing w:line="232" w:lineRule="auto" w:before="0" w:after="0"/>
        <w:ind w:left="160" w:right="203" w:firstLine="0"/>
        <w:jc w:val="left"/>
        <w:rPr>
          <w:sz w:val="18"/>
        </w:rPr>
      </w:pPr>
      <w:r>
        <w:rPr>
          <w:color w:val="231F20"/>
          <w:sz w:val="18"/>
        </w:rPr>
        <w:t>The Governor invited members of the Committee to vote on the proposition that the Bank’s repo rate be cut by 50 basis points </w:t>
      </w:r>
      <w:r>
        <w:rPr>
          <w:color w:val="231F20"/>
          <w:spacing w:val="-9"/>
          <w:sz w:val="18"/>
        </w:rPr>
        <w:t>to </w:t>
      </w:r>
      <w:r>
        <w:rPr>
          <w:color w:val="231F20"/>
          <w:sz w:val="18"/>
        </w:rPr>
        <w:t>6.75%. Eight members of the Committee (the Governor,</w:t>
      </w:r>
    </w:p>
    <w:p>
      <w:pPr>
        <w:pStyle w:val="BodyText"/>
        <w:spacing w:line="232" w:lineRule="auto"/>
        <w:ind w:left="160" w:right="471"/>
      </w:pPr>
      <w:r>
        <w:rPr>
          <w:color w:val="231F20"/>
        </w:rPr>
        <w:t>Mervyn King, David Clementi, Alan Budd, Charles Goodhart, DeAnne Julius, Ian Plenderleith and John Vickers) voted for the proposition. Willem Buiter voted against, preferring a cut of</w:t>
      </w:r>
    </w:p>
    <w:p>
      <w:pPr>
        <w:pStyle w:val="BodyText"/>
        <w:spacing w:line="200" w:lineRule="exact"/>
        <w:ind w:left="160"/>
      </w:pPr>
      <w:r>
        <w:rPr>
          <w:color w:val="231F20"/>
        </w:rPr>
        <w:t>75 basis points.</w:t>
      </w:r>
    </w:p>
    <w:p>
      <w:pPr>
        <w:pStyle w:val="ListParagraph"/>
        <w:numPr>
          <w:ilvl w:val="0"/>
          <w:numId w:val="37"/>
        </w:numPr>
        <w:tabs>
          <w:tab w:pos="639" w:val="left" w:leader="none"/>
          <w:tab w:pos="641" w:val="left" w:leader="none"/>
        </w:tabs>
        <w:spacing w:line="400" w:lineRule="atLeast" w:before="0" w:after="0"/>
        <w:ind w:left="160" w:right="584" w:firstLine="0"/>
        <w:jc w:val="left"/>
        <w:rPr>
          <w:sz w:val="18"/>
        </w:rPr>
      </w:pPr>
      <w:r>
        <w:rPr>
          <w:color w:val="231F20"/>
          <w:sz w:val="18"/>
        </w:rPr>
        <w:t>The following members of the Committee were </w:t>
      </w:r>
      <w:r>
        <w:rPr>
          <w:color w:val="231F20"/>
          <w:spacing w:val="-3"/>
          <w:sz w:val="18"/>
        </w:rPr>
        <w:t>present: </w:t>
      </w:r>
      <w:r>
        <w:rPr>
          <w:color w:val="231F20"/>
          <w:sz w:val="18"/>
        </w:rPr>
        <w:t>Eddie George, Governor</w:t>
      </w:r>
    </w:p>
    <w:p>
      <w:pPr>
        <w:pStyle w:val="BodyText"/>
        <w:spacing w:line="232" w:lineRule="auto"/>
        <w:ind w:left="160" w:right="421"/>
      </w:pPr>
      <w:r>
        <w:rPr>
          <w:color w:val="231F20"/>
        </w:rPr>
        <w:t>Mervyn King, Deputy Governor responsible for monetary policy David Clementi, Deputy Governor responsible for financial stability</w:t>
      </w:r>
    </w:p>
    <w:p>
      <w:pPr>
        <w:pStyle w:val="BodyText"/>
        <w:spacing w:line="232" w:lineRule="auto"/>
        <w:ind w:left="160" w:right="3815"/>
      </w:pPr>
      <w:r>
        <w:rPr>
          <w:color w:val="231F20"/>
        </w:rPr>
        <w:t>Alan Budd Willem Buiter Charles Goodhart DeAnne Julius Ian Plenderleith John Vickers</w:t>
      </w:r>
    </w:p>
    <w:p>
      <w:pPr>
        <w:pStyle w:val="BodyText"/>
        <w:spacing w:before="5"/>
        <w:rPr>
          <w:sz w:val="16"/>
        </w:rPr>
      </w:pPr>
    </w:p>
    <w:p>
      <w:pPr>
        <w:pStyle w:val="ListParagraph"/>
        <w:numPr>
          <w:ilvl w:val="0"/>
          <w:numId w:val="37"/>
        </w:numPr>
        <w:tabs>
          <w:tab w:pos="639" w:val="left" w:leader="none"/>
          <w:tab w:pos="641" w:val="left" w:leader="none"/>
        </w:tabs>
        <w:spacing w:line="232" w:lineRule="auto" w:before="0" w:after="0"/>
        <w:ind w:left="160" w:right="1153" w:firstLine="0"/>
        <w:jc w:val="left"/>
        <w:rPr>
          <w:sz w:val="18"/>
        </w:rPr>
      </w:pPr>
      <w:r>
        <w:rPr>
          <w:color w:val="231F20"/>
          <w:sz w:val="18"/>
        </w:rPr>
        <w:t>Gus O’Donnell was also present as the Treasury representative.</w:t>
      </w:r>
    </w:p>
    <w:p>
      <w:pPr>
        <w:spacing w:after="0" w:line="232" w:lineRule="auto"/>
        <w:jc w:val="left"/>
        <w:rPr>
          <w:sz w:val="18"/>
        </w:rPr>
        <w:sectPr>
          <w:type w:val="continuous"/>
          <w:pgSz w:w="11900" w:h="16840"/>
          <w:pgMar w:top="1220" w:bottom="280" w:left="640" w:right="600"/>
          <w:cols w:num="2" w:equalWidth="0">
            <w:col w:w="5059" w:space="331"/>
            <w:col w:w="5270"/>
          </w:cols>
        </w:sectPr>
      </w:pPr>
    </w:p>
    <w:p>
      <w:pPr>
        <w:pStyle w:val="BodyText"/>
        <w:rPr>
          <w:sz w:val="20"/>
        </w:rPr>
      </w:pPr>
    </w:p>
    <w:p>
      <w:pPr>
        <w:pStyle w:val="BodyText"/>
        <w:rPr>
          <w:sz w:val="20"/>
        </w:rPr>
      </w:pPr>
    </w:p>
    <w:p>
      <w:pPr>
        <w:pStyle w:val="Heading1"/>
        <w:spacing w:before="256"/>
        <w:ind w:left="169"/>
      </w:pPr>
      <w:r>
        <w:rPr>
          <w:color w:val="009483"/>
        </w:rPr>
        <w:t>Annex: Summary of data presented by Bank staff</w:t>
      </w:r>
    </w:p>
    <w:p>
      <w:pPr>
        <w:pStyle w:val="BodyText"/>
        <w:spacing w:before="5"/>
        <w:rPr>
          <w:b/>
          <w:sz w:val="26"/>
        </w:rPr>
      </w:pPr>
    </w:p>
    <w:p>
      <w:pPr>
        <w:spacing w:after="0"/>
        <w:rPr>
          <w:sz w:val="26"/>
        </w:rPr>
        <w:sectPr>
          <w:pgSz w:w="11900" w:h="16840"/>
          <w:pgMar w:header="566" w:footer="597" w:top="760" w:bottom="780" w:left="640" w:right="600"/>
        </w:sectPr>
      </w:pPr>
    </w:p>
    <w:p>
      <w:pPr>
        <w:pStyle w:val="ListParagraph"/>
        <w:numPr>
          <w:ilvl w:val="0"/>
          <w:numId w:val="38"/>
        </w:numPr>
        <w:tabs>
          <w:tab w:pos="649" w:val="left" w:leader="none"/>
          <w:tab w:pos="651" w:val="left" w:leader="none"/>
        </w:tabs>
        <w:spacing w:line="232" w:lineRule="auto" w:before="98" w:after="0"/>
        <w:ind w:left="170" w:right="67" w:firstLine="0"/>
        <w:jc w:val="left"/>
        <w:rPr>
          <w:sz w:val="18"/>
        </w:rPr>
      </w:pPr>
      <w:r>
        <w:rPr>
          <w:color w:val="231F20"/>
          <w:sz w:val="18"/>
        </w:rPr>
        <w:t>This Annex summarises the analysis presented by Bank </w:t>
      </w:r>
      <w:r>
        <w:rPr>
          <w:color w:val="231F20"/>
          <w:spacing w:val="-4"/>
          <w:sz w:val="18"/>
        </w:rPr>
        <w:t>staff </w:t>
      </w:r>
      <w:r>
        <w:rPr>
          <w:color w:val="231F20"/>
          <w:sz w:val="18"/>
        </w:rPr>
        <w:t>to the Monetary Policy Committee on 30 October 1998, in advance of its meeting. At the start of the Committee meeting itself, members were made aware of information that had subsequently become available, and that information is included in the Annex.</w:t>
      </w:r>
    </w:p>
    <w:p>
      <w:pPr>
        <w:pStyle w:val="BodyText"/>
        <w:spacing w:before="6"/>
      </w:pPr>
    </w:p>
    <w:p>
      <w:pPr>
        <w:pStyle w:val="Heading6"/>
        <w:numPr>
          <w:ilvl w:val="0"/>
          <w:numId w:val="39"/>
        </w:numPr>
        <w:tabs>
          <w:tab w:pos="649" w:val="left" w:leader="none"/>
          <w:tab w:pos="651" w:val="left" w:leader="none"/>
        </w:tabs>
        <w:spacing w:line="240" w:lineRule="auto" w:before="0" w:after="0"/>
        <w:ind w:left="650" w:right="0" w:hanging="481"/>
        <w:jc w:val="left"/>
      </w:pPr>
      <w:r>
        <w:rPr>
          <w:color w:val="009483"/>
        </w:rPr>
        <w:t>Financial</w:t>
      </w:r>
      <w:r>
        <w:rPr>
          <w:color w:val="009483"/>
          <w:spacing w:val="-1"/>
        </w:rPr>
        <w:t> </w:t>
      </w:r>
      <w:r>
        <w:rPr>
          <w:color w:val="009483"/>
        </w:rPr>
        <w:t>markets</w:t>
      </w:r>
    </w:p>
    <w:p>
      <w:pPr>
        <w:spacing w:before="105"/>
        <w:ind w:left="170" w:right="0" w:firstLine="0"/>
        <w:jc w:val="left"/>
        <w:rPr>
          <w:i/>
          <w:sz w:val="18"/>
        </w:rPr>
      </w:pPr>
      <w:r>
        <w:rPr>
          <w:i/>
          <w:color w:val="009483"/>
          <w:sz w:val="18"/>
        </w:rPr>
        <w:t>Foreign exchange</w:t>
      </w:r>
    </w:p>
    <w:p>
      <w:pPr>
        <w:pStyle w:val="ListParagraph"/>
        <w:numPr>
          <w:ilvl w:val="0"/>
          <w:numId w:val="38"/>
        </w:numPr>
        <w:tabs>
          <w:tab w:pos="649" w:val="left" w:leader="none"/>
          <w:tab w:pos="651" w:val="left" w:leader="none"/>
        </w:tabs>
        <w:spacing w:line="232" w:lineRule="auto" w:before="118" w:after="0"/>
        <w:ind w:left="170" w:right="57" w:firstLine="0"/>
        <w:jc w:val="left"/>
        <w:rPr>
          <w:sz w:val="18"/>
        </w:rPr>
      </w:pPr>
      <w:r>
        <w:rPr>
          <w:color w:val="231F20"/>
          <w:sz w:val="18"/>
        </w:rPr>
        <w:t>Between 6 October and 8 October, $/yen had fallen from 132 to 112. DM/yen had fallen by almost as much. The trigger for these unusually large fall may have been the perception that progress was being made to resolve the banking problems in Japan. Poor liquidity had exacerbated the fall in the $/yen exchange rate, as participants who had borrowed cheap yen to fund positions elsewhere had attempted to unwind their positions. After that, the yen had stabilised, perhaps reflecting a perception that a rate just below 120 was closer to its ‘equilibrium’ value. One-month implied volatility for $/yen had remained at historically high </w:t>
      </w:r>
      <w:r>
        <w:rPr>
          <w:color w:val="231F20"/>
          <w:spacing w:val="-3"/>
          <w:sz w:val="18"/>
        </w:rPr>
        <w:t>levels, </w:t>
      </w:r>
      <w:r>
        <w:rPr>
          <w:color w:val="231F20"/>
          <w:sz w:val="18"/>
        </w:rPr>
        <w:t>even though it had halved since 8 October. The dollar had also fallen against other major currencies in recent months, reflecting expectations of interest rate cuts (which had been borne out) and concerns about the impact on the US trade balance of a Latin American recession. However, on a broader measure of the effective exchange rate the dollar had only fallen by 4%.</w:t>
      </w:r>
    </w:p>
    <w:p>
      <w:pPr>
        <w:pStyle w:val="ListParagraph"/>
        <w:numPr>
          <w:ilvl w:val="0"/>
          <w:numId w:val="38"/>
        </w:numPr>
        <w:tabs>
          <w:tab w:pos="649" w:val="left" w:leader="none"/>
          <w:tab w:pos="651" w:val="left" w:leader="none"/>
        </w:tabs>
        <w:spacing w:line="232" w:lineRule="auto" w:before="167" w:after="0"/>
        <w:ind w:left="170" w:right="87" w:firstLine="0"/>
        <w:jc w:val="left"/>
        <w:rPr>
          <w:sz w:val="18"/>
        </w:rPr>
      </w:pPr>
      <w:r>
        <w:rPr>
          <w:color w:val="231F20"/>
          <w:sz w:val="18"/>
        </w:rPr>
        <w:t>The correlation between movement in the dollar and sterling had remained strong, and had possibly strengthened. The</w:t>
      </w:r>
    </w:p>
    <w:p>
      <w:pPr>
        <w:pStyle w:val="BodyText"/>
        <w:spacing w:line="232" w:lineRule="auto"/>
        <w:ind w:left="170" w:right="99"/>
      </w:pPr>
      <w:r>
        <w:rPr>
          <w:color w:val="231F20"/>
        </w:rPr>
        <w:t>8 October MPC announcement cutting rates by 25 basis points and the 14 October downward revision to average earnings had coincided with significant moves in sterling, although the former came at the height of the $/yen turmoil, which appeared to have exaggerated the upward move.</w:t>
      </w:r>
    </w:p>
    <w:p>
      <w:pPr>
        <w:pStyle w:val="BodyText"/>
        <w:spacing w:before="6"/>
        <w:rPr>
          <w:sz w:val="16"/>
        </w:rPr>
      </w:pPr>
    </w:p>
    <w:p>
      <w:pPr>
        <w:spacing w:before="0"/>
        <w:ind w:left="170" w:right="0" w:firstLine="0"/>
        <w:jc w:val="left"/>
        <w:rPr>
          <w:i/>
          <w:sz w:val="18"/>
        </w:rPr>
      </w:pPr>
      <w:r>
        <w:rPr>
          <w:i/>
          <w:color w:val="009483"/>
          <w:sz w:val="18"/>
        </w:rPr>
        <w:t>Government bond and money markets</w:t>
      </w:r>
    </w:p>
    <w:p>
      <w:pPr>
        <w:pStyle w:val="ListParagraph"/>
        <w:numPr>
          <w:ilvl w:val="0"/>
          <w:numId w:val="38"/>
        </w:numPr>
        <w:tabs>
          <w:tab w:pos="649" w:val="left" w:leader="none"/>
          <w:tab w:pos="651" w:val="left" w:leader="none"/>
        </w:tabs>
        <w:spacing w:line="232" w:lineRule="auto" w:before="118" w:after="0"/>
        <w:ind w:left="170" w:right="43" w:firstLine="0"/>
        <w:jc w:val="left"/>
        <w:rPr>
          <w:sz w:val="18"/>
        </w:rPr>
      </w:pPr>
      <w:r>
        <w:rPr>
          <w:color w:val="231F20"/>
          <w:sz w:val="18"/>
        </w:rPr>
        <w:t>Implied interest rates had fallen at the short end of the yield curve following the MPC’s 25 basis point cut in October, and again after the US cut. At longer maturities, the recovering equity </w:t>
      </w:r>
      <w:r>
        <w:rPr>
          <w:color w:val="231F20"/>
          <w:spacing w:val="-3"/>
          <w:sz w:val="18"/>
        </w:rPr>
        <w:t>market </w:t>
      </w:r>
      <w:r>
        <w:rPr>
          <w:color w:val="231F20"/>
          <w:sz w:val="18"/>
        </w:rPr>
        <w:t>and sharp currency moves had been associated with higher yields. Most international bond markets had fallen following the sharp appreciation in the yen.  At the same time, market participants in the United States and United Kingdom had begun to expect more aggressive monetary easing, and this had been reflected in less inverted bond yield curves. But the currency movements had also meant that some market participants had looked to close out their positions and, coupled with poor liquidity, these technical factors had probably exacerbated the yield changes. Implied volatility in the long gilt future had fallen from a peak of around 13%, but had remained high, and futures turnover had fallen, suggesting that the markets remained less liquid than usual.</w:t>
      </w:r>
    </w:p>
    <w:p>
      <w:pPr>
        <w:pStyle w:val="ListParagraph"/>
        <w:numPr>
          <w:ilvl w:val="0"/>
          <w:numId w:val="38"/>
        </w:numPr>
        <w:tabs>
          <w:tab w:pos="649" w:val="left" w:leader="none"/>
          <w:tab w:pos="651" w:val="left" w:leader="none"/>
        </w:tabs>
        <w:spacing w:line="232" w:lineRule="auto" w:before="168" w:after="0"/>
        <w:ind w:left="170" w:right="172" w:firstLine="0"/>
        <w:jc w:val="left"/>
        <w:rPr>
          <w:sz w:val="18"/>
        </w:rPr>
      </w:pPr>
      <w:r>
        <w:rPr>
          <w:color w:val="231F20"/>
          <w:sz w:val="18"/>
        </w:rPr>
        <w:t>In the futures market, implied interest rates had fallen by about 30 basis points since the previous MPC meeting, whereas longer contracts had been at roughly the same level, implying </w:t>
      </w:r>
      <w:r>
        <w:rPr>
          <w:color w:val="231F20"/>
          <w:spacing w:val="-5"/>
          <w:sz w:val="18"/>
        </w:rPr>
        <w:t>that </w:t>
      </w:r>
      <w:r>
        <w:rPr>
          <w:color w:val="231F20"/>
          <w:sz w:val="18"/>
        </w:rPr>
        <w:t>the market had brought forward when it expected rates to be cut, but not the extent of the easing it expected. There had been a spread of 100 basis points between current three-month Libor and the short sterling March contract, implying that significant cuts in rates were expected before Easter. A few market participants had expected a 50 basis point cut in November, although most had anticipated 25 basis points.</w:t>
      </w:r>
    </w:p>
    <w:p>
      <w:pPr>
        <w:pStyle w:val="BodyText"/>
        <w:spacing w:before="8"/>
        <w:rPr>
          <w:sz w:val="16"/>
        </w:rPr>
      </w:pPr>
    </w:p>
    <w:p>
      <w:pPr>
        <w:pStyle w:val="ListParagraph"/>
        <w:numPr>
          <w:ilvl w:val="0"/>
          <w:numId w:val="38"/>
        </w:numPr>
        <w:tabs>
          <w:tab w:pos="649" w:val="left" w:leader="none"/>
          <w:tab w:pos="651" w:val="left" w:leader="none"/>
        </w:tabs>
        <w:spacing w:line="232" w:lineRule="auto" w:before="1" w:after="0"/>
        <w:ind w:left="170" w:right="38" w:firstLine="0"/>
        <w:jc w:val="left"/>
        <w:rPr>
          <w:sz w:val="18"/>
        </w:rPr>
      </w:pPr>
      <w:r>
        <w:rPr>
          <w:color w:val="231F20"/>
          <w:sz w:val="18"/>
        </w:rPr>
        <w:t>The spread between interbank and CD rates and gilt repo </w:t>
      </w:r>
      <w:r>
        <w:rPr>
          <w:color w:val="231F20"/>
          <w:spacing w:val="-6"/>
          <w:sz w:val="18"/>
        </w:rPr>
        <w:t>had </w:t>
      </w:r>
      <w:r>
        <w:rPr>
          <w:color w:val="231F20"/>
          <w:sz w:val="18"/>
        </w:rPr>
        <w:t>been unusually high in late October. This could be argued to have understated the rise in credit risk premia demanded by the market, because some weaker credits might have withdrawn from the</w:t>
      </w:r>
    </w:p>
    <w:p>
      <w:pPr>
        <w:pStyle w:val="BodyText"/>
        <w:spacing w:line="232" w:lineRule="auto" w:before="97"/>
        <w:ind w:left="170" w:right="230"/>
      </w:pPr>
      <w:r>
        <w:rPr/>
        <w:br w:type="column"/>
      </w:r>
      <w:r>
        <w:rPr>
          <w:color w:val="231F20"/>
        </w:rPr>
        <w:t>market. On the other hand, an increase in short term deposits at the major banks, subject to sterling stock liquidity requirements, would have tended to increase their demand for liquid assets including repo, and this could have worked to widen the interbank-repo spread.</w:t>
      </w:r>
    </w:p>
    <w:p>
      <w:pPr>
        <w:spacing w:before="172"/>
        <w:ind w:left="170" w:right="0" w:firstLine="0"/>
        <w:jc w:val="left"/>
        <w:rPr>
          <w:i/>
          <w:sz w:val="18"/>
        </w:rPr>
      </w:pPr>
      <w:r>
        <w:rPr>
          <w:i/>
          <w:color w:val="009483"/>
          <w:sz w:val="18"/>
        </w:rPr>
        <w:t>Equity markets</w:t>
      </w:r>
    </w:p>
    <w:p>
      <w:pPr>
        <w:pStyle w:val="ListParagraph"/>
        <w:numPr>
          <w:ilvl w:val="0"/>
          <w:numId w:val="38"/>
        </w:numPr>
        <w:tabs>
          <w:tab w:pos="649" w:val="left" w:leader="none"/>
          <w:tab w:pos="651" w:val="left" w:leader="none"/>
        </w:tabs>
        <w:spacing w:line="232" w:lineRule="auto" w:before="118" w:after="0"/>
        <w:ind w:left="170" w:right="294" w:firstLine="0"/>
        <w:jc w:val="left"/>
        <w:rPr>
          <w:sz w:val="18"/>
        </w:rPr>
      </w:pPr>
      <w:r>
        <w:rPr>
          <w:color w:val="231F20"/>
          <w:sz w:val="18"/>
        </w:rPr>
        <w:t>Equity indices had risen since the previous MPC meeting in most international markets. In the United Kingdom, the relative fall in banking sector share prices in September had been reversed, while indices for utilities, property and food retailers, which had been seen as ‘safe havens’ during market turbulence, had underperformed the market. Implied volatilities for the F</w:t>
      </w:r>
      <w:r>
        <w:rPr>
          <w:color w:val="231F20"/>
          <w:sz w:val="14"/>
        </w:rPr>
        <w:t>T-SE </w:t>
      </w:r>
      <w:r>
        <w:rPr>
          <w:color w:val="231F20"/>
          <w:sz w:val="18"/>
        </w:rPr>
        <w:t>100 and S&amp;P 500 had declined from their September peak, but remained above their 1998 averages. Analysts’ forecasts for growth in earnings per share over the next year had declined further. But analysts’ longer-term outlook for growth in earnings per share had remained constant, as they had done for most of 1998. The number of profits warnings had been higher than a </w:t>
      </w:r>
      <w:r>
        <w:rPr>
          <w:color w:val="231F20"/>
          <w:spacing w:val="-5"/>
          <w:sz w:val="18"/>
        </w:rPr>
        <w:t>year </w:t>
      </w:r>
      <w:r>
        <w:rPr>
          <w:color w:val="231F20"/>
          <w:sz w:val="18"/>
        </w:rPr>
        <w:t>earlier, with concerns about demand and problems in emerging markets frequently cited as reasons.</w:t>
      </w:r>
    </w:p>
    <w:p>
      <w:pPr>
        <w:pStyle w:val="BodyText"/>
        <w:spacing w:before="8"/>
        <w:rPr>
          <w:sz w:val="19"/>
        </w:rPr>
      </w:pPr>
    </w:p>
    <w:p>
      <w:pPr>
        <w:pStyle w:val="Heading6"/>
        <w:numPr>
          <w:ilvl w:val="0"/>
          <w:numId w:val="39"/>
        </w:numPr>
        <w:tabs>
          <w:tab w:pos="650" w:val="left" w:leader="none"/>
          <w:tab w:pos="651" w:val="left" w:leader="none"/>
        </w:tabs>
        <w:spacing w:line="240" w:lineRule="auto" w:before="0" w:after="0"/>
        <w:ind w:left="650" w:right="0" w:hanging="481"/>
        <w:jc w:val="left"/>
      </w:pPr>
      <w:r>
        <w:rPr>
          <w:color w:val="009483"/>
        </w:rPr>
        <w:t>Monetary and credit</w:t>
      </w:r>
      <w:r>
        <w:rPr>
          <w:color w:val="009483"/>
          <w:spacing w:val="-1"/>
        </w:rPr>
        <w:t> </w:t>
      </w:r>
      <w:r>
        <w:rPr>
          <w:color w:val="009483"/>
        </w:rPr>
        <w:t>conditions</w:t>
      </w:r>
    </w:p>
    <w:p>
      <w:pPr>
        <w:spacing w:before="104"/>
        <w:ind w:left="170" w:right="0" w:firstLine="0"/>
        <w:jc w:val="left"/>
        <w:rPr>
          <w:i/>
          <w:sz w:val="18"/>
        </w:rPr>
      </w:pPr>
      <w:r>
        <w:rPr>
          <w:i/>
          <w:color w:val="009483"/>
          <w:sz w:val="18"/>
        </w:rPr>
        <w:t>Monetary quantities</w:t>
      </w:r>
    </w:p>
    <w:p>
      <w:pPr>
        <w:pStyle w:val="ListParagraph"/>
        <w:numPr>
          <w:ilvl w:val="0"/>
          <w:numId w:val="38"/>
        </w:numPr>
        <w:tabs>
          <w:tab w:pos="649" w:val="left" w:leader="none"/>
          <w:tab w:pos="651" w:val="left" w:leader="none"/>
        </w:tabs>
        <w:spacing w:line="232" w:lineRule="auto" w:before="118" w:after="0"/>
        <w:ind w:left="170" w:right="534" w:firstLine="0"/>
        <w:jc w:val="left"/>
        <w:rPr>
          <w:sz w:val="18"/>
        </w:rPr>
      </w:pPr>
      <w:r>
        <w:rPr>
          <w:color w:val="231F20"/>
          <w:sz w:val="18"/>
        </w:rPr>
        <w:t>The (provisional) twelve-month growth rate of notes </w:t>
      </w:r>
      <w:r>
        <w:rPr>
          <w:color w:val="231F20"/>
          <w:spacing w:val="-6"/>
          <w:sz w:val="18"/>
        </w:rPr>
        <w:t>and </w:t>
      </w:r>
      <w:r>
        <w:rPr>
          <w:color w:val="231F20"/>
          <w:sz w:val="18"/>
        </w:rPr>
        <w:t>coin (adjusted for 50p and £2 coin effects) had been 5.2% in October, compared with 5.7% in September. The three and</w:t>
      </w:r>
    </w:p>
    <w:p>
      <w:pPr>
        <w:pStyle w:val="BodyText"/>
        <w:spacing w:line="232" w:lineRule="auto"/>
        <w:ind w:left="170" w:right="261"/>
      </w:pPr>
      <w:r>
        <w:rPr>
          <w:color w:val="231F20"/>
        </w:rPr>
        <w:t>six-month annualised growth rates had also fallen in October. Annual growth in broad money (M4) had been 9.0% in September, compared with 8.7% in August. M4 growth in the third quarter of 1998 had been slightly up on the second quarter (2.2% in Q3, compared with 2.1% in Q2).</w:t>
      </w:r>
    </w:p>
    <w:p>
      <w:pPr>
        <w:pStyle w:val="ListParagraph"/>
        <w:numPr>
          <w:ilvl w:val="0"/>
          <w:numId w:val="38"/>
        </w:numPr>
        <w:tabs>
          <w:tab w:pos="649" w:val="left" w:leader="none"/>
          <w:tab w:pos="651" w:val="left" w:leader="none"/>
        </w:tabs>
        <w:spacing w:line="203" w:lineRule="exact" w:before="169" w:after="0"/>
        <w:ind w:left="650" w:right="0" w:hanging="481"/>
        <w:jc w:val="left"/>
        <w:rPr>
          <w:sz w:val="18"/>
        </w:rPr>
      </w:pPr>
      <w:r>
        <w:rPr>
          <w:color w:val="231F20"/>
          <w:sz w:val="18"/>
        </w:rPr>
        <w:t>Households’ M4 had grown by more in September</w:t>
      </w:r>
    </w:p>
    <w:p>
      <w:pPr>
        <w:pStyle w:val="BodyText"/>
        <w:spacing w:line="232" w:lineRule="auto" w:before="2"/>
        <w:ind w:left="170" w:right="320"/>
      </w:pPr>
      <w:r>
        <w:rPr>
          <w:color w:val="231F20"/>
        </w:rPr>
        <w:t>(£1.6 billion) than in August (£1.1 billion), with the twelve-month rate at 6.1%. The twelve-month rate of growth of M4 of Other Financial Corporations (OFCs) had been 19.2% in September.</w:t>
      </w:r>
    </w:p>
    <w:p>
      <w:pPr>
        <w:pStyle w:val="BodyText"/>
        <w:spacing w:line="232" w:lineRule="auto"/>
        <w:ind w:left="170" w:right="306"/>
      </w:pPr>
      <w:r>
        <w:rPr>
          <w:color w:val="231F20"/>
        </w:rPr>
        <w:t>According to the Merrill Lynch survey of fund managers, the ratio of cash to portfolio value of Insurance Companies and Pension Funds (I</w:t>
      </w:r>
      <w:r>
        <w:rPr>
          <w:color w:val="231F20"/>
          <w:sz w:val="14"/>
        </w:rPr>
        <w:t>CPF</w:t>
      </w:r>
      <w:r>
        <w:rPr>
          <w:color w:val="231F20"/>
        </w:rPr>
        <w:t>s) had risen from 4.9% in September to 6.9% in October.</w:t>
      </w:r>
    </w:p>
    <w:p>
      <w:pPr>
        <w:pStyle w:val="BodyText"/>
        <w:spacing w:before="10"/>
        <w:rPr>
          <w:sz w:val="16"/>
        </w:rPr>
      </w:pPr>
    </w:p>
    <w:p>
      <w:pPr>
        <w:pStyle w:val="ListParagraph"/>
        <w:numPr>
          <w:ilvl w:val="0"/>
          <w:numId w:val="38"/>
        </w:numPr>
        <w:tabs>
          <w:tab w:pos="649" w:val="left" w:leader="none"/>
          <w:tab w:pos="651" w:val="left" w:leader="none"/>
        </w:tabs>
        <w:spacing w:line="232" w:lineRule="auto" w:before="0" w:after="0"/>
        <w:ind w:left="170" w:right="274" w:firstLine="0"/>
        <w:jc w:val="left"/>
        <w:rPr>
          <w:sz w:val="18"/>
        </w:rPr>
      </w:pPr>
      <w:r>
        <w:rPr>
          <w:color w:val="231F20"/>
          <w:sz w:val="18"/>
        </w:rPr>
        <w:t>The slight pick-up in annual growth in aggregate Divisia in the third quarter (7.8%, compared with 7.7% in the second </w:t>
      </w:r>
      <w:r>
        <w:rPr>
          <w:color w:val="231F20"/>
          <w:spacing w:val="-3"/>
          <w:sz w:val="18"/>
        </w:rPr>
        <w:t>quarter) </w:t>
      </w:r>
      <w:r>
        <w:rPr>
          <w:color w:val="231F20"/>
          <w:sz w:val="18"/>
        </w:rPr>
        <w:t>had been broadly similar to the pattern in the M4 data. Within the aggregate, household Divisia growth had been unchanged in the third quarter at 6.6%; the annual growth in OFCs’ Divisia had fallen back from 16.8% in the second quarter to 16.2% in the </w:t>
      </w:r>
      <w:r>
        <w:rPr>
          <w:color w:val="231F20"/>
          <w:spacing w:val="-3"/>
          <w:sz w:val="18"/>
        </w:rPr>
        <w:t>third; </w:t>
      </w:r>
      <w:r>
        <w:rPr>
          <w:color w:val="231F20"/>
          <w:sz w:val="18"/>
        </w:rPr>
        <w:t>and the growth in Divisia of Private Non-Financial Corporations (P</w:t>
      </w:r>
      <w:r>
        <w:rPr>
          <w:color w:val="231F20"/>
          <w:sz w:val="14"/>
        </w:rPr>
        <w:t>NFC</w:t>
      </w:r>
      <w:r>
        <w:rPr>
          <w:color w:val="231F20"/>
          <w:sz w:val="18"/>
        </w:rPr>
        <w:t>s) had increased from 5.6% to 7.5% in the third</w:t>
      </w:r>
      <w:r>
        <w:rPr>
          <w:color w:val="231F20"/>
          <w:spacing w:val="-2"/>
          <w:sz w:val="18"/>
        </w:rPr>
        <w:t> </w:t>
      </w:r>
      <w:r>
        <w:rPr>
          <w:color w:val="231F20"/>
          <w:sz w:val="18"/>
        </w:rPr>
        <w:t>quarter.</w:t>
      </w:r>
    </w:p>
    <w:p>
      <w:pPr>
        <w:pStyle w:val="ListParagraph"/>
        <w:numPr>
          <w:ilvl w:val="0"/>
          <w:numId w:val="38"/>
        </w:numPr>
        <w:tabs>
          <w:tab w:pos="649" w:val="left" w:leader="none"/>
          <w:tab w:pos="651" w:val="left" w:leader="none"/>
        </w:tabs>
        <w:spacing w:line="232" w:lineRule="auto" w:before="174" w:after="0"/>
        <w:ind w:left="170" w:right="229" w:firstLine="0"/>
        <w:jc w:val="left"/>
        <w:rPr>
          <w:sz w:val="18"/>
        </w:rPr>
      </w:pPr>
      <w:r>
        <w:rPr>
          <w:color w:val="231F20"/>
          <w:sz w:val="18"/>
        </w:rPr>
        <w:t>Aggregate M4 lending had been £6.2 billion in September, similar to August (£6.6 billion). M4 lending to households had been increasing, with three and six-month annualised growth rates higher than the annual growth rate of 7.4%. Within lending, </w:t>
      </w:r>
      <w:r>
        <w:rPr>
          <w:color w:val="231F20"/>
          <w:spacing w:val="-3"/>
          <w:sz w:val="18"/>
        </w:rPr>
        <w:t>annual </w:t>
      </w:r>
      <w:r>
        <w:rPr>
          <w:color w:val="231F20"/>
          <w:sz w:val="18"/>
        </w:rPr>
        <w:t>growth in total secured lending to individuals, at 5.9%, had picked up slightly in the third quarter. There had been a third consecutive monthly fall in the number of loan approvals for house purchase in September. The annual growth in unsecured lending to individuals had remained strong (19.0% in the third quarter) and net credit card borrowing had also increased in September (by £439 million compared with £406 million in August), with the twelve-month growth rate at 26.5%. There had been anecdotal evidence of a modest rise in arrears. The twelve-month growth rate in lending to OFCs had been weaker in September, with a flow of £1.7 billion</w:t>
      </w:r>
    </w:p>
    <w:p>
      <w:pPr>
        <w:spacing w:after="0" w:line="232" w:lineRule="auto"/>
        <w:jc w:val="left"/>
        <w:rPr>
          <w:sz w:val="18"/>
        </w:rPr>
        <w:sectPr>
          <w:type w:val="continuous"/>
          <w:pgSz w:w="11900" w:h="16840"/>
          <w:pgMar w:top="1220" w:bottom="280" w:left="640" w:right="600"/>
          <w:cols w:num="2" w:equalWidth="0">
            <w:col w:w="5099" w:space="281"/>
            <w:col w:w="5280"/>
          </w:cols>
        </w:sectPr>
      </w:pPr>
    </w:p>
    <w:p>
      <w:pPr>
        <w:pStyle w:val="BodyText"/>
        <w:rPr>
          <w:sz w:val="20"/>
        </w:rPr>
      </w:pPr>
    </w:p>
    <w:p>
      <w:pPr>
        <w:spacing w:after="0"/>
        <w:rPr>
          <w:sz w:val="20"/>
        </w:rPr>
        <w:sectPr>
          <w:pgSz w:w="11900" w:h="16840"/>
          <w:pgMar w:header="566" w:footer="597" w:top="760" w:bottom="780" w:left="640" w:right="600"/>
        </w:sectPr>
      </w:pPr>
    </w:p>
    <w:p>
      <w:pPr>
        <w:pStyle w:val="BodyText"/>
        <w:spacing w:before="4"/>
        <w:rPr>
          <w:sz w:val="21"/>
        </w:rPr>
      </w:pPr>
    </w:p>
    <w:p>
      <w:pPr>
        <w:pStyle w:val="BodyText"/>
        <w:spacing w:line="232" w:lineRule="auto" w:before="1"/>
        <w:ind w:left="165" w:right="526"/>
      </w:pPr>
      <w:r>
        <w:rPr>
          <w:color w:val="231F20"/>
        </w:rPr>
        <w:t>compared with £2.1 billion in August, with the annual rate </w:t>
      </w:r>
      <w:r>
        <w:rPr>
          <w:color w:val="231F20"/>
          <w:spacing w:val="-8"/>
        </w:rPr>
        <w:t>of </w:t>
      </w:r>
      <w:r>
        <w:rPr>
          <w:color w:val="231F20"/>
        </w:rPr>
        <w:t>growth at 16.6%.</w:t>
      </w:r>
    </w:p>
    <w:p>
      <w:pPr>
        <w:spacing w:before="173"/>
        <w:ind w:left="165" w:right="0" w:firstLine="0"/>
        <w:jc w:val="left"/>
        <w:rPr>
          <w:i/>
          <w:sz w:val="18"/>
        </w:rPr>
      </w:pPr>
      <w:r>
        <w:rPr>
          <w:i/>
          <w:color w:val="009483"/>
          <w:sz w:val="18"/>
        </w:rPr>
        <w:t>Monetary prices</w:t>
      </w:r>
    </w:p>
    <w:p>
      <w:pPr>
        <w:pStyle w:val="ListParagraph"/>
        <w:numPr>
          <w:ilvl w:val="0"/>
          <w:numId w:val="38"/>
        </w:numPr>
        <w:tabs>
          <w:tab w:pos="645" w:val="left" w:leader="none"/>
          <w:tab w:pos="646" w:val="left" w:leader="none"/>
        </w:tabs>
        <w:spacing w:line="232" w:lineRule="auto" w:before="98" w:after="0"/>
        <w:ind w:left="165" w:right="238" w:firstLine="0"/>
        <w:jc w:val="left"/>
        <w:rPr>
          <w:sz w:val="18"/>
        </w:rPr>
      </w:pPr>
      <w:r>
        <w:rPr>
          <w:color w:val="231F20"/>
          <w:sz w:val="18"/>
        </w:rPr>
        <w:t>The 8 October cut in the Bank’s repo rate had not yet </w:t>
      </w:r>
      <w:r>
        <w:rPr>
          <w:color w:val="231F20"/>
          <w:spacing w:val="-5"/>
          <w:sz w:val="18"/>
        </w:rPr>
        <w:t>been </w:t>
      </w:r>
      <w:r>
        <w:rPr>
          <w:color w:val="231F20"/>
          <w:sz w:val="18"/>
        </w:rPr>
        <w:t>passed on by banks and building societies into standard</w:t>
      </w:r>
    </w:p>
    <w:p>
      <w:pPr>
        <w:pStyle w:val="BodyText"/>
        <w:spacing w:line="232" w:lineRule="auto"/>
        <w:ind w:left="165"/>
      </w:pPr>
      <w:r>
        <w:rPr>
          <w:color w:val="231F20"/>
        </w:rPr>
        <w:t>variable-rate mortgages; but many had announced that they would reduce standard variable rates from November. In the secured market, fixed rates on mortgages had continued to fall, reflecting falls in comparable swap rates.</w:t>
      </w:r>
    </w:p>
    <w:p>
      <w:pPr>
        <w:pStyle w:val="ListParagraph"/>
        <w:numPr>
          <w:ilvl w:val="0"/>
          <w:numId w:val="38"/>
        </w:numPr>
        <w:tabs>
          <w:tab w:pos="645" w:val="left" w:leader="none"/>
          <w:tab w:pos="646" w:val="left" w:leader="none"/>
        </w:tabs>
        <w:spacing w:line="232" w:lineRule="auto" w:before="175" w:after="0"/>
        <w:ind w:left="165" w:right="143" w:firstLine="0"/>
        <w:jc w:val="left"/>
        <w:rPr>
          <w:sz w:val="18"/>
        </w:rPr>
      </w:pPr>
      <w:r>
        <w:rPr>
          <w:color w:val="231F20"/>
          <w:sz w:val="18"/>
        </w:rPr>
        <w:t>There was no direct measure of ex ante short-term real interest rates, but a measure could be constructed using the </w:t>
      </w:r>
      <w:r>
        <w:rPr>
          <w:color w:val="231F20"/>
          <w:spacing w:val="-3"/>
          <w:sz w:val="18"/>
        </w:rPr>
        <w:t>Merrill </w:t>
      </w:r>
      <w:r>
        <w:rPr>
          <w:color w:val="231F20"/>
          <w:sz w:val="18"/>
        </w:rPr>
        <w:t>Lynch survey of fund managers’ short-term inflation expectations for the end of 1999. This suggested that the real forward rate for 1999 had fallen from 4.3% in September to 4.1% in October.</w:t>
      </w:r>
    </w:p>
    <w:p>
      <w:pPr>
        <w:spacing w:before="172"/>
        <w:ind w:left="165" w:right="0" w:firstLine="0"/>
        <w:jc w:val="left"/>
        <w:rPr>
          <w:i/>
          <w:sz w:val="18"/>
        </w:rPr>
      </w:pPr>
      <w:r>
        <w:rPr>
          <w:i/>
          <w:color w:val="009483"/>
          <w:sz w:val="18"/>
        </w:rPr>
        <w:t>Have UK corporate credit conditions tightened?</w:t>
      </w:r>
    </w:p>
    <w:p>
      <w:pPr>
        <w:pStyle w:val="ListParagraph"/>
        <w:numPr>
          <w:ilvl w:val="0"/>
          <w:numId w:val="38"/>
        </w:numPr>
        <w:tabs>
          <w:tab w:pos="645" w:val="left" w:leader="none"/>
          <w:tab w:pos="646" w:val="left" w:leader="none"/>
        </w:tabs>
        <w:spacing w:line="232" w:lineRule="auto" w:before="98" w:after="0"/>
        <w:ind w:left="165" w:right="127" w:firstLine="0"/>
        <w:jc w:val="left"/>
        <w:rPr>
          <w:sz w:val="18"/>
        </w:rPr>
      </w:pPr>
      <w:r>
        <w:rPr>
          <w:color w:val="231F20"/>
          <w:sz w:val="18"/>
        </w:rPr>
        <w:t>Bank staff had examined whether the UK company sector had experienced a tightening in credit conditions. Spreads on corporate bond yields over gilts had fallen since the previous </w:t>
      </w:r>
      <w:r>
        <w:rPr>
          <w:color w:val="231F20"/>
          <w:spacing w:val="-6"/>
          <w:sz w:val="18"/>
        </w:rPr>
        <w:t>MPC </w:t>
      </w:r>
      <w:r>
        <w:rPr>
          <w:color w:val="231F20"/>
          <w:sz w:val="18"/>
        </w:rPr>
        <w:t>meeting, although they had remained at high levels relative to the 1990s average. Similarly, US corporate bond indices had shown the credit spread on investment grade bonds to be at or near their highest levels in the 1990s. A similar picture had emerged when looking at spreads in the swaps markets, both in the United States and the United Kingdom.</w:t>
      </w:r>
    </w:p>
    <w:p>
      <w:pPr>
        <w:pStyle w:val="ListParagraph"/>
        <w:numPr>
          <w:ilvl w:val="0"/>
          <w:numId w:val="38"/>
        </w:numPr>
        <w:tabs>
          <w:tab w:pos="645" w:val="left" w:leader="none"/>
          <w:tab w:pos="646" w:val="left" w:leader="none"/>
        </w:tabs>
        <w:spacing w:line="232" w:lineRule="auto" w:before="153" w:after="0"/>
        <w:ind w:left="165" w:right="48" w:firstLine="0"/>
        <w:jc w:val="left"/>
        <w:rPr>
          <w:sz w:val="18"/>
        </w:rPr>
      </w:pPr>
      <w:r>
        <w:rPr>
          <w:color w:val="231F20"/>
          <w:sz w:val="18"/>
        </w:rPr>
        <w:t>The syndicated loan market remained open, although </w:t>
      </w:r>
      <w:r>
        <w:rPr>
          <w:color w:val="231F20"/>
          <w:spacing w:val="-3"/>
          <w:sz w:val="18"/>
        </w:rPr>
        <w:t>spreads </w:t>
      </w:r>
      <w:r>
        <w:rPr>
          <w:color w:val="231F20"/>
          <w:sz w:val="18"/>
        </w:rPr>
        <w:t>had widened by about 10 basis points for higher grades and more for lower-rated companies. Conversations with market participants had suggested that some loan demand had been deferred; others had borrowed before the recent turbulence hit the markets, and thought that it might be more difficult to borrow now.</w:t>
      </w:r>
    </w:p>
    <w:p>
      <w:pPr>
        <w:pStyle w:val="ListParagraph"/>
        <w:numPr>
          <w:ilvl w:val="0"/>
          <w:numId w:val="38"/>
        </w:numPr>
        <w:tabs>
          <w:tab w:pos="645" w:val="left" w:leader="none"/>
          <w:tab w:pos="646" w:val="left" w:leader="none"/>
        </w:tabs>
        <w:spacing w:line="232" w:lineRule="auto" w:before="175" w:after="0"/>
        <w:ind w:left="165" w:right="58" w:firstLine="0"/>
        <w:jc w:val="left"/>
        <w:rPr>
          <w:sz w:val="18"/>
        </w:rPr>
      </w:pPr>
      <w:r>
        <w:rPr>
          <w:color w:val="231F20"/>
          <w:sz w:val="18"/>
        </w:rPr>
        <w:t>Bankers had reported there had been no material change in the terms applied to customers of a given risk. However, the creditworthiness of some firms had fallen with the worsening in the economic outlook. A survey of major clearing banks had revealed that the demand for finance from small firms had been steady in </w:t>
      </w:r>
      <w:r>
        <w:rPr>
          <w:color w:val="231F20"/>
          <w:spacing w:val="-6"/>
          <w:sz w:val="18"/>
        </w:rPr>
        <w:t>the </w:t>
      </w:r>
      <w:r>
        <w:rPr>
          <w:color w:val="231F20"/>
          <w:sz w:val="18"/>
        </w:rPr>
        <w:t>past six months, and for large firms had, if anything, increased.</w:t>
      </w:r>
    </w:p>
    <w:p>
      <w:pPr>
        <w:pStyle w:val="ListParagraph"/>
        <w:numPr>
          <w:ilvl w:val="0"/>
          <w:numId w:val="38"/>
        </w:numPr>
        <w:tabs>
          <w:tab w:pos="645" w:val="left" w:leader="none"/>
          <w:tab w:pos="646" w:val="left" w:leader="none"/>
        </w:tabs>
        <w:spacing w:line="232" w:lineRule="auto" w:before="175" w:after="0"/>
        <w:ind w:left="165" w:right="38" w:firstLine="0"/>
        <w:jc w:val="left"/>
        <w:rPr>
          <w:sz w:val="18"/>
        </w:rPr>
      </w:pPr>
      <w:r>
        <w:rPr>
          <w:color w:val="231F20"/>
          <w:sz w:val="18"/>
        </w:rPr>
        <w:t>Annual growth in P</w:t>
      </w:r>
      <w:r>
        <w:rPr>
          <w:color w:val="231F20"/>
          <w:sz w:val="14"/>
        </w:rPr>
        <w:t>NFC</w:t>
      </w:r>
      <w:r>
        <w:rPr>
          <w:color w:val="231F20"/>
          <w:sz w:val="18"/>
        </w:rPr>
        <w:t>s’ M4 deposits had been 6.5% in the third quarter, compared with 5.9% in the second quarter. Growth </w:t>
      </w:r>
      <w:r>
        <w:rPr>
          <w:color w:val="231F20"/>
          <w:spacing w:val="-9"/>
          <w:sz w:val="18"/>
        </w:rPr>
        <w:t>in </w:t>
      </w:r>
      <w:r>
        <w:rPr>
          <w:color w:val="231F20"/>
          <w:sz w:val="18"/>
        </w:rPr>
        <w:t>M4 lending to P</w:t>
      </w:r>
      <w:r>
        <w:rPr>
          <w:color w:val="231F20"/>
          <w:sz w:val="14"/>
        </w:rPr>
        <w:t>NFC</w:t>
      </w:r>
      <w:r>
        <w:rPr>
          <w:color w:val="231F20"/>
          <w:sz w:val="18"/>
        </w:rPr>
        <w:t>s had risen in the third quarter, to 6.0% compared with 5.1% in Q2. Neither had suggested a rationing of credit, nor an emergency drawdown of deposits. Total external finance had been steady at £3.2 billion in</w:t>
      </w:r>
      <w:r>
        <w:rPr>
          <w:color w:val="231F20"/>
          <w:spacing w:val="-1"/>
          <w:sz w:val="18"/>
        </w:rPr>
        <w:t> </w:t>
      </w:r>
      <w:r>
        <w:rPr>
          <w:color w:val="231F20"/>
          <w:sz w:val="18"/>
        </w:rPr>
        <w:t>September.</w:t>
      </w:r>
    </w:p>
    <w:p>
      <w:pPr>
        <w:pStyle w:val="ListParagraph"/>
        <w:numPr>
          <w:ilvl w:val="0"/>
          <w:numId w:val="38"/>
        </w:numPr>
        <w:tabs>
          <w:tab w:pos="645" w:val="left" w:leader="none"/>
          <w:tab w:pos="646" w:val="left" w:leader="none"/>
        </w:tabs>
        <w:spacing w:line="232" w:lineRule="auto" w:before="176" w:after="0"/>
        <w:ind w:left="165" w:right="83" w:firstLine="0"/>
        <w:jc w:val="left"/>
        <w:rPr>
          <w:sz w:val="18"/>
        </w:rPr>
      </w:pPr>
      <w:r>
        <w:rPr>
          <w:color w:val="231F20"/>
          <w:sz w:val="18"/>
        </w:rPr>
        <w:t>One question had been whether the banking system’s capital could support a material reintermediation of credit if capital </w:t>
      </w:r>
      <w:r>
        <w:rPr>
          <w:color w:val="231F20"/>
          <w:spacing w:val="-3"/>
          <w:sz w:val="18"/>
        </w:rPr>
        <w:t>market </w:t>
      </w:r>
      <w:r>
        <w:rPr>
          <w:color w:val="231F20"/>
          <w:sz w:val="18"/>
        </w:rPr>
        <w:t>borrowing remained low for a prolonged period. The capital positions of the large UK banks in 1998 H1 had shown risk-asset ratios above the Basle 8% minimum.</w:t>
      </w:r>
    </w:p>
    <w:p>
      <w:pPr>
        <w:pStyle w:val="ListParagraph"/>
        <w:numPr>
          <w:ilvl w:val="0"/>
          <w:numId w:val="38"/>
        </w:numPr>
        <w:tabs>
          <w:tab w:pos="645" w:val="left" w:leader="none"/>
          <w:tab w:pos="646" w:val="left" w:leader="none"/>
        </w:tabs>
        <w:spacing w:line="232" w:lineRule="auto" w:before="176" w:after="0"/>
        <w:ind w:left="165" w:right="87" w:firstLine="0"/>
        <w:jc w:val="left"/>
        <w:rPr>
          <w:sz w:val="18"/>
        </w:rPr>
      </w:pPr>
      <w:r>
        <w:rPr>
          <w:color w:val="231F20"/>
          <w:sz w:val="18"/>
        </w:rPr>
        <w:t>Other evidence from the CBI Industrial Trends Survey in October 1998 had shown that 6% of firms thought that constraints on external finance might limit their ability to undertake investment. This had been the highest proportion since January 1993. But uncertainty about demand had been reported as a larger constraint on investment (56%, compared with 50% in</w:t>
      </w:r>
      <w:r>
        <w:rPr>
          <w:color w:val="231F20"/>
          <w:spacing w:val="-16"/>
          <w:sz w:val="18"/>
        </w:rPr>
        <w:t> </w:t>
      </w:r>
      <w:r>
        <w:rPr>
          <w:color w:val="231F20"/>
          <w:sz w:val="18"/>
        </w:rPr>
        <w:t>September).</w:t>
      </w:r>
    </w:p>
    <w:p>
      <w:pPr>
        <w:pStyle w:val="ListParagraph"/>
        <w:numPr>
          <w:ilvl w:val="0"/>
          <w:numId w:val="38"/>
        </w:numPr>
        <w:tabs>
          <w:tab w:pos="645" w:val="left" w:leader="none"/>
          <w:tab w:pos="646" w:val="left" w:leader="none"/>
        </w:tabs>
        <w:spacing w:line="232" w:lineRule="auto" w:before="175" w:after="0"/>
        <w:ind w:left="165" w:right="41" w:firstLine="0"/>
        <w:jc w:val="left"/>
        <w:rPr>
          <w:sz w:val="18"/>
        </w:rPr>
      </w:pPr>
      <w:r>
        <w:rPr>
          <w:color w:val="231F20"/>
          <w:sz w:val="18"/>
        </w:rPr>
        <w:t>As to the financial strength of the corporate sector if credit conditions were to tighten, P</w:t>
      </w:r>
      <w:r>
        <w:rPr>
          <w:color w:val="231F20"/>
          <w:sz w:val="14"/>
        </w:rPr>
        <w:t>NFC</w:t>
      </w:r>
      <w:r>
        <w:rPr>
          <w:color w:val="231F20"/>
          <w:sz w:val="18"/>
        </w:rPr>
        <w:t>s’ capital gearing in 1998 Q2 (defined as the ratio of net debt outstanding to the market valuation of the capital stock), at 24.5%, was well below its previous peak (41.4% in 1990 Q3). However, this partly reflected the rise in equity prices in recent years. P</w:t>
      </w:r>
      <w:r>
        <w:rPr>
          <w:color w:val="231F20"/>
          <w:sz w:val="14"/>
        </w:rPr>
        <w:t>NFC</w:t>
      </w:r>
      <w:r>
        <w:rPr>
          <w:color w:val="231F20"/>
          <w:sz w:val="18"/>
        </w:rPr>
        <w:t>s’ income gearing, at 20.9%, </w:t>
      </w:r>
      <w:r>
        <w:rPr>
          <w:color w:val="231F20"/>
          <w:spacing w:val="-6"/>
          <w:sz w:val="18"/>
        </w:rPr>
        <w:t>had </w:t>
      </w:r>
      <w:r>
        <w:rPr>
          <w:color w:val="231F20"/>
          <w:sz w:val="18"/>
        </w:rPr>
        <w:t>been well below the peak of 39.0% in 1990 Q2, although it had risen from the low of 16.7% in 1996 Q2 to 20.9% in 1998 Q2. </w:t>
      </w:r>
      <w:r>
        <w:rPr>
          <w:color w:val="231F20"/>
          <w:spacing w:val="-3"/>
          <w:sz w:val="18"/>
        </w:rPr>
        <w:t>This </w:t>
      </w:r>
      <w:r>
        <w:rPr>
          <w:color w:val="231F20"/>
          <w:sz w:val="18"/>
        </w:rPr>
        <w:t>had probably been related to repo rate rises over the period, and weakening profits. Unlike companies in the United States,</w:t>
      </w:r>
      <w:r>
        <w:rPr>
          <w:color w:val="231F20"/>
          <w:spacing w:val="-1"/>
          <w:sz w:val="18"/>
        </w:rPr>
        <w:t> </w:t>
      </w:r>
      <w:r>
        <w:rPr>
          <w:color w:val="231F20"/>
          <w:sz w:val="18"/>
        </w:rPr>
        <w:t>P</w:t>
      </w:r>
      <w:r>
        <w:rPr>
          <w:color w:val="231F20"/>
          <w:sz w:val="14"/>
        </w:rPr>
        <w:t>NFC</w:t>
      </w:r>
      <w:r>
        <w:rPr>
          <w:color w:val="231F20"/>
          <w:sz w:val="18"/>
        </w:rPr>
        <w:t>s</w:t>
      </w:r>
    </w:p>
    <w:p>
      <w:pPr>
        <w:pStyle w:val="BodyText"/>
        <w:spacing w:before="4"/>
        <w:rPr>
          <w:sz w:val="21"/>
        </w:rPr>
      </w:pPr>
      <w:r>
        <w:rPr/>
        <w:br w:type="column"/>
      </w:r>
      <w:r>
        <w:rPr>
          <w:sz w:val="21"/>
        </w:rPr>
      </w:r>
    </w:p>
    <w:p>
      <w:pPr>
        <w:pStyle w:val="BodyText"/>
        <w:spacing w:line="232" w:lineRule="auto" w:before="1"/>
        <w:ind w:left="165" w:right="666"/>
      </w:pPr>
      <w:r>
        <w:rPr>
          <w:color w:val="231F20"/>
        </w:rPr>
        <w:t>in the United Kingdom had modest non-equity capital market obligations, compared with their liquid assets.</w:t>
      </w:r>
    </w:p>
    <w:p>
      <w:pPr>
        <w:pStyle w:val="BodyText"/>
        <w:spacing w:before="6"/>
        <w:rPr>
          <w:sz w:val="20"/>
        </w:rPr>
      </w:pPr>
    </w:p>
    <w:p>
      <w:pPr>
        <w:pStyle w:val="Heading6"/>
        <w:numPr>
          <w:ilvl w:val="0"/>
          <w:numId w:val="39"/>
        </w:numPr>
        <w:tabs>
          <w:tab w:pos="645" w:val="left" w:leader="none"/>
          <w:tab w:pos="646" w:val="left" w:leader="none"/>
        </w:tabs>
        <w:spacing w:line="240" w:lineRule="auto" w:before="0" w:after="0"/>
        <w:ind w:left="645" w:right="0" w:hanging="481"/>
        <w:jc w:val="left"/>
      </w:pPr>
      <w:r>
        <w:rPr>
          <w:color w:val="009483"/>
        </w:rPr>
        <w:t>The international</w:t>
      </w:r>
      <w:r>
        <w:rPr>
          <w:color w:val="009483"/>
          <w:spacing w:val="-1"/>
        </w:rPr>
        <w:t> </w:t>
      </w:r>
      <w:r>
        <w:rPr>
          <w:color w:val="009483"/>
        </w:rPr>
        <w:t>economy</w:t>
      </w:r>
    </w:p>
    <w:p>
      <w:pPr>
        <w:pStyle w:val="ListParagraph"/>
        <w:numPr>
          <w:ilvl w:val="0"/>
          <w:numId w:val="38"/>
        </w:numPr>
        <w:tabs>
          <w:tab w:pos="645" w:val="left" w:leader="none"/>
          <w:tab w:pos="646" w:val="left" w:leader="none"/>
        </w:tabs>
        <w:spacing w:line="232" w:lineRule="auto" w:before="109" w:after="0"/>
        <w:ind w:left="165" w:right="258" w:firstLine="0"/>
        <w:jc w:val="left"/>
        <w:rPr>
          <w:sz w:val="18"/>
        </w:rPr>
      </w:pPr>
      <w:r>
        <w:rPr>
          <w:color w:val="231F20"/>
          <w:sz w:val="18"/>
        </w:rPr>
        <w:t>In the United States, a slowdown in the real economy had become more evident. Quarterly consumption growth in 1998 Q3 had slowed to 1.0% from 1.5% in both Q1 and Q2, and investment growth had fallen to 0.4% in Q3, from 4.7% in Q1 and 3.1% in </w:t>
      </w:r>
      <w:r>
        <w:rPr>
          <w:color w:val="231F20"/>
          <w:spacing w:val="-6"/>
          <w:sz w:val="18"/>
        </w:rPr>
        <w:t>Q2. </w:t>
      </w:r>
      <w:r>
        <w:rPr>
          <w:color w:val="231F20"/>
          <w:sz w:val="18"/>
        </w:rPr>
        <w:t>Overall, US GDP had grown by 0.8%, to 3.4% higher than a year before.</w:t>
      </w:r>
    </w:p>
    <w:p>
      <w:pPr>
        <w:pStyle w:val="BodyText"/>
        <w:rPr>
          <w:sz w:val="17"/>
        </w:rPr>
      </w:pPr>
    </w:p>
    <w:p>
      <w:pPr>
        <w:pStyle w:val="ListParagraph"/>
        <w:numPr>
          <w:ilvl w:val="0"/>
          <w:numId w:val="38"/>
        </w:numPr>
        <w:tabs>
          <w:tab w:pos="645" w:val="left" w:leader="none"/>
          <w:tab w:pos="646" w:val="left" w:leader="none"/>
        </w:tabs>
        <w:spacing w:line="232" w:lineRule="auto" w:before="0" w:after="0"/>
        <w:ind w:left="165" w:right="253" w:firstLine="0"/>
        <w:jc w:val="left"/>
        <w:rPr>
          <w:sz w:val="18"/>
        </w:rPr>
      </w:pPr>
      <w:r>
        <w:rPr>
          <w:color w:val="231F20"/>
          <w:sz w:val="18"/>
        </w:rPr>
        <w:t>Industrial production in the United States had fallen by </w:t>
      </w:r>
      <w:r>
        <w:rPr>
          <w:color w:val="231F20"/>
          <w:spacing w:val="-5"/>
          <w:sz w:val="18"/>
        </w:rPr>
        <w:t>0.3% </w:t>
      </w:r>
      <w:r>
        <w:rPr>
          <w:color w:val="231F20"/>
          <w:sz w:val="18"/>
        </w:rPr>
        <w:t>in September, to 2.5% higher than a year earlier. Capacity utilisation had been 81.1% in September and, although distorted by the GM strike, had been trending lower since the end of 1997. The N</w:t>
      </w:r>
      <w:r>
        <w:rPr>
          <w:color w:val="231F20"/>
          <w:sz w:val="14"/>
        </w:rPr>
        <w:t>APM </w:t>
      </w:r>
      <w:r>
        <w:rPr>
          <w:color w:val="231F20"/>
          <w:sz w:val="18"/>
        </w:rPr>
        <w:t>index had fallen to 48.3 in October, from 49.4 in September. The US trade balance had widened to $16.8 billion in August</w:t>
      </w:r>
      <w:r>
        <w:rPr>
          <w:color w:val="231F20"/>
          <w:spacing w:val="-1"/>
          <w:sz w:val="18"/>
        </w:rPr>
        <w:t> </w:t>
      </w:r>
      <w:r>
        <w:rPr>
          <w:color w:val="231F20"/>
          <w:sz w:val="18"/>
        </w:rPr>
        <w:t>from</w:t>
      </w:r>
    </w:p>
    <w:p>
      <w:pPr>
        <w:pStyle w:val="BodyText"/>
        <w:spacing w:line="232" w:lineRule="auto"/>
        <w:ind w:left="165" w:right="201"/>
      </w:pPr>
      <w:r>
        <w:rPr>
          <w:color w:val="231F20"/>
        </w:rPr>
        <w:t>$14.5 billion in July. This had been because of a larger goods deficit; the services surplus had remained little changed. Export volumes had fallen year-on-year for the second consecutive month, while the growth in import volumes had slowed. US consumer confidence had fallen by 9 points in October, its fourth consecutive monthly fall, to its lowest level since October 1997. Annual CPI inflation had fallen to 1.4% in September from 1.7% in August, </w:t>
      </w:r>
      <w:r>
        <w:rPr>
          <w:color w:val="231F20"/>
          <w:spacing w:val="-6"/>
        </w:rPr>
        <w:t>and </w:t>
      </w:r>
      <w:r>
        <w:rPr>
          <w:color w:val="231F20"/>
        </w:rPr>
        <w:t>annual average earnings growth had fallen to 4% in the year to September, from 4.1% in August. The IMF had forecast US GDP growth to be 2.0% in 1999, down from 3.5% in 1998.</w:t>
      </w:r>
    </w:p>
    <w:p>
      <w:pPr>
        <w:pStyle w:val="BodyText"/>
        <w:spacing w:before="3"/>
        <w:rPr>
          <w:sz w:val="16"/>
        </w:rPr>
      </w:pPr>
    </w:p>
    <w:p>
      <w:pPr>
        <w:pStyle w:val="ListParagraph"/>
        <w:numPr>
          <w:ilvl w:val="0"/>
          <w:numId w:val="38"/>
        </w:numPr>
        <w:tabs>
          <w:tab w:pos="645" w:val="left" w:leader="none"/>
          <w:tab w:pos="646" w:val="left" w:leader="none"/>
        </w:tabs>
        <w:spacing w:line="232" w:lineRule="auto" w:before="1" w:after="0"/>
        <w:ind w:left="165" w:right="293" w:firstLine="0"/>
        <w:jc w:val="left"/>
        <w:rPr>
          <w:sz w:val="18"/>
        </w:rPr>
      </w:pPr>
      <w:r>
        <w:rPr>
          <w:color w:val="231F20"/>
          <w:sz w:val="18"/>
        </w:rPr>
        <w:t>In the prospective euro area (EU11), industrial confidence had fallen further in August and September in most member countries. Industrial production had rebounded in Germany, </w:t>
      </w:r>
      <w:r>
        <w:rPr>
          <w:color w:val="231F20"/>
          <w:spacing w:val="-3"/>
          <w:sz w:val="18"/>
        </w:rPr>
        <w:t>rising </w:t>
      </w:r>
      <w:r>
        <w:rPr>
          <w:color w:val="231F20"/>
          <w:sz w:val="18"/>
        </w:rPr>
        <w:t>by 3.1% on Q2, but had fallen back in France (-0.1%) and Italy</w:t>
      </w:r>
    </w:p>
    <w:p>
      <w:pPr>
        <w:pStyle w:val="BodyText"/>
        <w:spacing w:line="195" w:lineRule="exact"/>
        <w:ind w:left="165"/>
      </w:pPr>
      <w:r>
        <w:rPr>
          <w:color w:val="231F20"/>
        </w:rPr>
        <w:t>(-0.9%). Consumer confidence in the EU11 had fallen by</w:t>
      </w:r>
    </w:p>
    <w:p>
      <w:pPr>
        <w:pStyle w:val="BodyText"/>
        <w:spacing w:line="232" w:lineRule="auto" w:before="1"/>
        <w:ind w:left="165" w:right="371"/>
      </w:pPr>
      <w:r>
        <w:rPr>
          <w:color w:val="231F20"/>
        </w:rPr>
        <w:t>1 percentage point between July and September. Annual EU11 consumer price inflation on the harmonised measure had fallen to 1.0% in September down from 1.2% in August. Harmonised inflation had fallen in Germany (to 0.6%) and France (to 0.5%). Money supply across the EU11 had grown by 4.7% in the year to July, down from 5.7% in June.</w:t>
      </w:r>
    </w:p>
    <w:p>
      <w:pPr>
        <w:pStyle w:val="BodyText"/>
        <w:rPr>
          <w:sz w:val="17"/>
        </w:rPr>
      </w:pPr>
    </w:p>
    <w:p>
      <w:pPr>
        <w:pStyle w:val="ListParagraph"/>
        <w:numPr>
          <w:ilvl w:val="0"/>
          <w:numId w:val="40"/>
        </w:numPr>
        <w:tabs>
          <w:tab w:pos="645" w:val="left" w:leader="none"/>
          <w:tab w:pos="646" w:val="left" w:leader="none"/>
        </w:tabs>
        <w:spacing w:line="232" w:lineRule="auto" w:before="0" w:after="0"/>
        <w:ind w:left="165" w:right="213" w:firstLine="0"/>
        <w:jc w:val="left"/>
        <w:rPr>
          <w:sz w:val="18"/>
        </w:rPr>
      </w:pPr>
      <w:r>
        <w:rPr>
          <w:color w:val="231F20"/>
          <w:sz w:val="18"/>
        </w:rPr>
        <w:t>Japan’s industrial production had fallen 8.4% in the year to September. Inventories had fallen by 1.8% over the year. Total employment had fallen by 1.1% over the year to September, with job losses concentrated in the construction and manufacturing sectors. Retail sales in Japan had fallen by 5.1% in September </w:t>
      </w:r>
      <w:r>
        <w:rPr>
          <w:color w:val="231F20"/>
          <w:spacing w:val="-5"/>
          <w:sz w:val="18"/>
        </w:rPr>
        <w:t>from </w:t>
      </w:r>
      <w:r>
        <w:rPr>
          <w:color w:val="231F20"/>
          <w:sz w:val="18"/>
        </w:rPr>
        <w:t>a year ago. Imports had fallen by 9.3%, while exports had grown 3.9% over the year to September. Japan’s trade surplus with the United States was ¥0.7 trillion in September, and ¥0.4 trillion with the European Union. Deflationary pressures had been continuing— wholesale prices in September had fallen by 1.5% on an annual basis, and annual consumer price inflation in September had fallen to -0.2%. The IMF had forecast a fall in GDP in 1998 of 2.5% and a rise of 0.5% in 1999.</w:t>
      </w:r>
    </w:p>
    <w:p>
      <w:pPr>
        <w:pStyle w:val="BodyText"/>
        <w:spacing w:before="9"/>
        <w:rPr>
          <w:sz w:val="19"/>
        </w:rPr>
      </w:pPr>
    </w:p>
    <w:p>
      <w:pPr>
        <w:pStyle w:val="Heading6"/>
        <w:numPr>
          <w:ilvl w:val="0"/>
          <w:numId w:val="39"/>
        </w:numPr>
        <w:tabs>
          <w:tab w:pos="645" w:val="left" w:leader="none"/>
          <w:tab w:pos="646" w:val="left" w:leader="none"/>
        </w:tabs>
        <w:spacing w:line="240" w:lineRule="auto" w:before="0" w:after="0"/>
        <w:ind w:left="645" w:right="0" w:hanging="481"/>
        <w:jc w:val="left"/>
      </w:pPr>
      <w:r>
        <w:rPr>
          <w:color w:val="009483"/>
        </w:rPr>
        <w:t>Demand and output</w:t>
      </w:r>
    </w:p>
    <w:p>
      <w:pPr>
        <w:pStyle w:val="ListParagraph"/>
        <w:numPr>
          <w:ilvl w:val="0"/>
          <w:numId w:val="40"/>
        </w:numPr>
        <w:tabs>
          <w:tab w:pos="645" w:val="left" w:leader="none"/>
          <w:tab w:pos="646" w:val="left" w:leader="none"/>
        </w:tabs>
        <w:spacing w:line="232" w:lineRule="auto" w:before="110" w:after="0"/>
        <w:ind w:left="165" w:right="268" w:firstLine="0"/>
        <w:jc w:val="left"/>
        <w:rPr>
          <w:sz w:val="18"/>
        </w:rPr>
      </w:pPr>
      <w:r>
        <w:rPr>
          <w:color w:val="231F20"/>
          <w:sz w:val="18"/>
        </w:rPr>
        <w:t>The preliminary estimate for GDP growth in 1998 Q3 had been 0.5%, the same rate as in Q2. The annual rate of growth had slowed from 3.0% in the year to Q2 to 2.5% in the year to Q3. Service sector output had grown by 0.6% in Q3, the same rate as </w:t>
      </w:r>
      <w:r>
        <w:rPr>
          <w:color w:val="231F20"/>
          <w:spacing w:val="-9"/>
          <w:sz w:val="18"/>
        </w:rPr>
        <w:t>in </w:t>
      </w:r>
      <w:r>
        <w:rPr>
          <w:color w:val="231F20"/>
          <w:sz w:val="18"/>
        </w:rPr>
        <w:t>Q2. Manufacturing output had fallen by 0.6% in August and 0.4% in September. Survey evidence had suggested that the fall in manufacturing output would be the beginning of a sustained decline. Manufacturing output over the third quarter had fallen slightly, by 0.1%, in contrast to ONS indications in the GDP preliminary estimate for the third quarter of ‘a small increase’. This had raised the possibility of a downward revision to GDP growth in 1998 Q3.</w:t>
      </w:r>
    </w:p>
    <w:p>
      <w:pPr>
        <w:pStyle w:val="BodyText"/>
        <w:spacing w:before="6"/>
        <w:rPr>
          <w:sz w:val="16"/>
        </w:rPr>
      </w:pPr>
    </w:p>
    <w:p>
      <w:pPr>
        <w:pStyle w:val="ListParagraph"/>
        <w:numPr>
          <w:ilvl w:val="0"/>
          <w:numId w:val="40"/>
        </w:numPr>
        <w:tabs>
          <w:tab w:pos="645" w:val="left" w:leader="none"/>
          <w:tab w:pos="646" w:val="left" w:leader="none"/>
        </w:tabs>
        <w:spacing w:line="232" w:lineRule="auto" w:before="0" w:after="0"/>
        <w:ind w:left="165" w:right="432" w:firstLine="0"/>
        <w:jc w:val="left"/>
        <w:rPr>
          <w:sz w:val="18"/>
        </w:rPr>
      </w:pPr>
      <w:r>
        <w:rPr>
          <w:color w:val="231F20"/>
          <w:sz w:val="18"/>
        </w:rPr>
        <w:t>The boost to GDP growth from utilities output in 1998 </w:t>
      </w:r>
      <w:r>
        <w:rPr>
          <w:color w:val="231F20"/>
          <w:spacing w:val="-9"/>
          <w:sz w:val="18"/>
        </w:rPr>
        <w:t>Q2 </w:t>
      </w:r>
      <w:r>
        <w:rPr>
          <w:color w:val="231F20"/>
          <w:sz w:val="18"/>
        </w:rPr>
        <w:t>had not unwound in Q3 so the level remained relatively high.</w:t>
      </w:r>
    </w:p>
    <w:p>
      <w:pPr>
        <w:spacing w:after="0" w:line="232" w:lineRule="auto"/>
        <w:jc w:val="left"/>
        <w:rPr>
          <w:sz w:val="18"/>
        </w:rPr>
        <w:sectPr>
          <w:type w:val="continuous"/>
          <w:pgSz w:w="11900" w:h="16840"/>
          <w:pgMar w:top="1220" w:bottom="280" w:left="640" w:right="600"/>
          <w:cols w:num="2" w:equalWidth="0">
            <w:col w:w="5105" w:space="275"/>
            <w:col w:w="5280"/>
          </w:cols>
        </w:sectPr>
      </w:pPr>
    </w:p>
    <w:p>
      <w:pPr>
        <w:pStyle w:val="BodyText"/>
        <w:rPr>
          <w:sz w:val="20"/>
        </w:rPr>
      </w:pPr>
    </w:p>
    <w:p>
      <w:pPr>
        <w:spacing w:after="0"/>
        <w:rPr>
          <w:sz w:val="20"/>
        </w:rPr>
        <w:sectPr>
          <w:pgSz w:w="11900" w:h="16840"/>
          <w:pgMar w:header="566" w:footer="597" w:top="760" w:bottom="780" w:left="640" w:right="600"/>
        </w:sectPr>
      </w:pPr>
    </w:p>
    <w:p>
      <w:pPr>
        <w:pStyle w:val="BodyText"/>
        <w:spacing w:before="4"/>
        <w:rPr>
          <w:sz w:val="21"/>
        </w:rPr>
      </w:pPr>
    </w:p>
    <w:p>
      <w:pPr>
        <w:pStyle w:val="BodyText"/>
        <w:spacing w:line="232" w:lineRule="auto" w:before="1"/>
        <w:ind w:left="174" w:right="76"/>
      </w:pPr>
      <w:r>
        <w:rPr>
          <w:color w:val="231F20"/>
        </w:rPr>
        <w:t>Monthly industrial production data had shown that electricity, gas and water supply had increased by 1.1% in 1998 Q3, though output had fallen by 1.6% in September. The ONS had also reported that construction and agricultural output had risen overall in Q3.</w:t>
      </w:r>
    </w:p>
    <w:p>
      <w:pPr>
        <w:pStyle w:val="BodyText"/>
        <w:spacing w:before="1"/>
        <w:rPr>
          <w:sz w:val="17"/>
        </w:rPr>
      </w:pPr>
    </w:p>
    <w:p>
      <w:pPr>
        <w:pStyle w:val="ListParagraph"/>
        <w:numPr>
          <w:ilvl w:val="0"/>
          <w:numId w:val="40"/>
        </w:numPr>
        <w:tabs>
          <w:tab w:pos="654" w:val="left" w:leader="none"/>
          <w:tab w:pos="655" w:val="left" w:leader="none"/>
        </w:tabs>
        <w:spacing w:line="232" w:lineRule="auto" w:before="0" w:after="0"/>
        <w:ind w:left="174" w:right="108" w:firstLine="0"/>
        <w:jc w:val="left"/>
        <w:rPr>
          <w:sz w:val="18"/>
        </w:rPr>
      </w:pPr>
      <w:r>
        <w:rPr>
          <w:color w:val="231F20"/>
          <w:sz w:val="18"/>
        </w:rPr>
        <w:t>On the expenditure side, retail sales had fallen by 0.4% in September, having increased in the previous two months. Annual growth over the latest three months had increased to 3.1% in September from 2.4% in August. This had partly reflected weak sales in September 1997. Nonetheless, ONS data had suggested that, although slowing, growth had remained above average, a stronger out-turn than indicated by either the CBI Distributive Trades Survey or data from the British Retail Consortium. Quarterly growth in retail sales volumes in Q3 had been 0.7%, compared with 0.2% in Q2 (though consumption of retail goods in the National Accounts had increased by 0.9% in Q2). Services consumption had fallen in Q2, because of lower catering and financial services spending. Output data so far available had suggested that another fall in the third quarter was unlikely. Overall, it was possible that household spending would increase </w:t>
      </w:r>
      <w:r>
        <w:rPr>
          <w:color w:val="231F20"/>
          <w:spacing w:val="-9"/>
          <w:sz w:val="18"/>
        </w:rPr>
        <w:t>by </w:t>
      </w:r>
      <w:r>
        <w:rPr>
          <w:color w:val="231F20"/>
          <w:sz w:val="18"/>
        </w:rPr>
        <w:t>more in Q3 than in Q2 (0.4%).</w:t>
      </w:r>
    </w:p>
    <w:p>
      <w:pPr>
        <w:pStyle w:val="BodyText"/>
        <w:spacing w:before="3"/>
        <w:rPr>
          <w:sz w:val="16"/>
        </w:rPr>
      </w:pPr>
    </w:p>
    <w:p>
      <w:pPr>
        <w:pStyle w:val="ListParagraph"/>
        <w:numPr>
          <w:ilvl w:val="0"/>
          <w:numId w:val="40"/>
        </w:numPr>
        <w:tabs>
          <w:tab w:pos="654" w:val="left" w:leader="none"/>
          <w:tab w:pos="655" w:val="left" w:leader="none"/>
        </w:tabs>
        <w:spacing w:line="232" w:lineRule="auto" w:before="1" w:after="0"/>
        <w:ind w:left="174" w:right="63" w:firstLine="0"/>
        <w:jc w:val="left"/>
        <w:rPr>
          <w:sz w:val="18"/>
        </w:rPr>
      </w:pPr>
      <w:r>
        <w:rPr>
          <w:color w:val="231F20"/>
          <w:sz w:val="18"/>
        </w:rPr>
        <w:t>Analysis of surveys of consumer confidence supported a picture of an underlying slowdown in consumption growth. The GfK and M</w:t>
      </w:r>
      <w:r>
        <w:rPr>
          <w:color w:val="231F20"/>
          <w:sz w:val="14"/>
        </w:rPr>
        <w:t>ORI </w:t>
      </w:r>
      <w:r>
        <w:rPr>
          <w:color w:val="231F20"/>
          <w:sz w:val="18"/>
        </w:rPr>
        <w:t>surveys had declined further in October. The M</w:t>
      </w:r>
      <w:r>
        <w:rPr>
          <w:color w:val="231F20"/>
          <w:sz w:val="14"/>
        </w:rPr>
        <w:t>ORI </w:t>
      </w:r>
      <w:r>
        <w:rPr>
          <w:color w:val="231F20"/>
          <w:sz w:val="18"/>
        </w:rPr>
        <w:t>balance had fallen to -46 from -37 in September, as low as in October 1992 and September 1990.  The aggregate GfK balance had fallen to -8.2, 18 points below its recent peak. In the past, the level of consumer confidence had been a timely, coincident indicator of household spending growth.  The recent deterioration in the GfK survey had been because of deteriorating sentiment about the general economic situation. Perceptions about households’ own situations had held up better. Analysis had </w:t>
      </w:r>
      <w:r>
        <w:rPr>
          <w:color w:val="231F20"/>
          <w:spacing w:val="-4"/>
          <w:sz w:val="18"/>
        </w:rPr>
        <w:t>shown </w:t>
      </w:r>
      <w:r>
        <w:rPr>
          <w:color w:val="231F20"/>
          <w:sz w:val="18"/>
        </w:rPr>
        <w:t>that survey responses to general economy-wide questions had been, if anything, better correlated with spending growth in the past than household-specific questions. Analysis had also suggested that consumer confidence contained additional information about spending over and above other determinants of consumption such as income, wealth etc; and that it had some predictive power for future spending as well as current spending.</w:t>
      </w:r>
    </w:p>
    <w:p>
      <w:pPr>
        <w:pStyle w:val="BodyText"/>
        <w:spacing w:before="2"/>
        <w:rPr>
          <w:sz w:val="16"/>
        </w:rPr>
      </w:pPr>
    </w:p>
    <w:p>
      <w:pPr>
        <w:pStyle w:val="ListParagraph"/>
        <w:numPr>
          <w:ilvl w:val="0"/>
          <w:numId w:val="40"/>
        </w:numPr>
        <w:tabs>
          <w:tab w:pos="654" w:val="left" w:leader="none"/>
          <w:tab w:pos="655" w:val="left" w:leader="none"/>
        </w:tabs>
        <w:spacing w:line="232" w:lineRule="auto" w:before="0" w:after="0"/>
        <w:ind w:left="174" w:right="39" w:firstLine="0"/>
        <w:jc w:val="left"/>
        <w:rPr>
          <w:sz w:val="18"/>
        </w:rPr>
      </w:pPr>
      <w:r>
        <w:rPr>
          <w:color w:val="231F20"/>
          <w:sz w:val="18"/>
        </w:rPr>
        <w:t>The Halifax and Nationwide prices indices had both </w:t>
      </w:r>
      <w:r>
        <w:rPr>
          <w:color w:val="231F20"/>
          <w:spacing w:val="-3"/>
          <w:sz w:val="18"/>
        </w:rPr>
        <w:t>recorded </w:t>
      </w:r>
      <w:r>
        <w:rPr>
          <w:color w:val="231F20"/>
          <w:sz w:val="18"/>
        </w:rPr>
        <w:t>increases in October.  But housing turnover had fallen in September, with particulars delivered 5.7% lower than a year ago, though 4.8% higher over the latest three months than the previous three months. Net lending secured on dwellings had fallen in September, leaving the twelve-month growth rate unchanged at 5.8%; and loan approvals had fallen to their lowest level in 1998. Survey data from R</w:t>
      </w:r>
      <w:r>
        <w:rPr>
          <w:color w:val="231F20"/>
          <w:sz w:val="14"/>
        </w:rPr>
        <w:t>ICS </w:t>
      </w:r>
      <w:r>
        <w:rPr>
          <w:color w:val="231F20"/>
          <w:sz w:val="18"/>
        </w:rPr>
        <w:t>and HBF had also indicated activity moderating.</w:t>
      </w:r>
    </w:p>
    <w:p>
      <w:pPr>
        <w:pStyle w:val="BodyText"/>
        <w:spacing w:before="9"/>
        <w:rPr>
          <w:sz w:val="16"/>
        </w:rPr>
      </w:pPr>
    </w:p>
    <w:p>
      <w:pPr>
        <w:pStyle w:val="ListParagraph"/>
        <w:numPr>
          <w:ilvl w:val="0"/>
          <w:numId w:val="40"/>
        </w:numPr>
        <w:tabs>
          <w:tab w:pos="654" w:val="left" w:leader="none"/>
          <w:tab w:pos="655" w:val="left" w:leader="none"/>
        </w:tabs>
        <w:spacing w:line="232" w:lineRule="auto" w:before="0" w:after="0"/>
        <w:ind w:left="174" w:right="93" w:firstLine="0"/>
        <w:jc w:val="left"/>
        <w:rPr>
          <w:sz w:val="18"/>
        </w:rPr>
      </w:pPr>
      <w:r>
        <w:rPr>
          <w:color w:val="231F20"/>
          <w:sz w:val="18"/>
        </w:rPr>
        <w:t>Service sector investment intentions for plant and equipment had fallen from a balance of +27 to +14 in the latest British Chambers of Commerce (BCC) survey, though they had remained around their average level since 1989. Manufacturing investment intentions had fallen from a balance of +13 in Q2, to 0 in Q3. In the October CBI quarterly Industrial Trends Survey, the balance had fallen from -21 to -32 for plant and equipment, and from -26 </w:t>
      </w:r>
      <w:r>
        <w:rPr>
          <w:color w:val="231F20"/>
          <w:spacing w:val="-6"/>
          <w:sz w:val="18"/>
        </w:rPr>
        <w:t>to</w:t>
      </w:r>
    </w:p>
    <w:p>
      <w:pPr>
        <w:pStyle w:val="BodyText"/>
        <w:spacing w:line="232" w:lineRule="auto"/>
        <w:ind w:left="174" w:right="54"/>
      </w:pPr>
      <w:r>
        <w:rPr>
          <w:color w:val="231F20"/>
        </w:rPr>
        <w:t>-36 for buildings. However, construction orders had remained relatively high, rising by 6% in the three months to August. The C</w:t>
      </w:r>
      <w:r>
        <w:rPr>
          <w:color w:val="231F20"/>
          <w:sz w:val="14"/>
        </w:rPr>
        <w:t>IPS </w:t>
      </w:r>
      <w:r>
        <w:rPr>
          <w:color w:val="231F20"/>
        </w:rPr>
        <w:t>Report on Construction had indicated falling orders in October for the first time this year, although the optimism index had remained strong.</w:t>
      </w:r>
    </w:p>
    <w:p>
      <w:pPr>
        <w:pStyle w:val="BodyText"/>
        <w:spacing w:before="6"/>
        <w:rPr>
          <w:sz w:val="16"/>
        </w:rPr>
      </w:pPr>
    </w:p>
    <w:p>
      <w:pPr>
        <w:pStyle w:val="ListParagraph"/>
        <w:numPr>
          <w:ilvl w:val="0"/>
          <w:numId w:val="40"/>
        </w:numPr>
        <w:tabs>
          <w:tab w:pos="654" w:val="left" w:leader="none"/>
          <w:tab w:pos="655" w:val="left" w:leader="none"/>
        </w:tabs>
        <w:spacing w:line="232" w:lineRule="auto" w:before="1" w:after="0"/>
        <w:ind w:left="174" w:right="38" w:firstLine="0"/>
        <w:jc w:val="left"/>
        <w:rPr>
          <w:sz w:val="18"/>
        </w:rPr>
      </w:pPr>
      <w:r>
        <w:rPr>
          <w:color w:val="231F20"/>
          <w:sz w:val="18"/>
        </w:rPr>
        <w:t>There had been some evidence of rising stocks in the manufacturing and retail sectors in survey data. The CBI Industrial Trends Survey had reported a rise in the balance of firms reporting excessive stocks (+26 in October). The CBI Distributive Trades Survey had recorded a higher balance of retailers reporting high stocks relative to expected sales: +23 in October, compared with </w:t>
      </w:r>
      <w:r>
        <w:rPr>
          <w:color w:val="231F20"/>
          <w:spacing w:val="-9"/>
          <w:sz w:val="18"/>
        </w:rPr>
        <w:t>an </w:t>
      </w:r>
      <w:r>
        <w:rPr>
          <w:color w:val="231F20"/>
          <w:sz w:val="18"/>
        </w:rPr>
        <w:t>average balance since 1992 of +19. Retailers were likely to unwind any excess inventories fairly quickly.</w:t>
      </w:r>
    </w:p>
    <w:p>
      <w:pPr>
        <w:pStyle w:val="BodyText"/>
        <w:spacing w:before="11"/>
        <w:rPr>
          <w:sz w:val="20"/>
        </w:rPr>
      </w:pPr>
      <w:r>
        <w:rPr/>
        <w:br w:type="column"/>
      </w:r>
      <w:r>
        <w:rPr>
          <w:sz w:val="20"/>
        </w:rPr>
      </w:r>
    </w:p>
    <w:p>
      <w:pPr>
        <w:pStyle w:val="ListParagraph"/>
        <w:numPr>
          <w:ilvl w:val="0"/>
          <w:numId w:val="40"/>
        </w:numPr>
        <w:tabs>
          <w:tab w:pos="654" w:val="left" w:leader="none"/>
          <w:tab w:pos="655" w:val="left" w:leader="none"/>
        </w:tabs>
        <w:spacing w:line="204" w:lineRule="exact" w:before="0" w:after="0"/>
        <w:ind w:left="654" w:right="0" w:hanging="481"/>
        <w:jc w:val="left"/>
        <w:rPr>
          <w:sz w:val="18"/>
        </w:rPr>
      </w:pPr>
      <w:r>
        <w:rPr>
          <w:color w:val="231F20"/>
          <w:sz w:val="18"/>
        </w:rPr>
        <w:t>The P</w:t>
      </w:r>
      <w:r>
        <w:rPr>
          <w:color w:val="231F20"/>
          <w:sz w:val="14"/>
        </w:rPr>
        <w:t>SNCR </w:t>
      </w:r>
      <w:r>
        <w:rPr>
          <w:color w:val="231F20"/>
          <w:sz w:val="18"/>
        </w:rPr>
        <w:t>had been £1.6 billion in September,</w:t>
      </w:r>
      <w:r>
        <w:rPr>
          <w:color w:val="231F20"/>
          <w:spacing w:val="9"/>
          <w:sz w:val="18"/>
        </w:rPr>
        <w:t> </w:t>
      </w:r>
      <w:r>
        <w:rPr>
          <w:color w:val="231F20"/>
          <w:sz w:val="18"/>
        </w:rPr>
        <w:t>and</w:t>
      </w:r>
    </w:p>
    <w:p>
      <w:pPr>
        <w:pStyle w:val="BodyText"/>
        <w:spacing w:line="232" w:lineRule="auto" w:before="2"/>
        <w:ind w:left="174" w:right="281"/>
      </w:pPr>
      <w:r>
        <w:rPr>
          <w:color w:val="231F20"/>
        </w:rPr>
        <w:t>£2.7 billion over the first six months of the financial year 1998/99. Spending had been 2.7% higher over the first six months of 1998/99 compared with a year earlier. This had suggested continued growth in government consumption in 1998 Q3.</w:t>
      </w:r>
    </w:p>
    <w:p>
      <w:pPr>
        <w:pStyle w:val="BodyText"/>
        <w:spacing w:before="1"/>
        <w:rPr>
          <w:sz w:val="17"/>
        </w:rPr>
      </w:pPr>
    </w:p>
    <w:p>
      <w:pPr>
        <w:pStyle w:val="ListParagraph"/>
        <w:numPr>
          <w:ilvl w:val="0"/>
          <w:numId w:val="40"/>
        </w:numPr>
        <w:tabs>
          <w:tab w:pos="654" w:val="left" w:leader="none"/>
          <w:tab w:pos="655" w:val="left" w:leader="none"/>
        </w:tabs>
        <w:spacing w:line="232" w:lineRule="auto" w:before="0" w:after="0"/>
        <w:ind w:left="174" w:right="219" w:firstLine="0"/>
        <w:jc w:val="left"/>
        <w:rPr>
          <w:sz w:val="18"/>
        </w:rPr>
      </w:pPr>
      <w:r>
        <w:rPr>
          <w:color w:val="231F20"/>
          <w:sz w:val="18"/>
        </w:rPr>
        <w:t>Goods trade data had pointed to a negative contribution </w:t>
      </w:r>
      <w:r>
        <w:rPr>
          <w:color w:val="231F20"/>
          <w:spacing w:val="-5"/>
          <w:sz w:val="18"/>
        </w:rPr>
        <w:t>from </w:t>
      </w:r>
      <w:r>
        <w:rPr>
          <w:color w:val="231F20"/>
          <w:sz w:val="18"/>
        </w:rPr>
        <w:t>net trade in 1998 Q3. There had been little change in the trade deficit in August: £1.2 billion compared with £1.4 billion in July (excluding oil and erratics). The deficit with EU countries had narrowed, while the deficit with non-EU countries had widened. And there had been a large increase in the deficit with non-EU countries in September. Import and export volumes had both increased in the three months to August, but imports by more. For 1998 Q3 as a whole, imports from non-EU countries had risen by 4.6%; exports had fallen by 0.7%.</w:t>
      </w:r>
    </w:p>
    <w:p>
      <w:pPr>
        <w:pStyle w:val="BodyText"/>
        <w:spacing w:before="8"/>
        <w:rPr>
          <w:sz w:val="16"/>
        </w:rPr>
      </w:pPr>
    </w:p>
    <w:p>
      <w:pPr>
        <w:pStyle w:val="ListParagraph"/>
        <w:numPr>
          <w:ilvl w:val="0"/>
          <w:numId w:val="40"/>
        </w:numPr>
        <w:tabs>
          <w:tab w:pos="654" w:val="left" w:leader="none"/>
          <w:tab w:pos="655" w:val="left" w:leader="none"/>
        </w:tabs>
        <w:spacing w:line="232" w:lineRule="auto" w:before="0" w:after="0"/>
        <w:ind w:left="174" w:right="230" w:firstLine="0"/>
        <w:jc w:val="left"/>
        <w:rPr>
          <w:sz w:val="18"/>
        </w:rPr>
      </w:pPr>
      <w:r>
        <w:rPr>
          <w:color w:val="231F20"/>
          <w:sz w:val="18"/>
        </w:rPr>
        <w:t>Surveys suggested that business sentiment had continued to weaken. The BCC survey had reported negative balances for </w:t>
      </w:r>
      <w:r>
        <w:rPr>
          <w:color w:val="231F20"/>
          <w:spacing w:val="-5"/>
          <w:sz w:val="18"/>
        </w:rPr>
        <w:t>home </w:t>
      </w:r>
      <w:r>
        <w:rPr>
          <w:color w:val="231F20"/>
          <w:sz w:val="18"/>
        </w:rPr>
        <w:t>deliveries and home orders in the manufacturing sector of -12 and</w:t>
      </w:r>
    </w:p>
    <w:p>
      <w:pPr>
        <w:pStyle w:val="BodyText"/>
        <w:spacing w:line="232" w:lineRule="auto"/>
        <w:ind w:left="174" w:right="184"/>
      </w:pPr>
      <w:r>
        <w:rPr>
          <w:color w:val="231F20"/>
        </w:rPr>
        <w:t>-16 respectively for Q3, compared with +3 and +2 respectively for Q2. And there had been further sharp falls in export orders and deliveries. This had brought the BCC survey more in to line with the CBI survey, both indicating further falls in manufacturing output. BCC services balances had remained positive, but had fallen. Home orders and deliveries balances had fallen for the third consecutive quarter, and by the largest degree between Q2 and Q3 since the previous recession, consistent with a slowdown in </w:t>
      </w:r>
      <w:r>
        <w:rPr>
          <w:color w:val="231F20"/>
          <w:spacing w:val="-3"/>
        </w:rPr>
        <w:t>services </w:t>
      </w:r>
      <w:r>
        <w:rPr>
          <w:color w:val="231F20"/>
        </w:rPr>
        <w:t>output growth in Q4.</w:t>
      </w:r>
    </w:p>
    <w:p>
      <w:pPr>
        <w:pStyle w:val="BodyText"/>
        <w:spacing w:before="7"/>
        <w:rPr>
          <w:sz w:val="16"/>
        </w:rPr>
      </w:pPr>
    </w:p>
    <w:p>
      <w:pPr>
        <w:pStyle w:val="ListParagraph"/>
        <w:numPr>
          <w:ilvl w:val="0"/>
          <w:numId w:val="40"/>
        </w:numPr>
        <w:tabs>
          <w:tab w:pos="654" w:val="left" w:leader="none"/>
          <w:tab w:pos="655" w:val="left" w:leader="none"/>
        </w:tabs>
        <w:spacing w:line="232" w:lineRule="auto" w:before="0" w:after="0"/>
        <w:ind w:left="174" w:right="232" w:firstLine="0"/>
        <w:jc w:val="left"/>
        <w:rPr>
          <w:sz w:val="18"/>
        </w:rPr>
      </w:pPr>
      <w:r>
        <w:rPr>
          <w:color w:val="231F20"/>
          <w:sz w:val="18"/>
        </w:rPr>
        <w:t>There had also been a further decline in CBI Industrial Trends survey balances. The business optimism balance had fallen to its lowest level since July 1980. This might be a better indicator of output in the manufacturing sector rather than GDP given the nature of the downturn. Sentiment towards exports had stabilised, but at very low levels. In contrast, indicators of domestic activity had fallen sharply: the reported output balance from -4 to -30, expected output from -8 to -29. The C</w:t>
      </w:r>
      <w:r>
        <w:rPr>
          <w:color w:val="231F20"/>
          <w:sz w:val="14"/>
        </w:rPr>
        <w:t>IPS </w:t>
      </w:r>
      <w:r>
        <w:rPr>
          <w:color w:val="231F20"/>
          <w:sz w:val="18"/>
        </w:rPr>
        <w:t>Report on </w:t>
      </w:r>
      <w:r>
        <w:rPr>
          <w:color w:val="231F20"/>
          <w:spacing w:val="-2"/>
          <w:sz w:val="18"/>
        </w:rPr>
        <w:t>Manufacturing </w:t>
      </w:r>
      <w:r>
        <w:rPr>
          <w:color w:val="231F20"/>
          <w:sz w:val="18"/>
        </w:rPr>
        <w:t>output index had fallen to 41.6 in October, a new low, and the largest monthly fall since the survey began in 1991. The C</w:t>
      </w:r>
      <w:r>
        <w:rPr>
          <w:color w:val="231F20"/>
          <w:sz w:val="14"/>
        </w:rPr>
        <w:t>IPS </w:t>
      </w:r>
      <w:r>
        <w:rPr>
          <w:color w:val="231F20"/>
          <w:sz w:val="18"/>
        </w:rPr>
        <w:t>Report on Services had shown the first fall in the incoming new business index since the survey began in mid 1996. And the outstanding business index had continued to fall, and by its largest amount in October (44.9).</w:t>
      </w:r>
    </w:p>
    <w:p>
      <w:pPr>
        <w:pStyle w:val="BodyText"/>
        <w:spacing w:before="8"/>
        <w:rPr>
          <w:sz w:val="19"/>
        </w:rPr>
      </w:pPr>
    </w:p>
    <w:p>
      <w:pPr>
        <w:pStyle w:val="Heading6"/>
        <w:numPr>
          <w:ilvl w:val="0"/>
          <w:numId w:val="39"/>
        </w:numPr>
        <w:tabs>
          <w:tab w:pos="654" w:val="left" w:leader="none"/>
          <w:tab w:pos="655" w:val="left" w:leader="none"/>
        </w:tabs>
        <w:spacing w:line="240" w:lineRule="auto" w:before="0" w:after="0"/>
        <w:ind w:left="654" w:right="0" w:hanging="481"/>
        <w:jc w:val="left"/>
      </w:pPr>
      <w:r>
        <w:rPr>
          <w:color w:val="009483"/>
        </w:rPr>
        <w:t>Labour</w:t>
      </w:r>
      <w:r>
        <w:rPr>
          <w:color w:val="009483"/>
          <w:spacing w:val="-1"/>
        </w:rPr>
        <w:t> </w:t>
      </w:r>
      <w:r>
        <w:rPr>
          <w:color w:val="009483"/>
        </w:rPr>
        <w:t>market</w:t>
      </w:r>
    </w:p>
    <w:p>
      <w:pPr>
        <w:pStyle w:val="ListParagraph"/>
        <w:numPr>
          <w:ilvl w:val="0"/>
          <w:numId w:val="40"/>
        </w:numPr>
        <w:tabs>
          <w:tab w:pos="654" w:val="left" w:leader="none"/>
          <w:tab w:pos="655" w:val="left" w:leader="none"/>
        </w:tabs>
        <w:spacing w:line="232" w:lineRule="auto" w:before="110" w:after="0"/>
        <w:ind w:left="174" w:right="189" w:firstLine="0"/>
        <w:jc w:val="left"/>
        <w:rPr>
          <w:sz w:val="18"/>
        </w:rPr>
      </w:pPr>
      <w:r>
        <w:rPr>
          <w:color w:val="231F20"/>
          <w:sz w:val="18"/>
        </w:rPr>
        <w:t>The Labour Force Survey (LFS) measure of employment </w:t>
      </w:r>
      <w:r>
        <w:rPr>
          <w:color w:val="231F20"/>
          <w:spacing w:val="-4"/>
          <w:sz w:val="18"/>
        </w:rPr>
        <w:t>had </w:t>
      </w:r>
      <w:r>
        <w:rPr>
          <w:color w:val="231F20"/>
          <w:sz w:val="18"/>
        </w:rPr>
        <w:t>risen by 122,000 (0.5%) in the three months to August, compared with the previous three months.  If anything, the rate of increase had appeared to be rising—the average quarterly increase over the past year had been 77,000. Thus the contrast between the strength in LFS employment and the weakness in recent Workforce Jobs figures had become even more marked, though more weight should be attached to the LFS figures (given their lower sampling variance and the possibility of special factors affecting the Workforce Jobs data). The increase in LFS employment in June to August had reflected a large 222,000 (0.9%) increase in employees, partly offset by a 94,000 (2.9%) fall in the numbers self-employed. And </w:t>
      </w:r>
      <w:r>
        <w:rPr>
          <w:color w:val="231F20"/>
          <w:spacing w:val="-9"/>
          <w:sz w:val="18"/>
        </w:rPr>
        <w:t>it </w:t>
      </w:r>
      <w:r>
        <w:rPr>
          <w:color w:val="231F20"/>
          <w:sz w:val="18"/>
        </w:rPr>
        <w:t>had been more than accounted for by an increase in full-time employment (part-time employment fell slightly). Total hours worked had increased by 0.6% over the quarter, so hours per head were broadly unchanged.</w:t>
      </w:r>
    </w:p>
    <w:p>
      <w:pPr>
        <w:pStyle w:val="BodyText"/>
        <w:spacing w:before="3"/>
        <w:rPr>
          <w:sz w:val="16"/>
        </w:rPr>
      </w:pPr>
    </w:p>
    <w:p>
      <w:pPr>
        <w:pStyle w:val="ListParagraph"/>
        <w:numPr>
          <w:ilvl w:val="0"/>
          <w:numId w:val="40"/>
        </w:numPr>
        <w:tabs>
          <w:tab w:pos="654" w:val="left" w:leader="none"/>
          <w:tab w:pos="655" w:val="left" w:leader="none"/>
        </w:tabs>
        <w:spacing w:line="232" w:lineRule="auto" w:before="0" w:after="0"/>
        <w:ind w:left="174" w:right="227" w:firstLine="0"/>
        <w:jc w:val="left"/>
        <w:rPr>
          <w:sz w:val="18"/>
        </w:rPr>
      </w:pPr>
      <w:r>
        <w:rPr>
          <w:color w:val="231F20"/>
          <w:sz w:val="18"/>
        </w:rPr>
        <w:t>Turning to survey information, the C</w:t>
      </w:r>
      <w:r>
        <w:rPr>
          <w:color w:val="231F20"/>
          <w:sz w:val="14"/>
        </w:rPr>
        <w:t>IPS </w:t>
      </w:r>
      <w:r>
        <w:rPr>
          <w:color w:val="231F20"/>
          <w:sz w:val="18"/>
        </w:rPr>
        <w:t>October surveys </w:t>
      </w:r>
      <w:r>
        <w:rPr>
          <w:color w:val="231F20"/>
          <w:spacing w:val="-6"/>
          <w:sz w:val="18"/>
        </w:rPr>
        <w:t>had </w:t>
      </w:r>
      <w:r>
        <w:rPr>
          <w:color w:val="231F20"/>
          <w:sz w:val="18"/>
        </w:rPr>
        <w:t>suggested that employment growth in services had been weakening but remained positive, construction employment had been unchanged, and the rate of job loss in manufacturing had been increasing. This sectoral picture was broadly consistent with reports from the Bank’s regional Agents. The BCC survey for Q3 had shown a fall in employment intentions in services, though they had remained positive, while the balance of manufacturers</w:t>
      </w:r>
    </w:p>
    <w:p>
      <w:pPr>
        <w:spacing w:after="0" w:line="232" w:lineRule="auto"/>
        <w:jc w:val="left"/>
        <w:rPr>
          <w:sz w:val="18"/>
        </w:rPr>
        <w:sectPr>
          <w:type w:val="continuous"/>
          <w:pgSz w:w="11900" w:h="16840"/>
          <w:pgMar w:top="1220" w:bottom="280" w:left="640" w:right="600"/>
          <w:cols w:num="2" w:equalWidth="0">
            <w:col w:w="5125" w:space="265"/>
            <w:col w:w="5270"/>
          </w:cols>
        </w:sectPr>
      </w:pPr>
    </w:p>
    <w:p>
      <w:pPr>
        <w:pStyle w:val="BodyText"/>
        <w:rPr>
          <w:sz w:val="20"/>
        </w:rPr>
      </w:pPr>
    </w:p>
    <w:p>
      <w:pPr>
        <w:spacing w:after="0"/>
        <w:rPr>
          <w:sz w:val="20"/>
        </w:rPr>
        <w:sectPr>
          <w:pgSz w:w="11900" w:h="16840"/>
          <w:pgMar w:header="566" w:footer="597" w:top="760" w:bottom="780" w:left="640" w:right="600"/>
        </w:sectPr>
      </w:pPr>
    </w:p>
    <w:p>
      <w:pPr>
        <w:pStyle w:val="BodyText"/>
        <w:spacing w:before="4"/>
        <w:rPr>
          <w:sz w:val="21"/>
        </w:rPr>
      </w:pPr>
    </w:p>
    <w:p>
      <w:pPr>
        <w:pStyle w:val="BodyText"/>
        <w:spacing w:line="232" w:lineRule="auto" w:before="1"/>
        <w:ind w:left="165" w:right="231"/>
      </w:pPr>
      <w:r>
        <w:rPr>
          <w:color w:val="231F20"/>
        </w:rPr>
        <w:t>expecting to recruit staff had fallen sharply to almost zero. The CBI Industrial Trends Survey for Q3 had also shown a large deterioration in manufacturing employment intentions, the seasonally adjusted balance falling to its lowest level since 1993.</w:t>
      </w:r>
    </w:p>
    <w:p>
      <w:pPr>
        <w:pStyle w:val="ListParagraph"/>
        <w:numPr>
          <w:ilvl w:val="0"/>
          <w:numId w:val="40"/>
        </w:numPr>
        <w:tabs>
          <w:tab w:pos="645" w:val="left" w:leader="none"/>
          <w:tab w:pos="646" w:val="left" w:leader="none"/>
        </w:tabs>
        <w:spacing w:line="232" w:lineRule="auto" w:before="157" w:after="0"/>
        <w:ind w:left="165" w:right="88" w:firstLine="0"/>
        <w:jc w:val="left"/>
        <w:rPr>
          <w:sz w:val="18"/>
        </w:rPr>
      </w:pPr>
      <w:r>
        <w:rPr>
          <w:color w:val="231F20"/>
          <w:sz w:val="18"/>
        </w:rPr>
        <w:t>New notifications of vacancies had risen by 4,000 in September, with the stock of vacancies broadly unchanged. National press advertising had risen to another high in August, reflecting sustained demand for staff at the top end of the labour market. The F</w:t>
      </w:r>
      <w:r>
        <w:rPr>
          <w:color w:val="231F20"/>
          <w:sz w:val="14"/>
        </w:rPr>
        <w:t>RES </w:t>
      </w:r>
      <w:r>
        <w:rPr>
          <w:color w:val="231F20"/>
          <w:sz w:val="18"/>
        </w:rPr>
        <w:t>report had showed that recruitment agency business had continued to increase in September, but the rate of growth had fallen back to its weakest this year. The BCC survey had shown some easing in recruitment difficulties in both manufacturing and services, though they still persisted. And the CBI Industrial Trends survey for Q3 had shown a further fall in </w:t>
      </w:r>
      <w:r>
        <w:rPr>
          <w:color w:val="231F20"/>
          <w:spacing w:val="-6"/>
          <w:sz w:val="18"/>
        </w:rPr>
        <w:t>the </w:t>
      </w:r>
      <w:r>
        <w:rPr>
          <w:color w:val="231F20"/>
          <w:sz w:val="18"/>
        </w:rPr>
        <w:t>balance of manufacturers quoting skill shortages as a factor likely to limit output.</w:t>
      </w:r>
    </w:p>
    <w:p>
      <w:pPr>
        <w:pStyle w:val="ListParagraph"/>
        <w:numPr>
          <w:ilvl w:val="0"/>
          <w:numId w:val="40"/>
        </w:numPr>
        <w:tabs>
          <w:tab w:pos="645" w:val="left" w:leader="none"/>
          <w:tab w:pos="646" w:val="left" w:leader="none"/>
        </w:tabs>
        <w:spacing w:line="232" w:lineRule="auto" w:before="150" w:after="0"/>
        <w:ind w:left="165" w:right="38" w:firstLine="0"/>
        <w:jc w:val="left"/>
        <w:rPr>
          <w:sz w:val="18"/>
        </w:rPr>
      </w:pPr>
      <w:r>
        <w:rPr>
          <w:color w:val="231F20"/>
          <w:sz w:val="18"/>
        </w:rPr>
        <w:t>LFS unemployment had increased by 9,000 in the three months to August, compared with the previous three months. The rise had partly reflected a 28,000 increase in unemployment among 16–17 year olds. Despite the rise, the rate of LFS unemployment remained unchanged to the nearest decimal point at 6.3%. The claimant count had continued to fall in September (by 12,000), </w:t>
      </w:r>
      <w:r>
        <w:rPr>
          <w:color w:val="231F20"/>
          <w:spacing w:val="-5"/>
          <w:sz w:val="18"/>
        </w:rPr>
        <w:t>with </w:t>
      </w:r>
      <w:r>
        <w:rPr>
          <w:color w:val="231F20"/>
          <w:sz w:val="18"/>
        </w:rPr>
        <w:t>part of the fall likely to have reflected a New Deal effect.</w:t>
      </w:r>
    </w:p>
    <w:p>
      <w:pPr>
        <w:pStyle w:val="ListParagraph"/>
        <w:numPr>
          <w:ilvl w:val="0"/>
          <w:numId w:val="40"/>
        </w:numPr>
        <w:tabs>
          <w:tab w:pos="645" w:val="left" w:leader="none"/>
          <w:tab w:pos="646" w:val="left" w:leader="none"/>
        </w:tabs>
        <w:spacing w:line="232" w:lineRule="auto" w:before="155" w:after="0"/>
        <w:ind w:left="165" w:right="138" w:firstLine="0"/>
        <w:jc w:val="left"/>
        <w:rPr>
          <w:sz w:val="18"/>
        </w:rPr>
      </w:pPr>
      <w:r>
        <w:rPr>
          <w:color w:val="231F20"/>
          <w:sz w:val="18"/>
        </w:rPr>
        <w:t>According to LFS figures, the number of economically inactive people of working age had fallen by 93,000 in the three months to August, which contrasted with the increases recorded </w:t>
      </w:r>
      <w:r>
        <w:rPr>
          <w:color w:val="231F20"/>
          <w:spacing w:val="-9"/>
          <w:sz w:val="18"/>
        </w:rPr>
        <w:t>in </w:t>
      </w:r>
      <w:r>
        <w:rPr>
          <w:color w:val="231F20"/>
          <w:sz w:val="18"/>
        </w:rPr>
        <w:t>the previous three quarters.</w:t>
      </w:r>
    </w:p>
    <w:p>
      <w:pPr>
        <w:pStyle w:val="ListParagraph"/>
        <w:numPr>
          <w:ilvl w:val="0"/>
          <w:numId w:val="40"/>
        </w:numPr>
        <w:tabs>
          <w:tab w:pos="645" w:val="left" w:leader="none"/>
          <w:tab w:pos="646" w:val="left" w:leader="none"/>
        </w:tabs>
        <w:spacing w:line="232" w:lineRule="auto" w:before="157" w:after="0"/>
        <w:ind w:left="165" w:right="38" w:firstLine="0"/>
        <w:jc w:val="left"/>
        <w:rPr>
          <w:sz w:val="18"/>
        </w:rPr>
      </w:pPr>
      <w:r>
        <w:rPr>
          <w:color w:val="231F20"/>
          <w:sz w:val="18"/>
        </w:rPr>
        <w:t>The ONS had announced a further set of revisions to the earnings data on 14 October following a rebasing exercise, which had resulted in significant revisions to the earnings data going back to 1991. The key factors behind the revisions had been: the use of new employment weights to aggregate earnings in different industries; the application of new grossing factors to firms in different size bands to make the sample more representative; and the use of a new public/private sector classification, which reflected legal as well as industrial status. However, there were a number of features of the revised data that had been difficult to understand and, partly for this reason, an external enquiry into the figures had been set up. The ONS subsequently issued a press release on</w:t>
      </w:r>
    </w:p>
    <w:p>
      <w:pPr>
        <w:pStyle w:val="BodyText"/>
        <w:spacing w:line="232" w:lineRule="auto"/>
        <w:ind w:left="165" w:right="455"/>
      </w:pPr>
      <w:r>
        <w:rPr>
          <w:color w:val="231F20"/>
        </w:rPr>
        <w:t>2 November suspending publication of the figures until it was satisfied about their quality.</w:t>
      </w:r>
    </w:p>
    <w:p>
      <w:pPr>
        <w:pStyle w:val="ListParagraph"/>
        <w:numPr>
          <w:ilvl w:val="0"/>
          <w:numId w:val="40"/>
        </w:numPr>
        <w:tabs>
          <w:tab w:pos="645" w:val="left" w:leader="none"/>
          <w:tab w:pos="646" w:val="left" w:leader="none"/>
        </w:tabs>
        <w:spacing w:line="232" w:lineRule="auto" w:before="149" w:after="0"/>
        <w:ind w:left="165" w:right="68" w:firstLine="0"/>
        <w:jc w:val="left"/>
        <w:rPr>
          <w:sz w:val="18"/>
        </w:rPr>
      </w:pPr>
      <w:r>
        <w:rPr>
          <w:color w:val="231F20"/>
          <w:sz w:val="18"/>
        </w:rPr>
        <w:t>According to the revised figures, headline annual earnings growth had peaked in 1998 in June (at 5.2%), not in April as previously thought, and had dropped back to 4.6% in July. But more puzzling was that the revised series had suggested that aggregate earnings growth had fallen rather than risen in 1997, at a time when the quantities data had suggested that the labour market was tightening. This change in profile was more pronounced in </w:t>
      </w:r>
      <w:r>
        <w:rPr>
          <w:color w:val="231F20"/>
          <w:spacing w:val="-6"/>
          <w:sz w:val="18"/>
        </w:rPr>
        <w:t>the </w:t>
      </w:r>
      <w:r>
        <w:rPr>
          <w:color w:val="231F20"/>
          <w:sz w:val="18"/>
        </w:rPr>
        <w:t>services data; the manufacturing profile was much more similar to the old data.</w:t>
      </w:r>
    </w:p>
    <w:p>
      <w:pPr>
        <w:pStyle w:val="ListParagraph"/>
        <w:numPr>
          <w:ilvl w:val="0"/>
          <w:numId w:val="40"/>
        </w:numPr>
        <w:tabs>
          <w:tab w:pos="645" w:val="left" w:leader="none"/>
          <w:tab w:pos="646" w:val="left" w:leader="none"/>
        </w:tabs>
        <w:spacing w:line="232" w:lineRule="auto" w:before="153" w:after="0"/>
        <w:ind w:left="165" w:right="623" w:firstLine="0"/>
        <w:jc w:val="left"/>
        <w:rPr>
          <w:sz w:val="18"/>
        </w:rPr>
      </w:pPr>
      <w:r>
        <w:rPr>
          <w:color w:val="231F20"/>
          <w:sz w:val="18"/>
        </w:rPr>
        <w:t>Another puzzle in the revised data had been that </w:t>
      </w:r>
      <w:r>
        <w:rPr>
          <w:color w:val="231F20"/>
          <w:spacing w:val="-5"/>
          <w:sz w:val="18"/>
        </w:rPr>
        <w:t>they </w:t>
      </w:r>
      <w:r>
        <w:rPr>
          <w:color w:val="231F20"/>
          <w:sz w:val="18"/>
        </w:rPr>
        <w:t>suggested that public sector earnings had accelerated from</w:t>
      </w:r>
    </w:p>
    <w:p>
      <w:pPr>
        <w:pStyle w:val="BodyText"/>
        <w:spacing w:line="232" w:lineRule="auto"/>
        <w:ind w:left="165" w:right="36"/>
      </w:pPr>
      <w:r>
        <w:rPr>
          <w:color w:val="231F20"/>
        </w:rPr>
        <w:t>mid-1997, not grown at a broadly constant rate of around 2.5% to 3.0% as had previously been thought. On the new figures, headline public sector earnings grew by 4.6% in the year to July (up from 4.5% in June), which compared with private sector earnings growth of 4.7% (down from 5.4%).</w:t>
      </w:r>
    </w:p>
    <w:p>
      <w:pPr>
        <w:pStyle w:val="ListParagraph"/>
        <w:numPr>
          <w:ilvl w:val="0"/>
          <w:numId w:val="40"/>
        </w:numPr>
        <w:tabs>
          <w:tab w:pos="645" w:val="left" w:leader="none"/>
          <w:tab w:pos="646" w:val="left" w:leader="none"/>
        </w:tabs>
        <w:spacing w:line="232" w:lineRule="auto" w:before="134" w:after="0"/>
        <w:ind w:left="165" w:right="98" w:firstLine="0"/>
        <w:jc w:val="left"/>
        <w:rPr>
          <w:sz w:val="18"/>
        </w:rPr>
      </w:pPr>
      <w:r>
        <w:rPr>
          <w:color w:val="231F20"/>
          <w:sz w:val="18"/>
        </w:rPr>
        <w:t>A further puzzle in the new data concerned bonuses. Previously it had been thought that irregular pay had constantly made a positive contribution to the annual growth of average earnings in 1997 and 1998. But according to the new figures, the contribution had been erratic, and the large positive contribution </w:t>
      </w:r>
      <w:r>
        <w:rPr>
          <w:color w:val="231F20"/>
          <w:spacing w:val="-9"/>
          <w:sz w:val="18"/>
        </w:rPr>
        <w:t>of </w:t>
      </w:r>
      <w:r>
        <w:rPr>
          <w:color w:val="231F20"/>
          <w:sz w:val="18"/>
        </w:rPr>
        <w:t>bonuses and other irregular payments in March 1998, seen in the unrevised data, was no longer apparent.</w:t>
      </w:r>
    </w:p>
    <w:p>
      <w:pPr>
        <w:pStyle w:val="ListParagraph"/>
        <w:numPr>
          <w:ilvl w:val="0"/>
          <w:numId w:val="40"/>
        </w:numPr>
        <w:tabs>
          <w:tab w:pos="645" w:val="left" w:leader="none"/>
          <w:tab w:pos="646" w:val="left" w:leader="none"/>
        </w:tabs>
        <w:spacing w:line="232" w:lineRule="auto" w:before="95" w:after="0"/>
        <w:ind w:left="165" w:right="248" w:firstLine="0"/>
        <w:jc w:val="left"/>
        <w:rPr>
          <w:sz w:val="18"/>
        </w:rPr>
      </w:pPr>
      <w:r>
        <w:rPr>
          <w:color w:val="231F20"/>
          <w:sz w:val="18"/>
        </w:rPr>
        <w:t>The revised figures had seemed difficult to reconcile with other measures of earnings, none of which had suggested </w:t>
      </w:r>
      <w:r>
        <w:rPr>
          <w:color w:val="231F20"/>
          <w:spacing w:val="-3"/>
          <w:sz w:val="18"/>
        </w:rPr>
        <w:t>weaker</w:t>
      </w:r>
    </w:p>
    <w:p>
      <w:pPr>
        <w:pStyle w:val="BodyText"/>
        <w:spacing w:before="4"/>
        <w:rPr>
          <w:sz w:val="21"/>
        </w:rPr>
      </w:pPr>
      <w:r>
        <w:rPr/>
        <w:br w:type="column"/>
      </w:r>
      <w:r>
        <w:rPr>
          <w:sz w:val="21"/>
        </w:rPr>
      </w:r>
    </w:p>
    <w:p>
      <w:pPr>
        <w:pStyle w:val="BodyText"/>
        <w:spacing w:line="232" w:lineRule="auto" w:before="1"/>
        <w:ind w:left="165" w:right="264"/>
      </w:pPr>
      <w:r>
        <w:rPr>
          <w:color w:val="231F20"/>
        </w:rPr>
        <w:t>growth during 1997. The growth rate of the National Accounts measure of wages and salaries per head had increased during 1997–98, though these figures were partly derived from the Average Earnings Index and were therefore subject to be revised if the quality of the new series was confirmed. The Reward Index of earnings growth had also been stronger than the revised Average Earnings Index in 1997 and 1998, despite having dropped back recently (to 5.1% in September). And a comparison with figures from the annual New Earnings Survey also suggested that earnings growth in recent years had if anything been closer to the old average earnings series, than the revised one.</w:t>
      </w:r>
    </w:p>
    <w:p>
      <w:pPr>
        <w:pStyle w:val="BodyText"/>
        <w:spacing w:before="7"/>
        <w:rPr>
          <w:sz w:val="16"/>
        </w:rPr>
      </w:pPr>
    </w:p>
    <w:p>
      <w:pPr>
        <w:pStyle w:val="ListParagraph"/>
        <w:numPr>
          <w:ilvl w:val="0"/>
          <w:numId w:val="40"/>
        </w:numPr>
        <w:tabs>
          <w:tab w:pos="645" w:val="left" w:leader="none"/>
          <w:tab w:pos="646" w:val="left" w:leader="none"/>
        </w:tabs>
        <w:spacing w:line="232" w:lineRule="auto" w:before="0" w:after="0"/>
        <w:ind w:left="165" w:right="291" w:firstLine="0"/>
        <w:jc w:val="left"/>
        <w:rPr>
          <w:sz w:val="18"/>
        </w:rPr>
      </w:pPr>
      <w:r>
        <w:rPr>
          <w:color w:val="231F20"/>
          <w:sz w:val="18"/>
        </w:rPr>
        <w:t>The view that wage pressure had eased in 1997 was also </w:t>
      </w:r>
      <w:r>
        <w:rPr>
          <w:color w:val="231F20"/>
          <w:spacing w:val="-6"/>
          <w:sz w:val="18"/>
        </w:rPr>
        <w:t>not </w:t>
      </w:r>
      <w:r>
        <w:rPr>
          <w:color w:val="231F20"/>
          <w:sz w:val="18"/>
        </w:rPr>
        <w:t>supported by evidence from wage settlements which had increased through 1997 and the early part of 1998. And there had been no evidence of a slowdown in wage settlements in recent months: </w:t>
      </w:r>
      <w:r>
        <w:rPr>
          <w:color w:val="231F20"/>
          <w:spacing w:val="-6"/>
          <w:sz w:val="18"/>
        </w:rPr>
        <w:t>the </w:t>
      </w:r>
      <w:r>
        <w:rPr>
          <w:color w:val="231F20"/>
          <w:sz w:val="18"/>
        </w:rPr>
        <w:t>twelve-month employment weighted mean measure remained at 3.7% in September for the fifth consecutive month.</w:t>
      </w:r>
    </w:p>
    <w:p>
      <w:pPr>
        <w:pStyle w:val="BodyText"/>
        <w:spacing w:before="3"/>
        <w:rPr>
          <w:sz w:val="20"/>
        </w:rPr>
      </w:pPr>
    </w:p>
    <w:p>
      <w:pPr>
        <w:pStyle w:val="Heading6"/>
        <w:numPr>
          <w:ilvl w:val="0"/>
          <w:numId w:val="39"/>
        </w:numPr>
        <w:tabs>
          <w:tab w:pos="645" w:val="left" w:leader="none"/>
          <w:tab w:pos="646" w:val="left" w:leader="none"/>
        </w:tabs>
        <w:spacing w:line="240" w:lineRule="auto" w:before="0" w:after="0"/>
        <w:ind w:left="645" w:right="0" w:hanging="481"/>
        <w:jc w:val="left"/>
      </w:pPr>
      <w:r>
        <w:rPr>
          <w:color w:val="009483"/>
        </w:rPr>
        <w:t>Prices</w:t>
      </w:r>
    </w:p>
    <w:p>
      <w:pPr>
        <w:pStyle w:val="ListParagraph"/>
        <w:numPr>
          <w:ilvl w:val="0"/>
          <w:numId w:val="40"/>
        </w:numPr>
        <w:tabs>
          <w:tab w:pos="645" w:val="left" w:leader="none"/>
          <w:tab w:pos="646" w:val="left" w:leader="none"/>
        </w:tabs>
        <w:spacing w:line="232" w:lineRule="auto" w:before="110" w:after="0"/>
        <w:ind w:left="165" w:right="296" w:firstLine="0"/>
        <w:jc w:val="left"/>
        <w:rPr>
          <w:sz w:val="18"/>
        </w:rPr>
      </w:pPr>
      <w:r>
        <w:rPr>
          <w:color w:val="231F20"/>
          <w:sz w:val="18"/>
        </w:rPr>
        <w:t>Commodity prices had continued to fall in September. The Bank index excluding oil had fallen by 0.6% in September, </w:t>
      </w:r>
      <w:r>
        <w:rPr>
          <w:color w:val="231F20"/>
          <w:spacing w:val="-3"/>
          <w:sz w:val="18"/>
        </w:rPr>
        <w:t>mainly </w:t>
      </w:r>
      <w:r>
        <w:rPr>
          <w:color w:val="231F20"/>
          <w:sz w:val="18"/>
        </w:rPr>
        <w:t>because of metals and food prices. The index had fallen by 18% since its peak in March 1996. But United Nations data had suggested that the recent weakness of commodity prices relative to consumer prices was in line with the trend change over the previous thirty years. Input price deflation had persisted: prices had fallen by 1.1% in September and by 9.8% since</w:t>
      </w:r>
    </w:p>
    <w:p>
      <w:pPr>
        <w:pStyle w:val="BodyText"/>
        <w:spacing w:line="232" w:lineRule="auto"/>
        <w:ind w:left="165" w:right="294"/>
      </w:pPr>
      <w:r>
        <w:rPr>
          <w:color w:val="231F20"/>
        </w:rPr>
        <w:t>September 1997. The price of Brent crude oil had fallen to $13.19 a barrel by 28 October.</w:t>
      </w:r>
    </w:p>
    <w:p>
      <w:pPr>
        <w:pStyle w:val="BodyText"/>
        <w:spacing w:before="8"/>
        <w:rPr>
          <w:sz w:val="16"/>
        </w:rPr>
      </w:pPr>
    </w:p>
    <w:p>
      <w:pPr>
        <w:pStyle w:val="ListParagraph"/>
        <w:numPr>
          <w:ilvl w:val="0"/>
          <w:numId w:val="40"/>
        </w:numPr>
        <w:tabs>
          <w:tab w:pos="645" w:val="left" w:leader="none"/>
          <w:tab w:pos="646" w:val="left" w:leader="none"/>
        </w:tabs>
        <w:spacing w:line="232" w:lineRule="auto" w:before="0" w:after="0"/>
        <w:ind w:left="165" w:right="201" w:firstLine="0"/>
        <w:jc w:val="left"/>
        <w:rPr>
          <w:sz w:val="18"/>
        </w:rPr>
      </w:pPr>
      <w:r>
        <w:rPr>
          <w:color w:val="231F20"/>
          <w:sz w:val="18"/>
        </w:rPr>
        <w:t>Annual output price inflation had fallen to its lowest rates for over twenty years in September: output price inflation excluding excise duties (PPIY) to -0.6% (its lowest rate since 1975) and total output price inflation to 0.3% (its lowest rate since 1960). The CBI and BCC surveys had continued to suggest that output price inflation might fall further. Their weakness relative to the official data might have been explained by the split between gross and net output price inflation.  The gross index, which includes intermediate prices within the manufacturing sector, had been falling, while the net index had risen slightly, implying </w:t>
      </w:r>
      <w:r>
        <w:rPr>
          <w:color w:val="231F20"/>
          <w:spacing w:val="-2"/>
          <w:sz w:val="18"/>
        </w:rPr>
        <w:t>intermediate </w:t>
      </w:r>
      <w:r>
        <w:rPr>
          <w:color w:val="231F20"/>
          <w:sz w:val="18"/>
        </w:rPr>
        <w:t>price deflation. It was possible the survey balances had reflected gross output price deflation better than the net numbers published in the headline producer price index. Trade prices had also continued to fall.  Export prices to the European Union had fallen by 0.4% in August. Import prices had fallen further in 1998 from countries outside the European Union (-9.4% in the year to September), but had remained broadly unchanged from other EU countries (-5.9% in the year to September).</w:t>
      </w:r>
    </w:p>
    <w:p>
      <w:pPr>
        <w:pStyle w:val="BodyText"/>
        <w:spacing w:before="2"/>
        <w:rPr>
          <w:sz w:val="16"/>
        </w:rPr>
      </w:pPr>
    </w:p>
    <w:p>
      <w:pPr>
        <w:pStyle w:val="ListParagraph"/>
        <w:numPr>
          <w:ilvl w:val="0"/>
          <w:numId w:val="40"/>
        </w:numPr>
        <w:tabs>
          <w:tab w:pos="645" w:val="left" w:leader="none"/>
          <w:tab w:pos="646" w:val="left" w:leader="none"/>
        </w:tabs>
        <w:spacing w:line="232" w:lineRule="auto" w:before="0" w:after="0"/>
        <w:ind w:left="165" w:right="262" w:firstLine="0"/>
        <w:jc w:val="left"/>
        <w:rPr>
          <w:sz w:val="18"/>
        </w:rPr>
      </w:pPr>
      <w:r>
        <w:rPr>
          <w:color w:val="231F20"/>
          <w:sz w:val="18"/>
        </w:rPr>
        <w:t>RPIX inflation had remained at 2.5% in September, while RPIY and RPI inflation had both fallen by 0.1 percentage point, to 2.0% and 3.2% respectively. RPIX services prices had risen by 3.5% in the year to September, up from 3.2% in August. That had reflected the reduction of the VAT rate payable on domestic fuel </w:t>
      </w:r>
      <w:r>
        <w:rPr>
          <w:color w:val="231F20"/>
          <w:spacing w:val="-9"/>
          <w:sz w:val="18"/>
        </w:rPr>
        <w:t>in </w:t>
      </w:r>
      <w:r>
        <w:rPr>
          <w:color w:val="231F20"/>
          <w:sz w:val="18"/>
        </w:rPr>
        <w:t>September 1997, which had fallen out of the annual inflation rate. Household services had risen sharply, partly owing to private school fees. The H</w:t>
      </w:r>
      <w:r>
        <w:rPr>
          <w:color w:val="231F20"/>
          <w:sz w:val="14"/>
        </w:rPr>
        <w:t>ICP </w:t>
      </w:r>
      <w:r>
        <w:rPr>
          <w:color w:val="231F20"/>
          <w:sz w:val="18"/>
        </w:rPr>
        <w:t>inflation rate had risen by 0.2 percentage points in September to 1.5%, whereas the RPIX inflation rate had remained unchanged. But the difference had been almost entirely due to rounding. The retail sales deflator had been revised as part of the rebasing of the retail sales index, which had been published since the previous MPC meeting. But annual retail sales price inflation had remained close to its previous rates and stood at 0.6% in September.</w:t>
      </w:r>
    </w:p>
    <w:p>
      <w:pPr>
        <w:pStyle w:val="BodyText"/>
        <w:spacing w:before="7"/>
        <w:rPr>
          <w:sz w:val="19"/>
        </w:rPr>
      </w:pPr>
    </w:p>
    <w:p>
      <w:pPr>
        <w:pStyle w:val="Heading6"/>
        <w:numPr>
          <w:ilvl w:val="0"/>
          <w:numId w:val="39"/>
        </w:numPr>
        <w:tabs>
          <w:tab w:pos="646" w:val="left" w:leader="none"/>
        </w:tabs>
        <w:spacing w:line="240" w:lineRule="auto" w:before="0" w:after="0"/>
        <w:ind w:left="645" w:right="0" w:hanging="481"/>
        <w:jc w:val="left"/>
      </w:pPr>
      <w:r>
        <w:rPr>
          <w:color w:val="009483"/>
        </w:rPr>
        <w:t>Reports by the Bank’s regional</w:t>
      </w:r>
      <w:r>
        <w:rPr>
          <w:color w:val="009483"/>
          <w:spacing w:val="-3"/>
        </w:rPr>
        <w:t> </w:t>
      </w:r>
      <w:r>
        <w:rPr>
          <w:color w:val="009483"/>
        </w:rPr>
        <w:t>Agents</w:t>
      </w:r>
    </w:p>
    <w:p>
      <w:pPr>
        <w:pStyle w:val="ListParagraph"/>
        <w:numPr>
          <w:ilvl w:val="0"/>
          <w:numId w:val="40"/>
        </w:numPr>
        <w:tabs>
          <w:tab w:pos="645" w:val="left" w:leader="none"/>
          <w:tab w:pos="646" w:val="left" w:leader="none"/>
        </w:tabs>
        <w:spacing w:line="232" w:lineRule="auto" w:before="110" w:after="0"/>
        <w:ind w:left="165" w:right="231" w:firstLine="0"/>
        <w:jc w:val="left"/>
        <w:rPr>
          <w:sz w:val="18"/>
        </w:rPr>
      </w:pPr>
      <w:r>
        <w:rPr>
          <w:color w:val="231F20"/>
          <w:sz w:val="18"/>
        </w:rPr>
        <w:t>The Bank’s regional Agents had undertaken a survey of </w:t>
      </w:r>
      <w:r>
        <w:rPr>
          <w:color w:val="231F20"/>
          <w:spacing w:val="-4"/>
          <w:sz w:val="18"/>
        </w:rPr>
        <w:t>their </w:t>
      </w:r>
      <w:r>
        <w:rPr>
          <w:color w:val="231F20"/>
          <w:sz w:val="18"/>
        </w:rPr>
        <w:t>contacts on domestic credit conditions.  They had asked whether the demand for finance had changed over recent months. 40% of</w:t>
      </w:r>
    </w:p>
    <w:p>
      <w:pPr>
        <w:spacing w:after="0" w:line="232" w:lineRule="auto"/>
        <w:jc w:val="left"/>
        <w:rPr>
          <w:sz w:val="18"/>
        </w:rPr>
        <w:sectPr>
          <w:type w:val="continuous"/>
          <w:pgSz w:w="11900" w:h="16840"/>
          <w:pgMar w:top="1220" w:bottom="280" w:left="640" w:right="600"/>
          <w:cols w:num="2" w:equalWidth="0">
            <w:col w:w="5095" w:space="292"/>
            <w:col w:w="5273"/>
          </w:cols>
        </w:sectPr>
      </w:pPr>
    </w:p>
    <w:p>
      <w:pPr>
        <w:pStyle w:val="BodyText"/>
        <w:rPr>
          <w:sz w:val="20"/>
        </w:rPr>
      </w:pPr>
    </w:p>
    <w:p>
      <w:pPr>
        <w:spacing w:after="0"/>
        <w:rPr>
          <w:sz w:val="20"/>
        </w:rPr>
        <w:sectPr>
          <w:pgSz w:w="11900" w:h="16840"/>
          <w:pgMar w:header="566" w:footer="597" w:top="760" w:bottom="780" w:left="640" w:right="600"/>
        </w:sectPr>
      </w:pPr>
    </w:p>
    <w:p>
      <w:pPr>
        <w:pStyle w:val="BodyText"/>
        <w:spacing w:before="7"/>
        <w:rPr>
          <w:sz w:val="19"/>
        </w:rPr>
      </w:pPr>
    </w:p>
    <w:p>
      <w:pPr>
        <w:pStyle w:val="BodyText"/>
        <w:spacing w:line="232" w:lineRule="auto" w:before="1"/>
        <w:ind w:left="174" w:right="38"/>
      </w:pPr>
      <w:r>
        <w:rPr>
          <w:color w:val="231F20"/>
        </w:rPr>
        <w:t>respondents reported unchanged usage of finance, 48% increased use and 12% reduced use. Of those who had increased their demand for loans, some had done so because of deteriorating trading conditions. They had also asked whether firms thought that the terms and conditions of finance offered by banks had worsened. Most contacts had said that they had not. 10% of contacts had reported that they had recently had a loan request turned down.</w:t>
      </w:r>
    </w:p>
    <w:p>
      <w:pPr>
        <w:pStyle w:val="BodyText"/>
        <w:spacing w:line="232" w:lineRule="auto"/>
        <w:ind w:left="174" w:right="100"/>
      </w:pPr>
      <w:r>
        <w:rPr>
          <w:color w:val="231F20"/>
        </w:rPr>
        <w:t>The Agents had also contacted local clearing bank representatives. They had suggested that they had for some time been seeking to improve loan quality and exercising more due diligence, and that this had not been connected with the recent turbulence in financial markets. Some contacts had reported that the terms of syndicated loans had tightened.</w:t>
      </w:r>
    </w:p>
    <w:p>
      <w:pPr>
        <w:pStyle w:val="BodyText"/>
        <w:spacing w:before="5"/>
        <w:rPr>
          <w:sz w:val="16"/>
        </w:rPr>
      </w:pPr>
    </w:p>
    <w:p>
      <w:pPr>
        <w:pStyle w:val="ListParagraph"/>
        <w:numPr>
          <w:ilvl w:val="0"/>
          <w:numId w:val="40"/>
        </w:numPr>
        <w:tabs>
          <w:tab w:pos="654" w:val="left" w:leader="none"/>
          <w:tab w:pos="655" w:val="left" w:leader="none"/>
        </w:tabs>
        <w:spacing w:line="232" w:lineRule="auto" w:before="1" w:after="0"/>
        <w:ind w:left="174" w:right="202" w:firstLine="0"/>
        <w:jc w:val="left"/>
        <w:rPr>
          <w:sz w:val="18"/>
        </w:rPr>
      </w:pPr>
      <w:r>
        <w:rPr>
          <w:color w:val="231F20"/>
          <w:sz w:val="18"/>
        </w:rPr>
        <w:t>Looking ahead, the Agents reported that contacts had expected credit conditions to tighten in the future as the </w:t>
      </w:r>
      <w:r>
        <w:rPr>
          <w:color w:val="231F20"/>
          <w:spacing w:val="-3"/>
          <w:sz w:val="18"/>
        </w:rPr>
        <w:t>economy </w:t>
      </w:r>
      <w:r>
        <w:rPr>
          <w:color w:val="231F20"/>
          <w:sz w:val="18"/>
        </w:rPr>
        <w:t>slowed. Some respondents had thought that small and</w:t>
      </w:r>
    </w:p>
    <w:p>
      <w:pPr>
        <w:pStyle w:val="BodyText"/>
        <w:spacing w:line="232" w:lineRule="auto"/>
        <w:ind w:left="174" w:right="170"/>
      </w:pPr>
      <w:r>
        <w:rPr>
          <w:color w:val="231F20"/>
        </w:rPr>
        <w:t>medium-sized enterprises would have been most affected by this. The Agents had also asked about the exposure of their contacts to</w:t>
      </w:r>
    </w:p>
    <w:p>
      <w:pPr>
        <w:pStyle w:val="BodyText"/>
        <w:spacing w:before="7"/>
        <w:rPr>
          <w:sz w:val="19"/>
        </w:rPr>
      </w:pPr>
      <w:r>
        <w:rPr/>
        <w:br w:type="column"/>
      </w:r>
      <w:r>
        <w:rPr>
          <w:sz w:val="19"/>
        </w:rPr>
      </w:r>
    </w:p>
    <w:p>
      <w:pPr>
        <w:pStyle w:val="BodyText"/>
        <w:spacing w:line="232" w:lineRule="auto" w:before="1"/>
        <w:ind w:left="174" w:right="213"/>
      </w:pPr>
      <w:r>
        <w:rPr>
          <w:color w:val="231F20"/>
        </w:rPr>
        <w:t>emerging markets, which had appeared to be limited. For example, although 60% of manufacturing firms had some sales exposure, only 20% of these had more than 10% of their sales in emerging markets.</w:t>
      </w:r>
    </w:p>
    <w:p>
      <w:pPr>
        <w:pStyle w:val="BodyText"/>
        <w:spacing w:before="1"/>
        <w:rPr>
          <w:sz w:val="17"/>
        </w:rPr>
      </w:pPr>
    </w:p>
    <w:p>
      <w:pPr>
        <w:pStyle w:val="ListParagraph"/>
        <w:numPr>
          <w:ilvl w:val="0"/>
          <w:numId w:val="40"/>
        </w:numPr>
        <w:tabs>
          <w:tab w:pos="654" w:val="left" w:leader="none"/>
          <w:tab w:pos="655" w:val="left" w:leader="none"/>
        </w:tabs>
        <w:spacing w:line="232" w:lineRule="auto" w:before="0" w:after="0"/>
        <w:ind w:left="174" w:right="219" w:firstLine="0"/>
        <w:jc w:val="left"/>
        <w:rPr>
          <w:sz w:val="18"/>
        </w:rPr>
      </w:pPr>
      <w:r>
        <w:rPr>
          <w:color w:val="231F20"/>
          <w:sz w:val="18"/>
        </w:rPr>
        <w:t>The Agents also reported on general discussions with their contacts. The outlook for activity reported by manufacturing firms had been more in line with the deterioration recorded in the survey data than the most recent ONS data. All Agents had reported further declines in orders, and there were particular concerns about the first half of 1999. Export orders had remained extremely weak and some firms had reported a loss of domestic market share to importers. Services growth had continued to slow, and had spread to sectors such as catering and leisure. Retail spending had </w:t>
      </w:r>
      <w:r>
        <w:rPr>
          <w:color w:val="231F20"/>
          <w:spacing w:val="-3"/>
          <w:sz w:val="18"/>
        </w:rPr>
        <w:t>slowed, </w:t>
      </w:r>
      <w:r>
        <w:rPr>
          <w:color w:val="231F20"/>
          <w:sz w:val="18"/>
        </w:rPr>
        <w:t>with firms reporting falling sales of clothing and household goods in late September and October. In the labour market, regional divergence had increased: skill shortages had persisted in parts of the service sector in the south-east of England, but elsewhere prospects had deteriorated.</w:t>
      </w:r>
    </w:p>
    <w:p>
      <w:pPr>
        <w:spacing w:after="0" w:line="232" w:lineRule="auto"/>
        <w:jc w:val="left"/>
        <w:rPr>
          <w:sz w:val="18"/>
        </w:rPr>
        <w:sectPr>
          <w:type w:val="continuous"/>
          <w:pgSz w:w="11900" w:h="16840"/>
          <w:pgMar w:top="1220" w:bottom="280" w:left="640" w:right="600"/>
          <w:cols w:num="2" w:equalWidth="0">
            <w:col w:w="5088" w:space="302"/>
            <w:col w:w="5270"/>
          </w:cols>
        </w:sectPr>
      </w:pPr>
    </w:p>
    <w:p>
      <w:pPr>
        <w:pStyle w:val="BodyText"/>
        <w:rPr>
          <w:sz w:val="20"/>
        </w:rPr>
      </w:pPr>
    </w:p>
    <w:p>
      <w:pPr>
        <w:pStyle w:val="BodyText"/>
        <w:rPr>
          <w:sz w:val="20"/>
        </w:rPr>
      </w:pPr>
    </w:p>
    <w:p>
      <w:pPr>
        <w:pStyle w:val="BodyText"/>
        <w:rPr>
          <w:sz w:val="21"/>
        </w:rPr>
      </w:pPr>
    </w:p>
    <w:p>
      <w:pPr>
        <w:pStyle w:val="Heading1"/>
        <w:spacing w:before="87"/>
        <w:ind w:left="155"/>
      </w:pPr>
      <w:bookmarkStart w:name="December minutes" w:id="89"/>
      <w:bookmarkEnd w:id="89"/>
      <w:r>
        <w:rPr>
          <w:b w:val="0"/>
        </w:rPr>
      </w:r>
      <w:bookmarkStart w:name="_bookmark37" w:id="90"/>
      <w:bookmarkEnd w:id="90"/>
      <w:r>
        <w:rPr>
          <w:b w:val="0"/>
        </w:rPr>
      </w:r>
      <w:r>
        <w:rPr>
          <w:color w:val="009483"/>
        </w:rPr>
        <w:t>Minutes of the Monetary Policy Committee meeting on 9–10 December 1998</w:t>
      </w:r>
    </w:p>
    <w:p>
      <w:pPr>
        <w:pStyle w:val="BodyText"/>
        <w:spacing w:before="9"/>
        <w:rPr>
          <w:b/>
          <w:sz w:val="29"/>
        </w:rPr>
      </w:pPr>
    </w:p>
    <w:p>
      <w:pPr>
        <w:spacing w:after="0"/>
        <w:rPr>
          <w:sz w:val="29"/>
        </w:rPr>
        <w:sectPr>
          <w:pgSz w:w="11900" w:h="16840"/>
          <w:pgMar w:header="566" w:footer="597" w:top="760" w:bottom="780" w:left="640" w:right="600"/>
        </w:sectPr>
      </w:pPr>
    </w:p>
    <w:p>
      <w:pPr>
        <w:pStyle w:val="ListParagraph"/>
        <w:numPr>
          <w:ilvl w:val="0"/>
          <w:numId w:val="41"/>
        </w:numPr>
        <w:tabs>
          <w:tab w:pos="639" w:val="left" w:leader="none"/>
          <w:tab w:pos="641" w:val="left" w:leader="none"/>
        </w:tabs>
        <w:spacing w:line="232" w:lineRule="auto" w:before="97" w:after="0"/>
        <w:ind w:left="160" w:right="139" w:firstLine="0"/>
        <w:jc w:val="left"/>
        <w:rPr>
          <w:sz w:val="18"/>
        </w:rPr>
      </w:pPr>
      <w:r>
        <w:rPr>
          <w:color w:val="231F20"/>
          <w:sz w:val="18"/>
        </w:rPr>
        <w:t>The Committee discussed the prospects for global activity and prices; slower-than-expected consumption growth; other indicators of domestic activity; the mixed signals from the labour market; monetary conditions and financial market data; and </w:t>
      </w:r>
      <w:r>
        <w:rPr>
          <w:color w:val="231F20"/>
          <w:spacing w:val="-4"/>
          <w:sz w:val="18"/>
        </w:rPr>
        <w:t>other </w:t>
      </w:r>
      <w:r>
        <w:rPr>
          <w:color w:val="231F20"/>
          <w:sz w:val="18"/>
        </w:rPr>
        <w:t>issues including tactics; before turning to the immediate policy decision. Prior to the meeting, the Committee were briefed orally by Bank staff on the progress of the investigation into the Average Earnings Index, publication of which had been suspended by the Office of National Statistics (ONS) on 2 November 1998.</w:t>
      </w:r>
    </w:p>
    <w:p>
      <w:pPr>
        <w:pStyle w:val="BodyText"/>
        <w:spacing w:before="9"/>
        <w:rPr>
          <w:sz w:val="21"/>
        </w:rPr>
      </w:pPr>
    </w:p>
    <w:p>
      <w:pPr>
        <w:pStyle w:val="Heading6"/>
        <w:ind w:left="160"/>
      </w:pPr>
      <w:r>
        <w:rPr>
          <w:color w:val="009483"/>
        </w:rPr>
        <w:t>The prospects for global activity and prices</w:t>
      </w:r>
    </w:p>
    <w:p>
      <w:pPr>
        <w:pStyle w:val="ListParagraph"/>
        <w:numPr>
          <w:ilvl w:val="0"/>
          <w:numId w:val="41"/>
        </w:numPr>
        <w:tabs>
          <w:tab w:pos="639" w:val="left" w:leader="none"/>
          <w:tab w:pos="641" w:val="left" w:leader="none"/>
        </w:tabs>
        <w:spacing w:line="232" w:lineRule="auto" w:before="130" w:after="0"/>
        <w:ind w:left="160" w:right="93" w:firstLine="0"/>
        <w:jc w:val="left"/>
        <w:rPr>
          <w:sz w:val="18"/>
        </w:rPr>
      </w:pPr>
      <w:r>
        <w:rPr>
          <w:color w:val="231F20"/>
          <w:sz w:val="18"/>
        </w:rPr>
        <w:t>Stronger-than-expected data on employment and GDP in </w:t>
      </w:r>
      <w:r>
        <w:rPr>
          <w:color w:val="231F20"/>
          <w:spacing w:val="-6"/>
          <w:sz w:val="18"/>
        </w:rPr>
        <w:t>the </w:t>
      </w:r>
      <w:r>
        <w:rPr>
          <w:color w:val="231F20"/>
          <w:sz w:val="18"/>
        </w:rPr>
        <w:t>third quarter had suggested that the United States economy continued to be surprisingly robust. However, expectations</w:t>
      </w:r>
    </w:p>
    <w:p>
      <w:pPr>
        <w:pStyle w:val="BodyText"/>
        <w:spacing w:line="232" w:lineRule="auto"/>
        <w:ind w:left="160" w:right="191"/>
      </w:pPr>
      <w:r>
        <w:rPr>
          <w:color w:val="231F20"/>
        </w:rPr>
        <w:t>were that US growth would be slower in the coming year. The Japanese economy had weakened further, with GDP falling in Q3 by 0.7%.</w:t>
      </w:r>
    </w:p>
    <w:p>
      <w:pPr>
        <w:pStyle w:val="BodyText"/>
        <w:spacing w:before="8"/>
      </w:pPr>
    </w:p>
    <w:p>
      <w:pPr>
        <w:pStyle w:val="ListParagraph"/>
        <w:numPr>
          <w:ilvl w:val="0"/>
          <w:numId w:val="41"/>
        </w:numPr>
        <w:tabs>
          <w:tab w:pos="639" w:val="left" w:leader="none"/>
          <w:tab w:pos="641" w:val="left" w:leader="none"/>
        </w:tabs>
        <w:spacing w:line="232" w:lineRule="auto" w:before="0" w:after="0"/>
        <w:ind w:left="160" w:right="39" w:firstLine="0"/>
        <w:jc w:val="left"/>
        <w:rPr>
          <w:sz w:val="18"/>
        </w:rPr>
      </w:pPr>
      <w:r>
        <w:rPr>
          <w:color w:val="231F20"/>
          <w:sz w:val="18"/>
        </w:rPr>
        <w:t>In Europe, Japan and the United States, there seemed to be a continuing downward trend in business confidence—despite the strong GDP figures in Germany and the United States. This might mean that businesses were beginning to feel the trade effects </w:t>
      </w:r>
      <w:r>
        <w:rPr>
          <w:color w:val="231F20"/>
          <w:spacing w:val="-3"/>
          <w:sz w:val="18"/>
        </w:rPr>
        <w:t>arising </w:t>
      </w:r>
      <w:r>
        <w:rPr>
          <w:color w:val="231F20"/>
          <w:sz w:val="18"/>
        </w:rPr>
        <w:t>from the crises in Asia and other emerging markets.  The declines in business confidence might also reflect a squeeze on profits as weakening world demand had increased competition and contributed to downward pressure on world prices. Since the previous meeting, the O</w:t>
      </w:r>
      <w:r>
        <w:rPr>
          <w:color w:val="231F20"/>
          <w:sz w:val="14"/>
        </w:rPr>
        <w:t>ECD</w:t>
      </w:r>
      <w:r>
        <w:rPr>
          <w:color w:val="231F20"/>
          <w:sz w:val="18"/>
        </w:rPr>
        <w:t>, the World Trade Organisation and the World Bank had revised down their forecasts for world trade in 1999. Although domestic demand in the industrialised countries remained relatively robust so far, declines in business confidence were consistent with a prospective slowdown in world trade. It was clear that the expected changes in world trade implied larger current account deficits in the industrialised countries, but it was not clear how these would be spread across countries.</w:t>
      </w:r>
    </w:p>
    <w:p>
      <w:pPr>
        <w:pStyle w:val="BodyText"/>
        <w:spacing w:before="1"/>
      </w:pPr>
    </w:p>
    <w:p>
      <w:pPr>
        <w:pStyle w:val="ListParagraph"/>
        <w:numPr>
          <w:ilvl w:val="0"/>
          <w:numId w:val="41"/>
        </w:numPr>
        <w:tabs>
          <w:tab w:pos="639" w:val="left" w:leader="none"/>
          <w:tab w:pos="641" w:val="left" w:leader="none"/>
        </w:tabs>
        <w:spacing w:line="232" w:lineRule="auto" w:before="0" w:after="0"/>
        <w:ind w:left="160" w:right="109" w:firstLine="0"/>
        <w:jc w:val="left"/>
        <w:rPr>
          <w:sz w:val="18"/>
        </w:rPr>
      </w:pPr>
      <w:r>
        <w:rPr>
          <w:color w:val="231F20"/>
          <w:sz w:val="18"/>
        </w:rPr>
        <w:t>Oil and other commodity prices had continued to fall. The one-month price of Brent crude had fallen below $10 per barrel at the time of the meeting. Although caused partly by a fall in world demand, the fall in oil prices should act as a positive supply shock to industrialised countries and would therefore be supportive of future activity. However, the effects could be de-stabilising in the short run: the terms-of-trade effect would be a significant </w:t>
      </w:r>
      <w:r>
        <w:rPr>
          <w:color w:val="231F20"/>
          <w:spacing w:val="-3"/>
          <w:sz w:val="18"/>
        </w:rPr>
        <w:t>negative </w:t>
      </w:r>
      <w:r>
        <w:rPr>
          <w:color w:val="231F20"/>
          <w:sz w:val="18"/>
        </w:rPr>
        <w:t>shock for those countries heavily dependent on oil revenues.</w:t>
      </w:r>
    </w:p>
    <w:p>
      <w:pPr>
        <w:pStyle w:val="BodyText"/>
        <w:spacing w:before="9"/>
        <w:rPr>
          <w:sz w:val="16"/>
        </w:rPr>
      </w:pPr>
    </w:p>
    <w:p>
      <w:pPr>
        <w:pStyle w:val="ListParagraph"/>
        <w:numPr>
          <w:ilvl w:val="0"/>
          <w:numId w:val="41"/>
        </w:numPr>
        <w:tabs>
          <w:tab w:pos="639" w:val="left" w:leader="none"/>
          <w:tab w:pos="641" w:val="left" w:leader="none"/>
        </w:tabs>
        <w:spacing w:line="232" w:lineRule="auto" w:before="1" w:after="0"/>
        <w:ind w:left="160" w:right="38" w:firstLine="0"/>
        <w:jc w:val="left"/>
        <w:rPr>
          <w:sz w:val="18"/>
        </w:rPr>
      </w:pPr>
      <w:r>
        <w:rPr>
          <w:color w:val="231F20"/>
          <w:sz w:val="18"/>
        </w:rPr>
        <w:t>Although the world financial situation had improved slightly, and backward-looking data for the real economies of the United States and Europe had remained firm, the Committee concluded that the forward indicators of world activity and prices were probably softer than at the time the November </w:t>
      </w:r>
      <w:r>
        <w:rPr>
          <w:i/>
          <w:color w:val="231F20"/>
          <w:sz w:val="18"/>
        </w:rPr>
        <w:t>Inflation Report </w:t>
      </w:r>
      <w:r>
        <w:rPr>
          <w:color w:val="231F20"/>
          <w:sz w:val="18"/>
        </w:rPr>
        <w:t>projections were finalised.</w:t>
      </w:r>
    </w:p>
    <w:p>
      <w:pPr>
        <w:pStyle w:val="BodyText"/>
        <w:spacing w:before="2"/>
        <w:rPr>
          <w:sz w:val="20"/>
        </w:rPr>
      </w:pPr>
    </w:p>
    <w:p>
      <w:pPr>
        <w:pStyle w:val="Heading6"/>
        <w:spacing w:before="1"/>
        <w:ind w:left="160"/>
      </w:pPr>
      <w:r>
        <w:rPr>
          <w:color w:val="009483"/>
        </w:rPr>
        <w:t>Consumption</w:t>
      </w:r>
    </w:p>
    <w:p>
      <w:pPr>
        <w:pStyle w:val="ListParagraph"/>
        <w:numPr>
          <w:ilvl w:val="0"/>
          <w:numId w:val="41"/>
        </w:numPr>
        <w:tabs>
          <w:tab w:pos="639" w:val="left" w:leader="none"/>
          <w:tab w:pos="641" w:val="left" w:leader="none"/>
        </w:tabs>
        <w:spacing w:line="232" w:lineRule="auto" w:before="109" w:after="0"/>
        <w:ind w:left="159" w:right="119" w:firstLine="0"/>
        <w:jc w:val="left"/>
        <w:rPr>
          <w:sz w:val="18"/>
        </w:rPr>
      </w:pPr>
      <w:r>
        <w:rPr>
          <w:color w:val="231F20"/>
          <w:sz w:val="18"/>
        </w:rPr>
        <w:t>Consumption growth in Q3 had been below that assumed in the November </w:t>
      </w:r>
      <w:r>
        <w:rPr>
          <w:i/>
          <w:color w:val="231F20"/>
          <w:sz w:val="18"/>
        </w:rPr>
        <w:t>Inflation Report </w:t>
      </w:r>
      <w:r>
        <w:rPr>
          <w:color w:val="231F20"/>
          <w:sz w:val="18"/>
        </w:rPr>
        <w:t>central projection and retail sales growth suggested that the weakening of consumption growth had thus far continued into Q4. Looking back at the out-turns for consumption in 1998, growth had been systematically lower than the Committee had expected earlier in the year. While the </w:t>
      </w:r>
      <w:r>
        <w:rPr>
          <w:color w:val="231F20"/>
          <w:spacing w:val="-3"/>
          <w:sz w:val="18"/>
        </w:rPr>
        <w:t>forecast </w:t>
      </w:r>
      <w:r>
        <w:rPr>
          <w:color w:val="231F20"/>
          <w:sz w:val="18"/>
        </w:rPr>
        <w:t>errors were within the usual statistical error bands on models of consumption behaviour, it was important to try to understand the possible causes of the apparent slowdown in consumption.</w:t>
      </w:r>
    </w:p>
    <w:p>
      <w:pPr>
        <w:pStyle w:val="BodyText"/>
        <w:spacing w:before="9"/>
        <w:rPr>
          <w:sz w:val="16"/>
        </w:rPr>
      </w:pPr>
    </w:p>
    <w:p>
      <w:pPr>
        <w:pStyle w:val="ListParagraph"/>
        <w:numPr>
          <w:ilvl w:val="0"/>
          <w:numId w:val="41"/>
        </w:numPr>
        <w:tabs>
          <w:tab w:pos="639" w:val="left" w:leader="none"/>
          <w:tab w:pos="641" w:val="left" w:leader="none"/>
        </w:tabs>
        <w:spacing w:line="232" w:lineRule="auto" w:before="0" w:after="0"/>
        <w:ind w:left="159" w:right="223" w:firstLine="0"/>
        <w:jc w:val="left"/>
        <w:rPr>
          <w:sz w:val="18"/>
        </w:rPr>
      </w:pPr>
      <w:r>
        <w:rPr>
          <w:color w:val="231F20"/>
          <w:sz w:val="18"/>
        </w:rPr>
        <w:t>The out-turns for consumption growth did not appear to </w:t>
      </w:r>
      <w:r>
        <w:rPr>
          <w:color w:val="231F20"/>
          <w:spacing w:val="-9"/>
          <w:sz w:val="18"/>
        </w:rPr>
        <w:t>be </w:t>
      </w:r>
      <w:r>
        <w:rPr>
          <w:color w:val="231F20"/>
          <w:sz w:val="18"/>
        </w:rPr>
        <w:t>entirely consistent with its fundamental determinants: labour</w:t>
      </w:r>
    </w:p>
    <w:p>
      <w:pPr>
        <w:pStyle w:val="BodyText"/>
        <w:spacing w:line="232" w:lineRule="auto" w:before="97"/>
        <w:ind w:left="160" w:right="463"/>
      </w:pPr>
      <w:r>
        <w:rPr/>
        <w:br w:type="column"/>
      </w:r>
      <w:r>
        <w:rPr>
          <w:color w:val="231F20"/>
        </w:rPr>
        <w:t>income had continued growing strongly and total net wealth had remained high throughout 1998.</w:t>
      </w:r>
    </w:p>
    <w:p>
      <w:pPr>
        <w:pStyle w:val="BodyText"/>
        <w:spacing w:before="8"/>
        <w:rPr>
          <w:sz w:val="20"/>
        </w:rPr>
      </w:pPr>
    </w:p>
    <w:p>
      <w:pPr>
        <w:pStyle w:val="ListParagraph"/>
        <w:numPr>
          <w:ilvl w:val="0"/>
          <w:numId w:val="41"/>
        </w:numPr>
        <w:tabs>
          <w:tab w:pos="639" w:val="left" w:leader="none"/>
          <w:tab w:pos="641" w:val="left" w:leader="none"/>
        </w:tabs>
        <w:spacing w:line="232" w:lineRule="auto" w:before="1" w:after="0"/>
        <w:ind w:left="160" w:right="696" w:firstLine="0"/>
        <w:jc w:val="left"/>
        <w:rPr>
          <w:sz w:val="18"/>
        </w:rPr>
      </w:pPr>
      <w:r>
        <w:rPr>
          <w:color w:val="231F20"/>
          <w:sz w:val="18"/>
        </w:rPr>
        <w:t>Leaving aside the possibility of inaccurate data, the Committee discussed a number of potential reasons for the slower-than-expected consumption growth. One was that </w:t>
      </w:r>
      <w:r>
        <w:rPr>
          <w:color w:val="231F20"/>
          <w:spacing w:val="-6"/>
          <w:sz w:val="18"/>
        </w:rPr>
        <w:t>the</w:t>
      </w:r>
    </w:p>
    <w:p>
      <w:pPr>
        <w:pStyle w:val="BodyText"/>
        <w:spacing w:line="232" w:lineRule="auto"/>
        <w:ind w:left="160" w:right="238"/>
      </w:pPr>
      <w:r>
        <w:rPr>
          <w:color w:val="231F20"/>
        </w:rPr>
        <w:t>effects on consumers expenditure of windfall payouts to consumers in 1997, following the conversion of a number of financial institutions from mutual to PLC status, might have been more bunched than expected. The Bank’s analysis of windfall spending had suggested that some consumers would bring forward their purchases of consumer durables. If this had distorted the natural replacement cycle, the 1998 data might be reflecting a negative effect as fewer replacement items were purchased.</w:t>
      </w:r>
    </w:p>
    <w:p>
      <w:pPr>
        <w:pStyle w:val="BodyText"/>
        <w:spacing w:before="1"/>
        <w:rPr>
          <w:sz w:val="20"/>
        </w:rPr>
      </w:pPr>
    </w:p>
    <w:p>
      <w:pPr>
        <w:pStyle w:val="ListParagraph"/>
        <w:numPr>
          <w:ilvl w:val="0"/>
          <w:numId w:val="41"/>
        </w:numPr>
        <w:tabs>
          <w:tab w:pos="641" w:val="left" w:leader="none"/>
        </w:tabs>
        <w:spacing w:line="232" w:lineRule="auto" w:before="0" w:after="0"/>
        <w:ind w:left="160" w:right="591" w:firstLine="0"/>
        <w:jc w:val="both"/>
        <w:rPr>
          <w:sz w:val="18"/>
        </w:rPr>
      </w:pPr>
      <w:r>
        <w:rPr>
          <w:color w:val="231F20"/>
          <w:sz w:val="18"/>
        </w:rPr>
        <w:t>A second possible explanation was that consumers </w:t>
      </w:r>
      <w:r>
        <w:rPr>
          <w:color w:val="231F20"/>
          <w:spacing w:val="-5"/>
          <w:sz w:val="18"/>
        </w:rPr>
        <w:t>were </w:t>
      </w:r>
      <w:r>
        <w:rPr>
          <w:color w:val="231F20"/>
          <w:sz w:val="18"/>
        </w:rPr>
        <w:t>worried about the outlook for employment and hence had </w:t>
      </w:r>
      <w:r>
        <w:rPr>
          <w:color w:val="231F20"/>
          <w:spacing w:val="-5"/>
          <w:sz w:val="18"/>
        </w:rPr>
        <w:t>been </w:t>
      </w:r>
      <w:r>
        <w:rPr>
          <w:color w:val="231F20"/>
          <w:sz w:val="18"/>
        </w:rPr>
        <w:t>saving more than had been assumed in the Bank forecast.</w:t>
      </w:r>
    </w:p>
    <w:p>
      <w:pPr>
        <w:pStyle w:val="BodyText"/>
        <w:spacing w:before="8"/>
        <w:rPr>
          <w:sz w:val="20"/>
        </w:rPr>
      </w:pPr>
    </w:p>
    <w:p>
      <w:pPr>
        <w:pStyle w:val="ListParagraph"/>
        <w:numPr>
          <w:ilvl w:val="0"/>
          <w:numId w:val="41"/>
        </w:numPr>
        <w:tabs>
          <w:tab w:pos="639" w:val="left" w:leader="none"/>
          <w:tab w:pos="641" w:val="left" w:leader="none"/>
        </w:tabs>
        <w:spacing w:line="232" w:lineRule="auto" w:before="0" w:after="0"/>
        <w:ind w:left="160" w:right="326" w:firstLine="0"/>
        <w:jc w:val="left"/>
        <w:rPr>
          <w:sz w:val="18"/>
        </w:rPr>
      </w:pPr>
      <w:r>
        <w:rPr>
          <w:color w:val="231F20"/>
          <w:sz w:val="18"/>
        </w:rPr>
        <w:t>A third possible explanation was that consumers had not reacted to the measured increases in wealth in the same way as </w:t>
      </w:r>
      <w:r>
        <w:rPr>
          <w:color w:val="231F20"/>
          <w:spacing w:val="-6"/>
          <w:sz w:val="18"/>
        </w:rPr>
        <w:t>the </w:t>
      </w:r>
      <w:r>
        <w:rPr>
          <w:color w:val="231F20"/>
          <w:sz w:val="18"/>
        </w:rPr>
        <w:t>average of their past responses. The reaction to an increase in asset prices, in particular equity prices, might also depend on </w:t>
      </w:r>
      <w:r>
        <w:rPr>
          <w:color w:val="231F20"/>
          <w:spacing w:val="-5"/>
          <w:sz w:val="18"/>
        </w:rPr>
        <w:t>what </w:t>
      </w:r>
      <w:r>
        <w:rPr>
          <w:color w:val="231F20"/>
          <w:sz w:val="18"/>
        </w:rPr>
        <w:t>had caused the price rise. Consumers might react differently to changes in the discount rate (the real interest rate appeared to have fallen) than to changes in expected post-tax corporate earnings. And changes in discount rates might themselves be a reflection of changing household preferences (because of demographics for example) as between present and future consumption. Consumers might also have perceived the rise in equity prices to be temporary.</w:t>
      </w:r>
    </w:p>
    <w:p>
      <w:pPr>
        <w:pStyle w:val="BodyText"/>
        <w:rPr>
          <w:sz w:val="20"/>
        </w:rPr>
      </w:pPr>
    </w:p>
    <w:p>
      <w:pPr>
        <w:pStyle w:val="ListParagraph"/>
        <w:numPr>
          <w:ilvl w:val="0"/>
          <w:numId w:val="41"/>
        </w:numPr>
        <w:tabs>
          <w:tab w:pos="639" w:val="left" w:leader="none"/>
          <w:tab w:pos="641" w:val="left" w:leader="none"/>
        </w:tabs>
        <w:spacing w:line="232" w:lineRule="auto" w:before="1" w:after="0"/>
        <w:ind w:left="160" w:right="312" w:firstLine="0"/>
        <w:jc w:val="left"/>
        <w:rPr>
          <w:sz w:val="18"/>
        </w:rPr>
      </w:pPr>
      <w:r>
        <w:rPr>
          <w:color w:val="231F20"/>
          <w:sz w:val="18"/>
        </w:rPr>
        <w:t>It was also possible that the effects of the fiscal tightening might not have been captured fully in earlier forecasts of consumption. The changes in the last two Budgets had had much of their initial impact on the corporate sector, and hence on the personal sector via its ownership of the corporate sector. It was difficult to be sure that the tax changes had been properly </w:t>
      </w:r>
      <w:r>
        <w:rPr>
          <w:color w:val="231F20"/>
          <w:spacing w:val="-3"/>
          <w:sz w:val="18"/>
        </w:rPr>
        <w:t>captured </w:t>
      </w:r>
      <w:r>
        <w:rPr>
          <w:color w:val="231F20"/>
          <w:sz w:val="18"/>
        </w:rPr>
        <w:t>in the relationship between consumption and measured wealth and income.</w:t>
      </w:r>
    </w:p>
    <w:p>
      <w:pPr>
        <w:pStyle w:val="BodyText"/>
        <w:spacing w:before="3"/>
        <w:rPr>
          <w:sz w:val="20"/>
        </w:rPr>
      </w:pPr>
    </w:p>
    <w:p>
      <w:pPr>
        <w:pStyle w:val="ListParagraph"/>
        <w:numPr>
          <w:ilvl w:val="0"/>
          <w:numId w:val="41"/>
        </w:numPr>
        <w:tabs>
          <w:tab w:pos="639" w:val="left" w:leader="none"/>
          <w:tab w:pos="641" w:val="left" w:leader="none"/>
        </w:tabs>
        <w:spacing w:line="232" w:lineRule="auto" w:before="0" w:after="0"/>
        <w:ind w:left="160" w:right="461" w:firstLine="0"/>
        <w:jc w:val="left"/>
        <w:rPr>
          <w:sz w:val="18"/>
        </w:rPr>
      </w:pPr>
      <w:r>
        <w:rPr>
          <w:color w:val="231F20"/>
          <w:sz w:val="18"/>
        </w:rPr>
        <w:t>A fifth possible explanation was that weak consumer confidence could lead to a self-fulfilling outcome of weaker demand, which would have the effect of justifying and adding </w:t>
      </w:r>
      <w:r>
        <w:rPr>
          <w:color w:val="231F20"/>
          <w:spacing w:val="-9"/>
          <w:sz w:val="18"/>
        </w:rPr>
        <w:t>to </w:t>
      </w:r>
      <w:r>
        <w:rPr>
          <w:color w:val="231F20"/>
          <w:sz w:val="18"/>
        </w:rPr>
        <w:t>the initial pessimism.</w:t>
      </w:r>
    </w:p>
    <w:p>
      <w:pPr>
        <w:pStyle w:val="BodyText"/>
        <w:spacing w:before="7"/>
        <w:rPr>
          <w:sz w:val="20"/>
        </w:rPr>
      </w:pPr>
    </w:p>
    <w:p>
      <w:pPr>
        <w:pStyle w:val="ListParagraph"/>
        <w:numPr>
          <w:ilvl w:val="0"/>
          <w:numId w:val="41"/>
        </w:numPr>
        <w:tabs>
          <w:tab w:pos="639" w:val="left" w:leader="none"/>
          <w:tab w:pos="641" w:val="left" w:leader="none"/>
        </w:tabs>
        <w:spacing w:line="232" w:lineRule="auto" w:before="0" w:after="0"/>
        <w:ind w:left="160" w:right="217" w:firstLine="0"/>
        <w:jc w:val="left"/>
        <w:rPr>
          <w:sz w:val="18"/>
        </w:rPr>
      </w:pPr>
      <w:r>
        <w:rPr>
          <w:color w:val="231F20"/>
          <w:sz w:val="18"/>
        </w:rPr>
        <w:t>A sixth possible explanation was that consumers might now be more price sensitive and so were waiting for retailers to cut prices further before spending. For example, the Bank had </w:t>
      </w:r>
      <w:r>
        <w:rPr>
          <w:color w:val="231F20"/>
          <w:spacing w:val="-3"/>
          <w:sz w:val="18"/>
        </w:rPr>
        <w:t>received </w:t>
      </w:r>
      <w:r>
        <w:rPr>
          <w:color w:val="231F20"/>
          <w:sz w:val="18"/>
        </w:rPr>
        <w:t>anecdotal evidence from the regional Agents that discount clothing stores had been expanding their market share at the expense of traditional established department and chain stores.</w:t>
      </w:r>
    </w:p>
    <w:p>
      <w:pPr>
        <w:pStyle w:val="BodyText"/>
        <w:spacing w:before="5"/>
        <w:rPr>
          <w:sz w:val="20"/>
        </w:rPr>
      </w:pPr>
    </w:p>
    <w:p>
      <w:pPr>
        <w:pStyle w:val="ListParagraph"/>
        <w:numPr>
          <w:ilvl w:val="0"/>
          <w:numId w:val="41"/>
        </w:numPr>
        <w:tabs>
          <w:tab w:pos="639" w:val="left" w:leader="none"/>
          <w:tab w:pos="641" w:val="left" w:leader="none"/>
        </w:tabs>
        <w:spacing w:line="232" w:lineRule="auto" w:before="1" w:after="0"/>
        <w:ind w:left="160" w:right="241" w:firstLine="0"/>
        <w:jc w:val="left"/>
        <w:rPr>
          <w:sz w:val="18"/>
        </w:rPr>
      </w:pPr>
      <w:r>
        <w:rPr>
          <w:color w:val="231F20"/>
          <w:sz w:val="18"/>
        </w:rPr>
        <w:t>The Committee considered these possible explanations but concluded that none of the six explanations proposed was sufficient on its own.</w:t>
      </w:r>
    </w:p>
    <w:p>
      <w:pPr>
        <w:pStyle w:val="BodyText"/>
        <w:spacing w:before="2"/>
        <w:rPr>
          <w:sz w:val="17"/>
        </w:rPr>
      </w:pPr>
    </w:p>
    <w:p>
      <w:pPr>
        <w:pStyle w:val="ListParagraph"/>
        <w:numPr>
          <w:ilvl w:val="0"/>
          <w:numId w:val="41"/>
        </w:numPr>
        <w:tabs>
          <w:tab w:pos="639" w:val="left" w:leader="none"/>
          <w:tab w:pos="641" w:val="left" w:leader="none"/>
        </w:tabs>
        <w:spacing w:line="232" w:lineRule="auto" w:before="0" w:after="0"/>
        <w:ind w:left="160" w:right="356" w:firstLine="0"/>
        <w:jc w:val="left"/>
        <w:rPr>
          <w:sz w:val="18"/>
        </w:rPr>
      </w:pPr>
      <w:r>
        <w:rPr>
          <w:color w:val="231F20"/>
          <w:sz w:val="18"/>
        </w:rPr>
        <w:t>One of the counterparts to weaker consumption growth </w:t>
      </w:r>
      <w:r>
        <w:rPr>
          <w:color w:val="231F20"/>
          <w:spacing w:val="-6"/>
          <w:sz w:val="18"/>
        </w:rPr>
        <w:t>had </w:t>
      </w:r>
      <w:r>
        <w:rPr>
          <w:color w:val="231F20"/>
          <w:sz w:val="18"/>
        </w:rPr>
        <w:t>been a bigger-than-expected build-up in inventories. In the third quarter there had been a marked accumulation of manufacturing inventories of finished goods, while retail inventories had been growing steadily over the year. The November </w:t>
      </w:r>
      <w:r>
        <w:rPr>
          <w:i/>
          <w:color w:val="231F20"/>
          <w:sz w:val="18"/>
        </w:rPr>
        <w:t>Inflation Report </w:t>
      </w:r>
      <w:r>
        <w:rPr>
          <w:color w:val="231F20"/>
          <w:sz w:val="18"/>
        </w:rPr>
        <w:t>had already built in a significant negative effect on GDP growth from an inventory cycle during 1999 but the latest data perhaps increased the downside risk to that projection.</w:t>
      </w:r>
    </w:p>
    <w:p>
      <w:pPr>
        <w:spacing w:after="0" w:line="232" w:lineRule="auto"/>
        <w:jc w:val="left"/>
        <w:rPr>
          <w:sz w:val="18"/>
        </w:rPr>
        <w:sectPr>
          <w:type w:val="continuous"/>
          <w:pgSz w:w="11900" w:h="16840"/>
          <w:pgMar w:top="1220" w:bottom="280" w:left="640" w:right="600"/>
          <w:cols w:num="2" w:equalWidth="0">
            <w:col w:w="5100" w:space="283"/>
            <w:col w:w="5277"/>
          </w:cols>
        </w:sectPr>
      </w:pPr>
    </w:p>
    <w:p>
      <w:pPr>
        <w:pStyle w:val="BodyText"/>
        <w:rPr>
          <w:sz w:val="20"/>
        </w:rPr>
      </w:pPr>
    </w:p>
    <w:p>
      <w:pPr>
        <w:spacing w:after="0"/>
        <w:rPr>
          <w:sz w:val="20"/>
        </w:rPr>
        <w:sectPr>
          <w:pgSz w:w="11900" w:h="16840"/>
          <w:pgMar w:header="566" w:footer="597" w:top="760" w:bottom="780" w:left="640" w:right="600"/>
        </w:sectPr>
      </w:pPr>
    </w:p>
    <w:p>
      <w:pPr>
        <w:pStyle w:val="BodyText"/>
        <w:spacing w:before="2"/>
        <w:rPr>
          <w:sz w:val="20"/>
        </w:rPr>
      </w:pPr>
    </w:p>
    <w:p>
      <w:pPr>
        <w:pStyle w:val="Heading6"/>
      </w:pPr>
      <w:r>
        <w:rPr>
          <w:color w:val="009483"/>
        </w:rPr>
        <w:t>Other activity indicators</w:t>
      </w:r>
    </w:p>
    <w:p>
      <w:pPr>
        <w:pStyle w:val="ListParagraph"/>
        <w:numPr>
          <w:ilvl w:val="0"/>
          <w:numId w:val="41"/>
        </w:numPr>
        <w:tabs>
          <w:tab w:pos="659" w:val="left" w:leader="none"/>
          <w:tab w:pos="661" w:val="left" w:leader="none"/>
        </w:tabs>
        <w:spacing w:line="232" w:lineRule="auto" w:before="89" w:after="0"/>
        <w:ind w:left="180" w:right="57" w:firstLine="0"/>
        <w:jc w:val="left"/>
        <w:rPr>
          <w:sz w:val="18"/>
        </w:rPr>
      </w:pPr>
      <w:r>
        <w:rPr>
          <w:color w:val="231F20"/>
          <w:sz w:val="18"/>
        </w:rPr>
        <w:t>GDP growth in Q3 had been revised down from 0.5% to 0.4%.  This was the first quarter of growth clearly below trend since 1996 Q2. The National Institute of Economic and Social Research’s monthly estimate of GDP was indicating zero growth </w:t>
      </w:r>
      <w:r>
        <w:rPr>
          <w:color w:val="231F20"/>
          <w:spacing w:val="-9"/>
          <w:sz w:val="18"/>
        </w:rPr>
        <w:t>in </w:t>
      </w:r>
      <w:r>
        <w:rPr>
          <w:color w:val="231F20"/>
          <w:sz w:val="18"/>
        </w:rPr>
        <w:t>the three months to the end of November. It was, therefore, now possible that the fourth quarter could be even weaker than the </w:t>
      </w:r>
      <w:r>
        <w:rPr>
          <w:i/>
          <w:color w:val="231F20"/>
          <w:sz w:val="18"/>
        </w:rPr>
        <w:t>Inflation Report </w:t>
      </w:r>
      <w:r>
        <w:rPr>
          <w:color w:val="231F20"/>
          <w:sz w:val="18"/>
        </w:rPr>
        <w:t>central projection of a small positive growth</w:t>
      </w:r>
      <w:r>
        <w:rPr>
          <w:color w:val="231F20"/>
          <w:spacing w:val="-1"/>
          <w:sz w:val="18"/>
        </w:rPr>
        <w:t> </w:t>
      </w:r>
      <w:r>
        <w:rPr>
          <w:color w:val="231F20"/>
          <w:sz w:val="18"/>
        </w:rPr>
        <w:t>rate.</w:t>
      </w:r>
    </w:p>
    <w:p>
      <w:pPr>
        <w:pStyle w:val="ListParagraph"/>
        <w:numPr>
          <w:ilvl w:val="0"/>
          <w:numId w:val="41"/>
        </w:numPr>
        <w:tabs>
          <w:tab w:pos="659" w:val="left" w:leader="none"/>
          <w:tab w:pos="661" w:val="left" w:leader="none"/>
        </w:tabs>
        <w:spacing w:line="232" w:lineRule="auto" w:before="175" w:after="0"/>
        <w:ind w:left="180" w:right="118" w:firstLine="0"/>
        <w:jc w:val="left"/>
        <w:rPr>
          <w:sz w:val="18"/>
        </w:rPr>
      </w:pPr>
      <w:r>
        <w:rPr>
          <w:color w:val="231F20"/>
          <w:sz w:val="18"/>
        </w:rPr>
        <w:t>The survey data had continued to deteriorate. The three surveys from the Chartered Institute of Purchasing and Supply (C</w:t>
      </w:r>
      <w:r>
        <w:rPr>
          <w:color w:val="231F20"/>
          <w:sz w:val="14"/>
        </w:rPr>
        <w:t>IPS</w:t>
      </w:r>
      <w:r>
        <w:rPr>
          <w:color w:val="231F20"/>
          <w:sz w:val="18"/>
        </w:rPr>
        <w:t>) for manufacturing, services and construction were now all indicating falls in output. The Committee noted that the trend in activity growth indicated by the surveys remained downward. Although it was not yet clear whether Q4 growth would be </w:t>
      </w:r>
      <w:r>
        <w:rPr>
          <w:color w:val="231F20"/>
          <w:spacing w:val="-3"/>
          <w:sz w:val="18"/>
        </w:rPr>
        <w:t>weaker </w:t>
      </w:r>
      <w:r>
        <w:rPr>
          <w:color w:val="231F20"/>
          <w:sz w:val="18"/>
        </w:rPr>
        <w:t>than expected, the downside risks had increased since the Committee’s previous meeting.</w:t>
      </w:r>
    </w:p>
    <w:p>
      <w:pPr>
        <w:pStyle w:val="ListParagraph"/>
        <w:numPr>
          <w:ilvl w:val="0"/>
          <w:numId w:val="41"/>
        </w:numPr>
        <w:tabs>
          <w:tab w:pos="659" w:val="left" w:leader="none"/>
          <w:tab w:pos="661" w:val="left" w:leader="none"/>
        </w:tabs>
        <w:spacing w:line="232" w:lineRule="auto" w:before="174" w:after="0"/>
        <w:ind w:left="180" w:right="107" w:firstLine="0"/>
        <w:jc w:val="left"/>
        <w:rPr>
          <w:sz w:val="18"/>
        </w:rPr>
      </w:pPr>
      <w:r>
        <w:rPr>
          <w:color w:val="231F20"/>
          <w:sz w:val="18"/>
        </w:rPr>
        <w:t>The Committee considered the possibility that the BRC’s ‘like-for-like’ adjustment was distorting downwards its measure </w:t>
      </w:r>
      <w:r>
        <w:rPr>
          <w:color w:val="231F20"/>
          <w:spacing w:val="-9"/>
          <w:sz w:val="18"/>
        </w:rPr>
        <w:t>of </w:t>
      </w:r>
      <w:r>
        <w:rPr>
          <w:color w:val="231F20"/>
          <w:sz w:val="18"/>
        </w:rPr>
        <w:t>underlying retail sales growth and that the unadjusted measure (which had been closer to ONS data in recent months) was a better guide.</w:t>
      </w:r>
    </w:p>
    <w:p>
      <w:pPr>
        <w:pStyle w:val="ListParagraph"/>
        <w:numPr>
          <w:ilvl w:val="0"/>
          <w:numId w:val="41"/>
        </w:numPr>
        <w:tabs>
          <w:tab w:pos="659" w:val="left" w:leader="none"/>
          <w:tab w:pos="661" w:val="left" w:leader="none"/>
        </w:tabs>
        <w:spacing w:line="232" w:lineRule="auto" w:before="176" w:after="0"/>
        <w:ind w:left="180" w:right="38" w:firstLine="0"/>
        <w:jc w:val="left"/>
        <w:rPr>
          <w:sz w:val="18"/>
        </w:rPr>
      </w:pPr>
      <w:r>
        <w:rPr>
          <w:color w:val="231F20"/>
          <w:sz w:val="18"/>
        </w:rPr>
        <w:t>The trade data in Q3 had shown a significant widening of </w:t>
      </w:r>
      <w:r>
        <w:rPr>
          <w:color w:val="231F20"/>
          <w:spacing w:val="-6"/>
          <w:sz w:val="18"/>
        </w:rPr>
        <w:t>the </w:t>
      </w:r>
      <w:r>
        <w:rPr>
          <w:color w:val="231F20"/>
          <w:sz w:val="18"/>
        </w:rPr>
        <w:t>trade deficit reflecting strong import growth, possibly reflecting the strong investment and inventories numbers. The Committee was reluctant to read too much into quarterly swings in the external accounts. The negative effects of weaker world demand and the appreciation of sterling had been clear in the trend for exports for some time.</w:t>
      </w:r>
    </w:p>
    <w:p>
      <w:pPr>
        <w:pStyle w:val="BodyText"/>
        <w:spacing w:before="2"/>
        <w:rPr>
          <w:sz w:val="20"/>
        </w:rPr>
      </w:pPr>
    </w:p>
    <w:p>
      <w:pPr>
        <w:pStyle w:val="Heading6"/>
      </w:pPr>
      <w:r>
        <w:rPr>
          <w:color w:val="009483"/>
        </w:rPr>
        <w:t>Labour market</w:t>
      </w:r>
    </w:p>
    <w:p>
      <w:pPr>
        <w:pStyle w:val="ListParagraph"/>
        <w:numPr>
          <w:ilvl w:val="0"/>
          <w:numId w:val="41"/>
        </w:numPr>
        <w:tabs>
          <w:tab w:pos="659" w:val="left" w:leader="none"/>
          <w:tab w:pos="661" w:val="left" w:leader="none"/>
        </w:tabs>
        <w:spacing w:line="232" w:lineRule="auto" w:before="89" w:after="0"/>
        <w:ind w:left="179" w:right="152" w:firstLine="0"/>
        <w:jc w:val="left"/>
        <w:rPr>
          <w:sz w:val="18"/>
        </w:rPr>
      </w:pPr>
      <w:r>
        <w:rPr>
          <w:color w:val="231F20"/>
          <w:sz w:val="18"/>
        </w:rPr>
        <w:t>The labour market quantities data had continued to indicate growth in employment, but at a somewhat slower rate. Unemployment data were beginning to show small increases. Business surveys, such as the C</w:t>
      </w:r>
      <w:r>
        <w:rPr>
          <w:color w:val="231F20"/>
          <w:sz w:val="14"/>
        </w:rPr>
        <w:t>IPS </w:t>
      </w:r>
      <w:r>
        <w:rPr>
          <w:color w:val="231F20"/>
          <w:sz w:val="18"/>
        </w:rPr>
        <w:t>employment survey and the Federation of Recruitment and Employment Services survey, </w:t>
      </w:r>
      <w:r>
        <w:rPr>
          <w:color w:val="231F20"/>
          <w:spacing w:val="-4"/>
          <w:sz w:val="18"/>
        </w:rPr>
        <w:t>both </w:t>
      </w:r>
      <w:r>
        <w:rPr>
          <w:color w:val="231F20"/>
          <w:sz w:val="18"/>
        </w:rPr>
        <w:t>for November, generally showed a weaker employment picture.</w:t>
      </w:r>
    </w:p>
    <w:p>
      <w:pPr>
        <w:pStyle w:val="ListParagraph"/>
        <w:numPr>
          <w:ilvl w:val="0"/>
          <w:numId w:val="41"/>
        </w:numPr>
        <w:tabs>
          <w:tab w:pos="659" w:val="left" w:leader="none"/>
          <w:tab w:pos="661" w:val="left" w:leader="none"/>
        </w:tabs>
        <w:spacing w:line="232" w:lineRule="auto" w:before="176" w:after="0"/>
        <w:ind w:left="179" w:right="63" w:firstLine="0"/>
        <w:jc w:val="left"/>
        <w:rPr>
          <w:sz w:val="18"/>
        </w:rPr>
      </w:pPr>
      <w:r>
        <w:rPr>
          <w:color w:val="231F20"/>
          <w:sz w:val="18"/>
        </w:rPr>
        <w:t>Data on pay settlements were relatively stable at around 3</w:t>
      </w:r>
      <w:r>
        <w:rPr>
          <w:color w:val="231F20"/>
          <w:position w:val="6"/>
          <w:sz w:val="9"/>
        </w:rPr>
        <w:t>3</w:t>
      </w:r>
      <w:r>
        <w:rPr>
          <w:color w:val="231F20"/>
          <w:sz w:val="18"/>
        </w:rPr>
        <w:t>/</w:t>
      </w:r>
      <w:r>
        <w:rPr>
          <w:color w:val="231F20"/>
          <w:sz w:val="9"/>
        </w:rPr>
        <w:t>4</w:t>
      </w:r>
      <w:r>
        <w:rPr>
          <w:color w:val="231F20"/>
          <w:sz w:val="18"/>
        </w:rPr>
        <w:t>%. Wage drift was perhaps more likely to be falling than </w:t>
      </w:r>
      <w:r>
        <w:rPr>
          <w:color w:val="231F20"/>
          <w:spacing w:val="-3"/>
          <w:sz w:val="18"/>
        </w:rPr>
        <w:t>rising, </w:t>
      </w:r>
      <w:r>
        <w:rPr>
          <w:color w:val="231F20"/>
          <w:sz w:val="18"/>
        </w:rPr>
        <w:t>given the slowdown in output growth. So, although the labour market remained tight, it was possible that it was no longer tightening and some indicators suggested that it might even be beginning to ease. On the other hand the Reed Personnel Services skill shortages index showed a further rise for Q4 and official figures on the stock of unfilled vacancies were at a record high. National press advertising had also remained buoyant.</w:t>
      </w:r>
    </w:p>
    <w:p>
      <w:pPr>
        <w:pStyle w:val="ListParagraph"/>
        <w:numPr>
          <w:ilvl w:val="0"/>
          <w:numId w:val="41"/>
        </w:numPr>
        <w:tabs>
          <w:tab w:pos="659" w:val="left" w:leader="none"/>
          <w:tab w:pos="661" w:val="left" w:leader="none"/>
        </w:tabs>
        <w:spacing w:line="232" w:lineRule="auto" w:before="173" w:after="0"/>
        <w:ind w:left="179" w:right="138" w:firstLine="0"/>
        <w:jc w:val="left"/>
        <w:rPr>
          <w:sz w:val="18"/>
        </w:rPr>
      </w:pPr>
      <w:r>
        <w:rPr>
          <w:color w:val="231F20"/>
          <w:sz w:val="18"/>
        </w:rPr>
        <w:t>The Agents had reported considerable concern amongst contacts about the effects of the Working Time Directive, mainly about the level of bureaucracy and the minimum holiday entitlement. It was not clear how big an effect the directive </w:t>
      </w:r>
      <w:r>
        <w:rPr>
          <w:color w:val="231F20"/>
          <w:spacing w:val="-4"/>
          <w:sz w:val="18"/>
        </w:rPr>
        <w:t>would </w:t>
      </w:r>
      <w:r>
        <w:rPr>
          <w:color w:val="231F20"/>
          <w:sz w:val="18"/>
        </w:rPr>
        <w:t>have on costs or prices.</w:t>
      </w:r>
    </w:p>
    <w:p>
      <w:pPr>
        <w:pStyle w:val="BodyText"/>
        <w:spacing w:before="6"/>
      </w:pPr>
    </w:p>
    <w:p>
      <w:pPr>
        <w:pStyle w:val="Heading6"/>
      </w:pPr>
      <w:r>
        <w:rPr>
          <w:color w:val="009483"/>
        </w:rPr>
        <w:t>Prices and inflation expectations</w:t>
      </w:r>
    </w:p>
    <w:p>
      <w:pPr>
        <w:pStyle w:val="ListParagraph"/>
        <w:numPr>
          <w:ilvl w:val="0"/>
          <w:numId w:val="41"/>
        </w:numPr>
        <w:tabs>
          <w:tab w:pos="659" w:val="left" w:leader="none"/>
          <w:tab w:pos="661" w:val="left" w:leader="none"/>
        </w:tabs>
        <w:spacing w:line="232" w:lineRule="auto" w:before="110" w:after="0"/>
        <w:ind w:left="179" w:right="67" w:firstLine="0"/>
        <w:jc w:val="left"/>
        <w:rPr>
          <w:sz w:val="18"/>
        </w:rPr>
      </w:pPr>
      <w:r>
        <w:rPr>
          <w:color w:val="231F20"/>
          <w:sz w:val="18"/>
        </w:rPr>
        <w:t>Inflation forecasts, surveys of financial market professionals and derived inflation expectations from index-linked gilts all seemed to be broadly consistent with the 2</w:t>
      </w:r>
      <w:r>
        <w:rPr>
          <w:color w:val="231F20"/>
          <w:position w:val="6"/>
          <w:sz w:val="9"/>
        </w:rPr>
        <w:t>1</w:t>
      </w:r>
      <w:r>
        <w:rPr>
          <w:color w:val="231F20"/>
          <w:sz w:val="18"/>
        </w:rPr>
        <w:t>/</w:t>
      </w:r>
      <w:r>
        <w:rPr>
          <w:color w:val="231F20"/>
          <w:sz w:val="9"/>
        </w:rPr>
        <w:t>2</w:t>
      </w:r>
      <w:r>
        <w:rPr>
          <w:color w:val="231F20"/>
          <w:sz w:val="18"/>
        </w:rPr>
        <w:t>% RPIX inflation target. It was possible that surveys of the inflation expectations of the general public, which remained above 2</w:t>
      </w:r>
      <w:r>
        <w:rPr>
          <w:color w:val="231F20"/>
          <w:position w:val="6"/>
          <w:sz w:val="9"/>
        </w:rPr>
        <w:t>1</w:t>
      </w:r>
      <w:r>
        <w:rPr>
          <w:color w:val="231F20"/>
          <w:sz w:val="18"/>
        </w:rPr>
        <w:t>/</w:t>
      </w:r>
      <w:r>
        <w:rPr>
          <w:color w:val="231F20"/>
          <w:sz w:val="9"/>
        </w:rPr>
        <w:t>2</w:t>
      </w:r>
      <w:r>
        <w:rPr>
          <w:color w:val="231F20"/>
          <w:sz w:val="18"/>
        </w:rPr>
        <w:t>%, would decline towards the target as RPI inflation fell relative to RPIX inflation. This reduction in inflation expectations might diminish some of </w:t>
      </w:r>
      <w:r>
        <w:rPr>
          <w:color w:val="231F20"/>
          <w:spacing w:val="-6"/>
          <w:sz w:val="18"/>
        </w:rPr>
        <w:t>the </w:t>
      </w:r>
      <w:r>
        <w:rPr>
          <w:color w:val="231F20"/>
          <w:sz w:val="18"/>
        </w:rPr>
        <w:t>upside risks to inflation.</w:t>
      </w:r>
    </w:p>
    <w:p>
      <w:pPr>
        <w:pStyle w:val="BodyText"/>
        <w:spacing w:before="1"/>
        <w:rPr>
          <w:sz w:val="20"/>
        </w:rPr>
      </w:pPr>
    </w:p>
    <w:p>
      <w:pPr>
        <w:pStyle w:val="Heading6"/>
      </w:pPr>
      <w:r>
        <w:rPr>
          <w:color w:val="009483"/>
        </w:rPr>
        <w:t>Monetary conditions</w:t>
      </w:r>
    </w:p>
    <w:p>
      <w:pPr>
        <w:pStyle w:val="ListParagraph"/>
        <w:numPr>
          <w:ilvl w:val="0"/>
          <w:numId w:val="41"/>
        </w:numPr>
        <w:tabs>
          <w:tab w:pos="659" w:val="left" w:leader="none"/>
          <w:tab w:pos="661" w:val="left" w:leader="none"/>
        </w:tabs>
        <w:spacing w:line="232" w:lineRule="auto" w:before="110" w:after="0"/>
        <w:ind w:left="180" w:right="138" w:firstLine="0"/>
        <w:jc w:val="left"/>
        <w:rPr>
          <w:sz w:val="18"/>
        </w:rPr>
      </w:pPr>
      <w:r>
        <w:rPr>
          <w:color w:val="231F20"/>
          <w:sz w:val="18"/>
        </w:rPr>
        <w:t>Aggregate M4 growth had continued at annual rates of </w:t>
      </w:r>
      <w:r>
        <w:rPr>
          <w:color w:val="231F20"/>
          <w:spacing w:val="-5"/>
          <w:sz w:val="18"/>
        </w:rPr>
        <w:t>over </w:t>
      </w:r>
      <w:r>
        <w:rPr>
          <w:color w:val="231F20"/>
          <w:sz w:val="18"/>
        </w:rPr>
        <w:t>9% and the Committee discussed whether it was possible to have</w:t>
      </w:r>
    </w:p>
    <w:p>
      <w:pPr>
        <w:pStyle w:val="BodyText"/>
        <w:spacing w:before="4"/>
        <w:rPr>
          <w:sz w:val="21"/>
        </w:rPr>
      </w:pPr>
      <w:r>
        <w:rPr/>
        <w:br w:type="column"/>
      </w:r>
      <w:r>
        <w:rPr>
          <w:sz w:val="21"/>
        </w:rPr>
      </w:r>
    </w:p>
    <w:p>
      <w:pPr>
        <w:pStyle w:val="BodyText"/>
        <w:spacing w:line="232" w:lineRule="auto" w:before="1"/>
        <w:ind w:left="180" w:right="286"/>
      </w:pPr>
      <w:r>
        <w:rPr>
          <w:color w:val="231F20"/>
        </w:rPr>
        <w:t>low output growth when real broad money was growing so strongly. Historical evidence suggested that real M4 growth had not always weakened before a slowdown in activity growth, so the Committee could not infer much about the imminent risks to activity. Furthermore, stripping out the contribution of Other Financial Corporations (OFCs) to broad money growth gave somewhat lower annual growth rates of around 6%.</w:t>
      </w:r>
    </w:p>
    <w:p>
      <w:pPr>
        <w:pStyle w:val="BodyText"/>
        <w:spacing w:before="7"/>
      </w:pPr>
    </w:p>
    <w:p>
      <w:pPr>
        <w:pStyle w:val="ListParagraph"/>
        <w:numPr>
          <w:ilvl w:val="0"/>
          <w:numId w:val="41"/>
        </w:numPr>
        <w:tabs>
          <w:tab w:pos="659" w:val="left" w:leader="none"/>
          <w:tab w:pos="661" w:val="left" w:leader="none"/>
        </w:tabs>
        <w:spacing w:line="232" w:lineRule="auto" w:before="0" w:after="0"/>
        <w:ind w:left="180" w:right="324" w:firstLine="0"/>
        <w:jc w:val="left"/>
        <w:rPr>
          <w:sz w:val="18"/>
        </w:rPr>
      </w:pPr>
      <w:r>
        <w:rPr>
          <w:color w:val="231F20"/>
          <w:sz w:val="18"/>
        </w:rPr>
        <w:t>Other monetary and financial indicators had remained </w:t>
      </w:r>
      <w:r>
        <w:rPr>
          <w:color w:val="231F20"/>
          <w:spacing w:val="-4"/>
          <w:sz w:val="18"/>
        </w:rPr>
        <w:t>firm: </w:t>
      </w:r>
      <w:r>
        <w:rPr>
          <w:color w:val="231F20"/>
          <w:sz w:val="18"/>
        </w:rPr>
        <w:t>notes and coin were growing at over 5% per annum, equity prices had remained at high levels, and house price inflation was easing, but remained at 4.9% and 6.9% per annum on the Halifax and Nationwide measures. If activity growth continued to slow, one might expect a simultaneous slowdown in broad money growth, possibly alongside a fall in asset prices.</w:t>
      </w:r>
    </w:p>
    <w:p>
      <w:pPr>
        <w:pStyle w:val="BodyText"/>
        <w:spacing w:before="5"/>
        <w:rPr>
          <w:sz w:val="20"/>
        </w:rPr>
      </w:pPr>
    </w:p>
    <w:p>
      <w:pPr>
        <w:pStyle w:val="ListParagraph"/>
        <w:numPr>
          <w:ilvl w:val="0"/>
          <w:numId w:val="41"/>
        </w:numPr>
        <w:tabs>
          <w:tab w:pos="659" w:val="left" w:leader="none"/>
          <w:tab w:pos="661" w:val="left" w:leader="none"/>
        </w:tabs>
        <w:spacing w:line="232" w:lineRule="auto" w:before="0" w:after="0"/>
        <w:ind w:left="180" w:right="299" w:firstLine="0"/>
        <w:jc w:val="left"/>
        <w:rPr>
          <w:sz w:val="18"/>
        </w:rPr>
      </w:pPr>
      <w:r>
        <w:rPr>
          <w:color w:val="231F20"/>
          <w:sz w:val="18"/>
        </w:rPr>
        <w:t>On the credit side, there had been few signs of distress borrowing in the corporate sector, and the growth of lending to </w:t>
      </w:r>
      <w:r>
        <w:rPr>
          <w:color w:val="231F20"/>
          <w:spacing w:val="-6"/>
          <w:sz w:val="18"/>
        </w:rPr>
        <w:t>the </w:t>
      </w:r>
      <w:r>
        <w:rPr>
          <w:color w:val="231F20"/>
          <w:sz w:val="18"/>
        </w:rPr>
        <w:t>personal sector had remained strong—particularly for unsecured credit.</w:t>
      </w:r>
    </w:p>
    <w:p>
      <w:pPr>
        <w:pStyle w:val="BodyText"/>
        <w:spacing w:before="10"/>
        <w:rPr>
          <w:sz w:val="23"/>
        </w:rPr>
      </w:pPr>
    </w:p>
    <w:p>
      <w:pPr>
        <w:pStyle w:val="Heading6"/>
      </w:pPr>
      <w:r>
        <w:rPr>
          <w:color w:val="009483"/>
        </w:rPr>
        <w:t>The level of interest rates</w:t>
      </w:r>
    </w:p>
    <w:p>
      <w:pPr>
        <w:pStyle w:val="ListParagraph"/>
        <w:numPr>
          <w:ilvl w:val="0"/>
          <w:numId w:val="41"/>
        </w:numPr>
        <w:tabs>
          <w:tab w:pos="659" w:val="left" w:leader="none"/>
          <w:tab w:pos="661" w:val="left" w:leader="none"/>
        </w:tabs>
        <w:spacing w:line="232" w:lineRule="auto" w:before="109" w:after="0"/>
        <w:ind w:left="180" w:right="214" w:firstLine="0"/>
        <w:jc w:val="left"/>
        <w:rPr>
          <w:sz w:val="18"/>
        </w:rPr>
      </w:pPr>
      <w:r>
        <w:rPr>
          <w:color w:val="231F20"/>
          <w:sz w:val="18"/>
        </w:rPr>
        <w:t>The Committee discussed whether it was helpful to think about the appropriate level of nominal interest rates by reference to the concept of a ‘neutral’ level, which provides neither stimulus </w:t>
      </w:r>
      <w:r>
        <w:rPr>
          <w:color w:val="231F20"/>
          <w:spacing w:val="-6"/>
          <w:sz w:val="18"/>
        </w:rPr>
        <w:t>nor </w:t>
      </w:r>
      <w:r>
        <w:rPr>
          <w:color w:val="231F20"/>
          <w:sz w:val="18"/>
        </w:rPr>
        <w:t>restraint to the economy. A broad estimate of the neutral short nominal interest rate could in principle be estimated by combining short-run inflation expectations with an estimate of an average short real interest rate.</w:t>
      </w:r>
    </w:p>
    <w:p>
      <w:pPr>
        <w:pStyle w:val="BodyText"/>
        <w:spacing w:before="5"/>
        <w:rPr>
          <w:sz w:val="20"/>
        </w:rPr>
      </w:pPr>
    </w:p>
    <w:p>
      <w:pPr>
        <w:pStyle w:val="ListParagraph"/>
        <w:numPr>
          <w:ilvl w:val="0"/>
          <w:numId w:val="41"/>
        </w:numPr>
        <w:tabs>
          <w:tab w:pos="659" w:val="left" w:leader="none"/>
          <w:tab w:pos="661" w:val="left" w:leader="none"/>
        </w:tabs>
        <w:spacing w:line="232" w:lineRule="auto" w:before="0" w:after="0"/>
        <w:ind w:left="179" w:right="244" w:firstLine="0"/>
        <w:jc w:val="left"/>
        <w:rPr>
          <w:sz w:val="18"/>
        </w:rPr>
      </w:pPr>
      <w:r>
        <w:rPr>
          <w:color w:val="231F20"/>
          <w:sz w:val="18"/>
        </w:rPr>
        <w:t>Inflation expectations appeared to have fallen and it was no longer implausible to think of them as being broadly consistent with the 2</w:t>
      </w:r>
      <w:r>
        <w:rPr>
          <w:color w:val="231F20"/>
          <w:position w:val="6"/>
          <w:sz w:val="9"/>
        </w:rPr>
        <w:t>1</w:t>
      </w:r>
      <w:r>
        <w:rPr>
          <w:color w:val="231F20"/>
          <w:sz w:val="18"/>
        </w:rPr>
        <w:t>/</w:t>
      </w:r>
      <w:r>
        <w:rPr>
          <w:color w:val="231F20"/>
          <w:sz w:val="9"/>
        </w:rPr>
        <w:t>2</w:t>
      </w:r>
      <w:r>
        <w:rPr>
          <w:color w:val="231F20"/>
          <w:sz w:val="18"/>
        </w:rPr>
        <w:t>% target for RPIX inflation. Some members of the Committee concluded that the appropriate assumption might be a little higher than this given that domestically generated inflation was probably well above 2</w:t>
      </w:r>
      <w:r>
        <w:rPr>
          <w:color w:val="231F20"/>
          <w:position w:val="6"/>
          <w:sz w:val="9"/>
        </w:rPr>
        <w:t>1</w:t>
      </w:r>
      <w:r>
        <w:rPr>
          <w:color w:val="231F20"/>
          <w:sz w:val="18"/>
        </w:rPr>
        <w:t>/</w:t>
      </w:r>
      <w:r>
        <w:rPr>
          <w:color w:val="231F20"/>
          <w:sz w:val="9"/>
        </w:rPr>
        <w:t>2</w:t>
      </w:r>
      <w:r>
        <w:rPr>
          <w:color w:val="231F20"/>
          <w:sz w:val="18"/>
        </w:rPr>
        <w:t>% and was likely to be more persistent than imported inflation.</w:t>
      </w:r>
    </w:p>
    <w:p>
      <w:pPr>
        <w:pStyle w:val="BodyText"/>
        <w:spacing w:before="4"/>
        <w:rPr>
          <w:sz w:val="20"/>
        </w:rPr>
      </w:pPr>
    </w:p>
    <w:p>
      <w:pPr>
        <w:pStyle w:val="ListParagraph"/>
        <w:numPr>
          <w:ilvl w:val="0"/>
          <w:numId w:val="41"/>
        </w:numPr>
        <w:tabs>
          <w:tab w:pos="659" w:val="left" w:leader="none"/>
          <w:tab w:pos="661" w:val="left" w:leader="none"/>
        </w:tabs>
        <w:spacing w:line="232" w:lineRule="auto" w:before="1" w:after="0"/>
        <w:ind w:left="179" w:right="234" w:firstLine="0"/>
        <w:jc w:val="left"/>
        <w:rPr>
          <w:sz w:val="18"/>
        </w:rPr>
      </w:pPr>
      <w:r>
        <w:rPr>
          <w:color w:val="231F20"/>
          <w:sz w:val="18"/>
        </w:rPr>
        <w:t>There was more difficulty in estimating the neutral short </w:t>
      </w:r>
      <w:r>
        <w:rPr>
          <w:color w:val="231F20"/>
          <w:spacing w:val="-5"/>
          <w:sz w:val="18"/>
        </w:rPr>
        <w:t>real </w:t>
      </w:r>
      <w:r>
        <w:rPr>
          <w:color w:val="231F20"/>
          <w:sz w:val="18"/>
        </w:rPr>
        <w:t>rate. Alternative approaches gave different estimates.  For example, one could use as a guide historical averages of ex post real returns on nominal government bonds, cross-country comparisons, or long-term forward real rates derived from</w:t>
      </w:r>
    </w:p>
    <w:p>
      <w:pPr>
        <w:pStyle w:val="BodyText"/>
        <w:spacing w:line="232" w:lineRule="auto"/>
        <w:ind w:left="179" w:right="219"/>
        <w:jc w:val="both"/>
      </w:pPr>
      <w:r>
        <w:rPr>
          <w:color w:val="231F20"/>
        </w:rPr>
        <w:t>index-linked gilts. These gave a range perhaps as wide as 2%–4%. On this basis, estimates of the neutral nominal rate fell in a range of around 4</w:t>
      </w:r>
      <w:r>
        <w:rPr>
          <w:color w:val="231F20"/>
          <w:position w:val="6"/>
          <w:sz w:val="9"/>
        </w:rPr>
        <w:t>1</w:t>
      </w:r>
      <w:r>
        <w:rPr>
          <w:color w:val="231F20"/>
        </w:rPr>
        <w:t>/</w:t>
      </w:r>
      <w:r>
        <w:rPr>
          <w:color w:val="231F20"/>
          <w:sz w:val="9"/>
        </w:rPr>
        <w:t>2</w:t>
      </w:r>
      <w:r>
        <w:rPr>
          <w:color w:val="231F20"/>
        </w:rPr>
        <w:t>% to around 6</w:t>
      </w:r>
      <w:r>
        <w:rPr>
          <w:color w:val="231F20"/>
          <w:position w:val="6"/>
          <w:sz w:val="9"/>
        </w:rPr>
        <w:t>1</w:t>
      </w:r>
      <w:r>
        <w:rPr>
          <w:color w:val="231F20"/>
        </w:rPr>
        <w:t>/</w:t>
      </w:r>
      <w:r>
        <w:rPr>
          <w:color w:val="231F20"/>
          <w:sz w:val="9"/>
        </w:rPr>
        <w:t>2</w:t>
      </w:r>
      <w:r>
        <w:rPr>
          <w:color w:val="231F20"/>
        </w:rPr>
        <w:t>%.</w:t>
      </w:r>
    </w:p>
    <w:p>
      <w:pPr>
        <w:pStyle w:val="BodyText"/>
        <w:spacing w:before="3"/>
        <w:rPr>
          <w:sz w:val="20"/>
        </w:rPr>
      </w:pPr>
    </w:p>
    <w:p>
      <w:pPr>
        <w:pStyle w:val="ListParagraph"/>
        <w:numPr>
          <w:ilvl w:val="0"/>
          <w:numId w:val="41"/>
        </w:numPr>
        <w:tabs>
          <w:tab w:pos="659" w:val="left" w:leader="none"/>
          <w:tab w:pos="661" w:val="left" w:leader="none"/>
        </w:tabs>
        <w:spacing w:line="232" w:lineRule="auto" w:before="0" w:after="0"/>
        <w:ind w:left="180" w:right="214" w:firstLine="0"/>
        <w:jc w:val="left"/>
        <w:rPr>
          <w:sz w:val="18"/>
        </w:rPr>
      </w:pPr>
      <w:r>
        <w:rPr>
          <w:color w:val="231F20"/>
          <w:sz w:val="18"/>
        </w:rPr>
        <w:t>While some members of the Committee found the concept </w:t>
      </w:r>
      <w:r>
        <w:rPr>
          <w:color w:val="231F20"/>
          <w:spacing w:val="-9"/>
          <w:sz w:val="18"/>
        </w:rPr>
        <w:t>of </w:t>
      </w:r>
      <w:r>
        <w:rPr>
          <w:color w:val="231F20"/>
          <w:sz w:val="18"/>
        </w:rPr>
        <w:t>the neutral rate useful in deciding on interest rate policy, other members found the uncertainty surrounding its level so large that the concept was of little use as a practical guide to policy.</w:t>
      </w:r>
    </w:p>
    <w:p>
      <w:pPr>
        <w:pStyle w:val="BodyText"/>
        <w:spacing w:before="10"/>
        <w:rPr>
          <w:sz w:val="23"/>
        </w:rPr>
      </w:pPr>
    </w:p>
    <w:p>
      <w:pPr>
        <w:pStyle w:val="Heading6"/>
        <w:spacing w:line="266" w:lineRule="auto"/>
        <w:ind w:right="484"/>
      </w:pPr>
      <w:r>
        <w:rPr>
          <w:color w:val="009483"/>
        </w:rPr>
        <w:t>Other considerations bearing on the decision this month</w:t>
      </w:r>
    </w:p>
    <w:p>
      <w:pPr>
        <w:pStyle w:val="ListParagraph"/>
        <w:numPr>
          <w:ilvl w:val="0"/>
          <w:numId w:val="41"/>
        </w:numPr>
        <w:tabs>
          <w:tab w:pos="659" w:val="left" w:leader="none"/>
          <w:tab w:pos="661" w:val="left" w:leader="none"/>
        </w:tabs>
        <w:spacing w:line="232" w:lineRule="auto" w:before="101" w:after="0"/>
        <w:ind w:left="180" w:right="234" w:firstLine="0"/>
        <w:jc w:val="left"/>
        <w:rPr>
          <w:sz w:val="18"/>
        </w:rPr>
      </w:pPr>
      <w:r>
        <w:rPr>
          <w:color w:val="231F20"/>
          <w:sz w:val="18"/>
        </w:rPr>
        <w:t>The Committee noted that much of its concern related to the prospects for consumption growth and confidence. Since a large share of consumer spending happened around the Christmas period it was possible that a move this month would have a larger effect </w:t>
      </w:r>
      <w:r>
        <w:rPr>
          <w:color w:val="231F20"/>
          <w:spacing w:val="-9"/>
          <w:sz w:val="18"/>
        </w:rPr>
        <w:t>in </w:t>
      </w:r>
      <w:r>
        <w:rPr>
          <w:color w:val="231F20"/>
          <w:sz w:val="18"/>
        </w:rPr>
        <w:t>supporting activity in the short run than a delayed move, without damaging the prospects for inflation over the medium term.</w:t>
      </w:r>
    </w:p>
    <w:p>
      <w:pPr>
        <w:pStyle w:val="BodyText"/>
        <w:spacing w:before="5"/>
        <w:rPr>
          <w:sz w:val="20"/>
        </w:rPr>
      </w:pPr>
    </w:p>
    <w:p>
      <w:pPr>
        <w:pStyle w:val="ListParagraph"/>
        <w:numPr>
          <w:ilvl w:val="0"/>
          <w:numId w:val="41"/>
        </w:numPr>
        <w:tabs>
          <w:tab w:pos="659" w:val="left" w:leader="none"/>
          <w:tab w:pos="661" w:val="left" w:leader="none"/>
        </w:tabs>
        <w:spacing w:line="232" w:lineRule="auto" w:before="1" w:after="0"/>
        <w:ind w:left="180" w:right="258" w:firstLine="0"/>
        <w:jc w:val="left"/>
        <w:rPr>
          <w:sz w:val="18"/>
        </w:rPr>
      </w:pPr>
      <w:r>
        <w:rPr>
          <w:color w:val="231F20"/>
          <w:sz w:val="18"/>
        </w:rPr>
        <w:t>The Committee also discussed the new evidence since the </w:t>
      </w:r>
      <w:r>
        <w:rPr>
          <w:i/>
          <w:color w:val="231F20"/>
          <w:sz w:val="18"/>
        </w:rPr>
        <w:t>Inflation Report </w:t>
      </w:r>
      <w:r>
        <w:rPr>
          <w:color w:val="231F20"/>
          <w:sz w:val="18"/>
        </w:rPr>
        <w:t>was published. It was noted that, with the risks </w:t>
      </w:r>
      <w:r>
        <w:rPr>
          <w:color w:val="231F20"/>
          <w:spacing w:val="-9"/>
          <w:sz w:val="18"/>
        </w:rPr>
        <w:t>on </w:t>
      </w:r>
      <w:r>
        <w:rPr>
          <w:color w:val="231F20"/>
          <w:sz w:val="18"/>
        </w:rPr>
        <w:t>the downside, the mean of the RPIX projection 2 years ahead published in November had already been below 2</w:t>
      </w:r>
      <w:r>
        <w:rPr>
          <w:color w:val="231F20"/>
          <w:position w:val="6"/>
          <w:sz w:val="9"/>
        </w:rPr>
        <w:t>1</w:t>
      </w:r>
      <w:r>
        <w:rPr>
          <w:color w:val="231F20"/>
          <w:sz w:val="18"/>
        </w:rPr>
        <w:t>/</w:t>
      </w:r>
      <w:r>
        <w:rPr>
          <w:color w:val="231F20"/>
          <w:sz w:val="9"/>
        </w:rPr>
        <w:t>2</w:t>
      </w:r>
      <w:r>
        <w:rPr>
          <w:color w:val="231F20"/>
          <w:sz w:val="18"/>
        </w:rPr>
        <w:t>%. Since then the global situation (including commodity prices) appeared to have weakened further and domestic indicators suggested that the balance of risks to UK activity was even further on the downside,</w:t>
      </w:r>
    </w:p>
    <w:p>
      <w:pPr>
        <w:spacing w:after="0" w:line="232" w:lineRule="auto"/>
        <w:jc w:val="left"/>
        <w:rPr>
          <w:sz w:val="18"/>
        </w:rPr>
        <w:sectPr>
          <w:type w:val="continuous"/>
          <w:pgSz w:w="11900" w:h="16840"/>
          <w:pgMar w:top="1220" w:bottom="280" w:left="640" w:right="600"/>
          <w:cols w:num="2" w:equalWidth="0">
            <w:col w:w="5104" w:space="276"/>
            <w:col w:w="5280"/>
          </w:cols>
        </w:sectPr>
      </w:pPr>
    </w:p>
    <w:p>
      <w:pPr>
        <w:pStyle w:val="BodyText"/>
        <w:rPr>
          <w:sz w:val="20"/>
        </w:rPr>
      </w:pPr>
    </w:p>
    <w:p>
      <w:pPr>
        <w:spacing w:after="0"/>
        <w:rPr>
          <w:sz w:val="20"/>
        </w:rPr>
        <w:sectPr>
          <w:pgSz w:w="11900" w:h="16840"/>
          <w:pgMar w:header="566" w:footer="597" w:top="760" w:bottom="780" w:left="640" w:right="600"/>
        </w:sectPr>
      </w:pPr>
    </w:p>
    <w:p>
      <w:pPr>
        <w:pStyle w:val="BodyText"/>
        <w:spacing w:before="7"/>
        <w:rPr>
          <w:sz w:val="19"/>
        </w:rPr>
      </w:pPr>
    </w:p>
    <w:p>
      <w:pPr>
        <w:pStyle w:val="BodyText"/>
        <w:spacing w:line="232" w:lineRule="auto" w:before="1"/>
        <w:ind w:left="160" w:right="146"/>
        <w:rPr>
          <w:i/>
        </w:rPr>
      </w:pPr>
      <w:r>
        <w:rPr>
          <w:color w:val="231F20"/>
        </w:rPr>
        <w:t>so that the expected inflation rate two years ahead had fallen since the November </w:t>
      </w:r>
      <w:r>
        <w:rPr>
          <w:i/>
          <w:color w:val="231F20"/>
        </w:rPr>
        <w:t>Inflation Report.</w:t>
      </w:r>
    </w:p>
    <w:p>
      <w:pPr>
        <w:pStyle w:val="ListParagraph"/>
        <w:numPr>
          <w:ilvl w:val="0"/>
          <w:numId w:val="41"/>
        </w:numPr>
        <w:tabs>
          <w:tab w:pos="639" w:val="left" w:leader="none"/>
          <w:tab w:pos="641" w:val="left" w:leader="none"/>
        </w:tabs>
        <w:spacing w:line="232" w:lineRule="auto" w:before="178" w:after="0"/>
        <w:ind w:left="160" w:right="72" w:firstLine="0"/>
        <w:jc w:val="left"/>
        <w:rPr>
          <w:sz w:val="18"/>
        </w:rPr>
      </w:pPr>
      <w:r>
        <w:rPr>
          <w:color w:val="231F20"/>
          <w:sz w:val="18"/>
        </w:rPr>
        <w:t>As usual, the Committee considered whether a change in rates would disturb financial markets. A number of economic commentators were predicting that the Committee would make a cut of 0.25% and many thought a larger cut was warranted. An immediate cut of 0.50% was within the range of outcomes the market had factored in by the start of the meeting so it was </w:t>
      </w:r>
      <w:r>
        <w:rPr>
          <w:color w:val="231F20"/>
          <w:spacing w:val="-3"/>
          <w:sz w:val="18"/>
        </w:rPr>
        <w:t>unlikely </w:t>
      </w:r>
      <w:r>
        <w:rPr>
          <w:color w:val="231F20"/>
          <w:sz w:val="18"/>
        </w:rPr>
        <w:t>that a similar size cut would have an unsettling effect. It was difficult to judge the market consequences of a different decision. The reaction of sterling might depend on whether markets interpreted the change in terms of stronger or weaker prospects for activity growth.</w:t>
      </w:r>
    </w:p>
    <w:p>
      <w:pPr>
        <w:pStyle w:val="BodyText"/>
        <w:spacing w:before="2"/>
      </w:pPr>
    </w:p>
    <w:p>
      <w:pPr>
        <w:pStyle w:val="Heading6"/>
        <w:ind w:left="160"/>
      </w:pPr>
      <w:r>
        <w:rPr>
          <w:color w:val="009483"/>
        </w:rPr>
        <w:t>The immediate policy decision</w:t>
      </w:r>
    </w:p>
    <w:p>
      <w:pPr>
        <w:pStyle w:val="ListParagraph"/>
        <w:numPr>
          <w:ilvl w:val="0"/>
          <w:numId w:val="41"/>
        </w:numPr>
        <w:tabs>
          <w:tab w:pos="639" w:val="left" w:leader="none"/>
          <w:tab w:pos="641" w:val="left" w:leader="none"/>
        </w:tabs>
        <w:spacing w:line="232" w:lineRule="auto" w:before="90" w:after="0"/>
        <w:ind w:left="160" w:right="138" w:firstLine="0"/>
        <w:jc w:val="left"/>
        <w:rPr>
          <w:sz w:val="18"/>
        </w:rPr>
      </w:pPr>
      <w:r>
        <w:rPr>
          <w:color w:val="231F20"/>
          <w:sz w:val="18"/>
        </w:rPr>
        <w:t>The Committee concluded that the prospects for global activity and prices had weakened over the month. Business confidence had been declining across the major economies and commodity prices, particularly oil, had fallen further. The global financial situation was probably no worse, but UK trade data showed that the effects of slower world demand were beginning </w:t>
      </w:r>
      <w:r>
        <w:rPr>
          <w:color w:val="231F20"/>
          <w:spacing w:val="-9"/>
          <w:sz w:val="18"/>
        </w:rPr>
        <w:t>to </w:t>
      </w:r>
      <w:r>
        <w:rPr>
          <w:color w:val="231F20"/>
          <w:sz w:val="18"/>
        </w:rPr>
        <w:t>come through on top of the impact of sterling’s appreciation. The United States and the euro area had both cut rates since the previous MPC meeting. The main domestic news seemed to be in respect of consumption growth, which had been slower than expected during 1998 as a whole and, on the basis of retail sales growth, was still slowing. There were a number of possible explanations for this, but none was sufficient on its own.</w:t>
      </w:r>
    </w:p>
    <w:p>
      <w:pPr>
        <w:pStyle w:val="ListParagraph"/>
        <w:numPr>
          <w:ilvl w:val="0"/>
          <w:numId w:val="41"/>
        </w:numPr>
        <w:tabs>
          <w:tab w:pos="639" w:val="left" w:leader="none"/>
          <w:tab w:pos="641" w:val="left" w:leader="none"/>
        </w:tabs>
        <w:spacing w:line="232" w:lineRule="auto" w:before="170" w:after="0"/>
        <w:ind w:left="160" w:right="38" w:firstLine="0"/>
        <w:jc w:val="left"/>
        <w:rPr>
          <w:sz w:val="18"/>
        </w:rPr>
      </w:pPr>
      <w:r>
        <w:rPr>
          <w:color w:val="231F20"/>
          <w:sz w:val="18"/>
        </w:rPr>
        <w:t>Other indicators of domestic activity also showed a continuing softening. The C</w:t>
      </w:r>
      <w:r>
        <w:rPr>
          <w:color w:val="231F20"/>
          <w:sz w:val="14"/>
        </w:rPr>
        <w:t>IPS </w:t>
      </w:r>
      <w:r>
        <w:rPr>
          <w:color w:val="231F20"/>
          <w:sz w:val="18"/>
        </w:rPr>
        <w:t>surveys were now indicating negative growth in all the main sectors of the economy. In contrast, the available data suggested that the labour market remained tight although there were now some signals that the situation might be beginning to ease. Money growth remained strong and asset prices remained firm.</w:t>
      </w:r>
    </w:p>
    <w:p>
      <w:pPr>
        <w:pStyle w:val="ListParagraph"/>
        <w:numPr>
          <w:ilvl w:val="0"/>
          <w:numId w:val="41"/>
        </w:numPr>
        <w:tabs>
          <w:tab w:pos="639" w:val="left" w:leader="none"/>
          <w:tab w:pos="641" w:val="left" w:leader="none"/>
        </w:tabs>
        <w:spacing w:line="232" w:lineRule="auto" w:before="174" w:after="0"/>
        <w:ind w:left="160" w:right="152" w:firstLine="0"/>
        <w:jc w:val="left"/>
        <w:rPr>
          <w:sz w:val="18"/>
        </w:rPr>
      </w:pPr>
      <w:r>
        <w:rPr>
          <w:color w:val="231F20"/>
          <w:sz w:val="18"/>
        </w:rPr>
        <w:t>Taking all the news together, the Committee concluded </w:t>
      </w:r>
      <w:r>
        <w:rPr>
          <w:color w:val="231F20"/>
          <w:spacing w:val="-5"/>
          <w:sz w:val="18"/>
        </w:rPr>
        <w:t>that </w:t>
      </w:r>
      <w:r>
        <w:rPr>
          <w:color w:val="231F20"/>
          <w:sz w:val="18"/>
        </w:rPr>
        <w:t>there was a clear case for a further cut in rates this month. The question was how much.</w:t>
      </w:r>
    </w:p>
    <w:p>
      <w:pPr>
        <w:pStyle w:val="ListParagraph"/>
        <w:numPr>
          <w:ilvl w:val="0"/>
          <w:numId w:val="41"/>
        </w:numPr>
        <w:tabs>
          <w:tab w:pos="639" w:val="left" w:leader="none"/>
          <w:tab w:pos="641" w:val="left" w:leader="none"/>
        </w:tabs>
        <w:spacing w:line="232" w:lineRule="auto" w:before="178" w:after="0"/>
        <w:ind w:left="160" w:right="72" w:firstLine="0"/>
        <w:jc w:val="left"/>
        <w:rPr>
          <w:sz w:val="18"/>
        </w:rPr>
      </w:pPr>
      <w:r>
        <w:rPr>
          <w:color w:val="231F20"/>
          <w:sz w:val="18"/>
        </w:rPr>
        <w:t>An argument for a 0.25% cut was identified. The data </w:t>
      </w:r>
      <w:r>
        <w:rPr>
          <w:color w:val="231F20"/>
          <w:spacing w:val="-4"/>
          <w:sz w:val="18"/>
        </w:rPr>
        <w:t>might </w:t>
      </w:r>
      <w:r>
        <w:rPr>
          <w:color w:val="231F20"/>
          <w:sz w:val="18"/>
        </w:rPr>
        <w:t>be sufficient to justify a cut of 0.50% but the uncertainty and the remaining upside risks arguably made it slightly preferable to cut by 0.25% this month with another 0.25% to come in January if the analysis was supported by the data.</w:t>
      </w:r>
    </w:p>
    <w:p>
      <w:pPr>
        <w:pStyle w:val="ListParagraph"/>
        <w:numPr>
          <w:ilvl w:val="0"/>
          <w:numId w:val="41"/>
        </w:numPr>
        <w:tabs>
          <w:tab w:pos="639" w:val="left" w:leader="none"/>
          <w:tab w:pos="641" w:val="left" w:leader="none"/>
        </w:tabs>
        <w:spacing w:line="232" w:lineRule="auto" w:before="176" w:after="0"/>
        <w:ind w:left="160" w:right="38" w:firstLine="0"/>
        <w:jc w:val="left"/>
        <w:rPr>
          <w:sz w:val="18"/>
        </w:rPr>
      </w:pPr>
      <w:r>
        <w:rPr>
          <w:color w:val="231F20"/>
          <w:sz w:val="18"/>
        </w:rPr>
        <w:t>The widely held view was that an immediate cut in rates of 0.50% was justified in terms of incremental news on the month. In particular the downside risks to both activity and prices appeared to have increased with the unexpected weakness in consumption </w:t>
      </w:r>
      <w:r>
        <w:rPr>
          <w:color w:val="231F20"/>
          <w:spacing w:val="-4"/>
          <w:sz w:val="18"/>
        </w:rPr>
        <w:t>being </w:t>
      </w:r>
      <w:r>
        <w:rPr>
          <w:color w:val="231F20"/>
          <w:sz w:val="18"/>
        </w:rPr>
        <w:t>a major concern.</w:t>
      </w:r>
    </w:p>
    <w:p>
      <w:pPr>
        <w:pStyle w:val="ListParagraph"/>
        <w:numPr>
          <w:ilvl w:val="0"/>
          <w:numId w:val="41"/>
        </w:numPr>
        <w:tabs>
          <w:tab w:pos="639" w:val="left" w:leader="none"/>
          <w:tab w:pos="641" w:val="left" w:leader="none"/>
        </w:tabs>
        <w:spacing w:line="232" w:lineRule="auto" w:before="176" w:after="0"/>
        <w:ind w:left="160" w:right="336" w:firstLine="0"/>
        <w:jc w:val="left"/>
        <w:rPr>
          <w:sz w:val="18"/>
        </w:rPr>
      </w:pPr>
      <w:r>
        <w:rPr>
          <w:color w:val="231F20"/>
          <w:sz w:val="18"/>
        </w:rPr>
        <w:t>Some Committee members found it helpful this month </w:t>
      </w:r>
      <w:r>
        <w:rPr>
          <w:color w:val="231F20"/>
          <w:spacing w:val="-8"/>
          <w:sz w:val="18"/>
        </w:rPr>
        <w:t>to </w:t>
      </w:r>
      <w:r>
        <w:rPr>
          <w:color w:val="231F20"/>
          <w:sz w:val="18"/>
        </w:rPr>
        <w:t>consider where we were in relation to an estimate of the neutral</w:t>
      </w:r>
    </w:p>
    <w:p>
      <w:pPr>
        <w:pStyle w:val="BodyText"/>
        <w:spacing w:before="7"/>
        <w:rPr>
          <w:sz w:val="19"/>
        </w:rPr>
      </w:pPr>
      <w:r>
        <w:rPr/>
        <w:br w:type="column"/>
      </w:r>
      <w:r>
        <w:rPr>
          <w:sz w:val="19"/>
        </w:rPr>
      </w:r>
    </w:p>
    <w:p>
      <w:pPr>
        <w:pStyle w:val="BodyText"/>
        <w:spacing w:line="232" w:lineRule="auto" w:before="1"/>
        <w:ind w:left="160" w:right="189"/>
      </w:pPr>
      <w:r>
        <w:rPr>
          <w:color w:val="231F20"/>
        </w:rPr>
        <w:t>level of nominal rates. Although subject to a wide range of uncertainty, the neutral rate was likely to be somewhat below the current level of 6.75%. Therefore a cut of 0.50% this month would be consistent with the news and a step towards neutral.</w:t>
      </w:r>
    </w:p>
    <w:p>
      <w:pPr>
        <w:pStyle w:val="BodyText"/>
        <w:spacing w:before="1"/>
        <w:rPr>
          <w:sz w:val="17"/>
        </w:rPr>
      </w:pPr>
    </w:p>
    <w:p>
      <w:pPr>
        <w:pStyle w:val="ListParagraph"/>
        <w:numPr>
          <w:ilvl w:val="0"/>
          <w:numId w:val="41"/>
        </w:numPr>
        <w:tabs>
          <w:tab w:pos="639" w:val="left" w:leader="none"/>
          <w:tab w:pos="641" w:val="left" w:leader="none"/>
        </w:tabs>
        <w:spacing w:line="232" w:lineRule="auto" w:before="0" w:after="0"/>
        <w:ind w:left="160" w:right="209" w:firstLine="0"/>
        <w:jc w:val="left"/>
        <w:rPr>
          <w:sz w:val="18"/>
        </w:rPr>
      </w:pPr>
      <w:r>
        <w:rPr>
          <w:color w:val="231F20"/>
          <w:sz w:val="18"/>
        </w:rPr>
        <w:t>Among those who questioned the practical use of the </w:t>
      </w:r>
      <w:r>
        <w:rPr>
          <w:color w:val="231F20"/>
          <w:spacing w:val="-3"/>
          <w:sz w:val="18"/>
        </w:rPr>
        <w:t>concept </w:t>
      </w:r>
      <w:r>
        <w:rPr>
          <w:color w:val="231F20"/>
          <w:sz w:val="18"/>
        </w:rPr>
        <w:t>of the neutral rate it was recalled that similar arguments about the level of rates had been used in the mid-eighties to justify lowering rates to levels which subsequently turned out to be too expansionary. On these grounds one should be cautious about the use of such calculations to justify changes in policy.</w:t>
      </w:r>
    </w:p>
    <w:p>
      <w:pPr>
        <w:pStyle w:val="BodyText"/>
        <w:rPr>
          <w:sz w:val="17"/>
        </w:rPr>
      </w:pPr>
    </w:p>
    <w:p>
      <w:pPr>
        <w:pStyle w:val="ListParagraph"/>
        <w:numPr>
          <w:ilvl w:val="0"/>
          <w:numId w:val="41"/>
        </w:numPr>
        <w:tabs>
          <w:tab w:pos="639" w:val="left" w:leader="none"/>
          <w:tab w:pos="641" w:val="left" w:leader="none"/>
        </w:tabs>
        <w:spacing w:line="232" w:lineRule="auto" w:before="0" w:after="0"/>
        <w:ind w:left="160" w:right="254" w:firstLine="0"/>
        <w:jc w:val="left"/>
        <w:rPr>
          <w:sz w:val="18"/>
        </w:rPr>
      </w:pPr>
      <w:r>
        <w:rPr>
          <w:color w:val="231F20"/>
          <w:sz w:val="18"/>
        </w:rPr>
        <w:t>On another view, a neutral rate would probably be significantly lower than the current rate of 6.75% and the conjuncture indicated that we should be below neutral rather than above. However, a sequence of cuts would have a greater impact than a single cut of substantially more than 0.50%, which would be seen as an over reaction and might, on this view, be an unnecessary shock to financial markets. On these grounds an immediate cut of only 0.50% was appropriate.</w:t>
      </w:r>
    </w:p>
    <w:p>
      <w:pPr>
        <w:pStyle w:val="BodyText"/>
        <w:spacing w:before="9"/>
        <w:rPr>
          <w:sz w:val="16"/>
        </w:rPr>
      </w:pPr>
    </w:p>
    <w:p>
      <w:pPr>
        <w:pStyle w:val="ListParagraph"/>
        <w:numPr>
          <w:ilvl w:val="0"/>
          <w:numId w:val="41"/>
        </w:numPr>
        <w:tabs>
          <w:tab w:pos="639" w:val="left" w:leader="none"/>
          <w:tab w:pos="641" w:val="left" w:leader="none"/>
        </w:tabs>
        <w:spacing w:line="232" w:lineRule="auto" w:before="1" w:after="0"/>
        <w:ind w:left="160" w:right="229" w:firstLine="0"/>
        <w:jc w:val="left"/>
        <w:rPr>
          <w:sz w:val="18"/>
        </w:rPr>
      </w:pPr>
      <w:r>
        <w:rPr>
          <w:color w:val="231F20"/>
          <w:sz w:val="18"/>
        </w:rPr>
        <w:t>A further view was that there had been a case for cutting by more than 0.50% the previous month and, with the news this month, this suggested that a larger reduction than 0.50% was now appropriate. Short rates were too high, both in comparison with long rates and compared with short rates in other countries. On </w:t>
      </w:r>
      <w:r>
        <w:rPr>
          <w:color w:val="231F20"/>
          <w:spacing w:val="-5"/>
          <w:sz w:val="18"/>
        </w:rPr>
        <w:t>this </w:t>
      </w:r>
      <w:r>
        <w:rPr>
          <w:color w:val="231F20"/>
          <w:sz w:val="18"/>
        </w:rPr>
        <w:t>view, there was no good reason for cutting rates in steps. The Committee was learning all the time about the response of the economy to shocks and it appeared that the real side of the economy had responded faster to events than the Committee had expected. On this view there should be an immediate cut of more than 0.50%.</w:t>
      </w:r>
    </w:p>
    <w:p>
      <w:pPr>
        <w:pStyle w:val="BodyText"/>
        <w:spacing w:before="7"/>
        <w:rPr>
          <w:sz w:val="16"/>
        </w:rPr>
      </w:pPr>
    </w:p>
    <w:p>
      <w:pPr>
        <w:pStyle w:val="ListParagraph"/>
        <w:numPr>
          <w:ilvl w:val="0"/>
          <w:numId w:val="41"/>
        </w:numPr>
        <w:tabs>
          <w:tab w:pos="639" w:val="left" w:leader="none"/>
          <w:tab w:pos="641" w:val="left" w:leader="none"/>
        </w:tabs>
        <w:spacing w:line="232" w:lineRule="auto" w:before="0" w:after="0"/>
        <w:ind w:left="160" w:right="208" w:firstLine="0"/>
        <w:jc w:val="left"/>
        <w:rPr>
          <w:sz w:val="18"/>
        </w:rPr>
      </w:pPr>
      <w:r>
        <w:rPr>
          <w:color w:val="231F20"/>
          <w:sz w:val="18"/>
        </w:rPr>
        <w:t>The Governor invited members of the Committee to vote on the proposition that the Bank’s repo rate be cut by 50 basis points </w:t>
      </w:r>
      <w:r>
        <w:rPr>
          <w:color w:val="231F20"/>
          <w:spacing w:val="-9"/>
          <w:sz w:val="18"/>
        </w:rPr>
        <w:t>to </w:t>
      </w:r>
      <w:r>
        <w:rPr>
          <w:color w:val="231F20"/>
          <w:sz w:val="18"/>
        </w:rPr>
        <w:t>6.25%. Eight members of the Committee (the Governor,</w:t>
      </w:r>
    </w:p>
    <w:p>
      <w:pPr>
        <w:pStyle w:val="BodyText"/>
        <w:spacing w:line="232" w:lineRule="auto"/>
        <w:ind w:left="160" w:right="476"/>
      </w:pPr>
      <w:r>
        <w:rPr>
          <w:color w:val="231F20"/>
        </w:rPr>
        <w:t>Mervyn King, David Clementi, Alan Budd, Charles Goodhart, DeAnne Julius, Ian Plenderleith and John Vickers) voted for the proposition. Willem Buiter voted against, preferring a cut of</w:t>
      </w:r>
    </w:p>
    <w:p>
      <w:pPr>
        <w:pStyle w:val="BodyText"/>
        <w:spacing w:line="200" w:lineRule="exact"/>
        <w:ind w:left="160"/>
      </w:pPr>
      <w:r>
        <w:rPr>
          <w:color w:val="231F20"/>
        </w:rPr>
        <w:t>75 basis points.</w:t>
      </w:r>
    </w:p>
    <w:p>
      <w:pPr>
        <w:pStyle w:val="ListParagraph"/>
        <w:numPr>
          <w:ilvl w:val="0"/>
          <w:numId w:val="42"/>
        </w:numPr>
        <w:tabs>
          <w:tab w:pos="639" w:val="left" w:leader="none"/>
          <w:tab w:pos="641" w:val="left" w:leader="none"/>
        </w:tabs>
        <w:spacing w:line="400" w:lineRule="atLeast" w:before="18" w:after="0"/>
        <w:ind w:left="160" w:right="589" w:firstLine="0"/>
        <w:jc w:val="left"/>
        <w:rPr>
          <w:sz w:val="18"/>
        </w:rPr>
      </w:pPr>
      <w:r>
        <w:rPr>
          <w:color w:val="231F20"/>
          <w:sz w:val="18"/>
        </w:rPr>
        <w:t>The following members of the Committee were </w:t>
      </w:r>
      <w:r>
        <w:rPr>
          <w:color w:val="231F20"/>
          <w:spacing w:val="-3"/>
          <w:sz w:val="18"/>
        </w:rPr>
        <w:t>present: </w:t>
      </w:r>
      <w:r>
        <w:rPr>
          <w:color w:val="231F20"/>
          <w:sz w:val="18"/>
        </w:rPr>
        <w:t>Eddie George, Governor</w:t>
      </w:r>
    </w:p>
    <w:p>
      <w:pPr>
        <w:pStyle w:val="BodyText"/>
        <w:spacing w:line="232" w:lineRule="auto"/>
        <w:ind w:left="160" w:right="426"/>
      </w:pPr>
      <w:r>
        <w:rPr>
          <w:color w:val="231F20"/>
        </w:rPr>
        <w:t>Mervyn King, Deputy Governor responsible for monetary policy David Clementi, Deputy Governor responsible for financial stability</w:t>
      </w:r>
    </w:p>
    <w:p>
      <w:pPr>
        <w:pStyle w:val="BodyText"/>
        <w:spacing w:line="232" w:lineRule="auto"/>
        <w:ind w:left="160" w:right="3820"/>
      </w:pPr>
      <w:r>
        <w:rPr>
          <w:color w:val="231F20"/>
        </w:rPr>
        <w:t>Alan Budd Willem Buiter Charles Goodhart DeAnne Julius Ian Plenderleith John Vickers</w:t>
      </w:r>
    </w:p>
    <w:p>
      <w:pPr>
        <w:pStyle w:val="BodyText"/>
        <w:spacing w:before="4"/>
      </w:pPr>
    </w:p>
    <w:p>
      <w:pPr>
        <w:pStyle w:val="ListParagraph"/>
        <w:numPr>
          <w:ilvl w:val="0"/>
          <w:numId w:val="42"/>
        </w:numPr>
        <w:tabs>
          <w:tab w:pos="639" w:val="left" w:leader="none"/>
          <w:tab w:pos="641" w:val="left" w:leader="none"/>
        </w:tabs>
        <w:spacing w:line="232" w:lineRule="auto" w:before="0" w:after="0"/>
        <w:ind w:left="160" w:right="1158" w:firstLine="0"/>
        <w:jc w:val="left"/>
        <w:rPr>
          <w:sz w:val="18"/>
        </w:rPr>
      </w:pPr>
      <w:r>
        <w:rPr>
          <w:color w:val="231F20"/>
          <w:sz w:val="18"/>
        </w:rPr>
        <w:t>Gus O’Donnell was also present as the Treasury representative.</w:t>
      </w:r>
    </w:p>
    <w:p>
      <w:pPr>
        <w:spacing w:after="0" w:line="232" w:lineRule="auto"/>
        <w:jc w:val="left"/>
        <w:rPr>
          <w:sz w:val="18"/>
        </w:rPr>
        <w:sectPr>
          <w:type w:val="continuous"/>
          <w:pgSz w:w="11900" w:h="16840"/>
          <w:pgMar w:top="1220" w:bottom="280" w:left="640" w:right="600"/>
          <w:cols w:num="2" w:equalWidth="0">
            <w:col w:w="5099" w:space="286"/>
            <w:col w:w="5275"/>
          </w:cols>
        </w:sectPr>
      </w:pPr>
    </w:p>
    <w:p>
      <w:pPr>
        <w:pStyle w:val="BodyText"/>
        <w:rPr>
          <w:sz w:val="20"/>
        </w:rPr>
      </w:pPr>
    </w:p>
    <w:p>
      <w:pPr>
        <w:pStyle w:val="BodyText"/>
        <w:rPr>
          <w:sz w:val="20"/>
        </w:rPr>
      </w:pPr>
    </w:p>
    <w:p>
      <w:pPr>
        <w:pStyle w:val="BodyText"/>
        <w:spacing w:before="1"/>
        <w:rPr>
          <w:sz w:val="16"/>
        </w:rPr>
      </w:pPr>
    </w:p>
    <w:p>
      <w:pPr>
        <w:pStyle w:val="Heading1"/>
      </w:pPr>
      <w:r>
        <w:rPr>
          <w:color w:val="009483"/>
        </w:rPr>
        <w:t>Annex: Summary of data presented by Bank staff</w:t>
      </w:r>
    </w:p>
    <w:p>
      <w:pPr>
        <w:pStyle w:val="BodyText"/>
        <w:spacing w:before="1"/>
        <w:rPr>
          <w:b/>
          <w:sz w:val="27"/>
        </w:rPr>
      </w:pPr>
    </w:p>
    <w:p>
      <w:pPr>
        <w:spacing w:after="0"/>
        <w:rPr>
          <w:sz w:val="27"/>
        </w:rPr>
        <w:sectPr>
          <w:pgSz w:w="11900" w:h="16840"/>
          <w:pgMar w:header="566" w:footer="597" w:top="760" w:bottom="780" w:left="640" w:right="600"/>
        </w:sectPr>
      </w:pPr>
    </w:p>
    <w:p>
      <w:pPr>
        <w:pStyle w:val="ListParagraph"/>
        <w:numPr>
          <w:ilvl w:val="0"/>
          <w:numId w:val="43"/>
        </w:numPr>
        <w:tabs>
          <w:tab w:pos="654" w:val="left" w:leader="none"/>
          <w:tab w:pos="655" w:val="left" w:leader="none"/>
        </w:tabs>
        <w:spacing w:line="232" w:lineRule="auto" w:before="106" w:after="0"/>
        <w:ind w:left="174" w:right="82" w:firstLine="0"/>
        <w:jc w:val="left"/>
        <w:rPr>
          <w:sz w:val="18"/>
        </w:rPr>
      </w:pPr>
      <w:r>
        <w:rPr>
          <w:color w:val="231F20"/>
          <w:sz w:val="18"/>
        </w:rPr>
        <w:t>This Annex summarises the analysis presented by Bank </w:t>
      </w:r>
      <w:r>
        <w:rPr>
          <w:color w:val="231F20"/>
          <w:spacing w:val="-4"/>
          <w:sz w:val="18"/>
        </w:rPr>
        <w:t>staff </w:t>
      </w:r>
      <w:r>
        <w:rPr>
          <w:color w:val="231F20"/>
          <w:sz w:val="18"/>
        </w:rPr>
        <w:t>to the Monetary Policy Committee on 4 December 1998, in advance of its meeting. At the start of the Committee meeting itself, members were made aware of information that had subsequently become available, and that information is included in the Annex.</w:t>
      </w:r>
    </w:p>
    <w:p>
      <w:pPr>
        <w:pStyle w:val="BodyText"/>
        <w:spacing w:before="8"/>
        <w:rPr>
          <w:sz w:val="23"/>
        </w:rPr>
      </w:pPr>
    </w:p>
    <w:p>
      <w:pPr>
        <w:pStyle w:val="Heading6"/>
        <w:numPr>
          <w:ilvl w:val="0"/>
          <w:numId w:val="44"/>
        </w:numPr>
        <w:tabs>
          <w:tab w:pos="654" w:val="left" w:leader="none"/>
          <w:tab w:pos="655" w:val="left" w:leader="none"/>
        </w:tabs>
        <w:spacing w:line="240" w:lineRule="auto" w:before="0" w:after="0"/>
        <w:ind w:left="654" w:right="0" w:hanging="481"/>
        <w:jc w:val="left"/>
      </w:pPr>
      <w:r>
        <w:rPr>
          <w:color w:val="009483"/>
        </w:rPr>
        <w:t>Monetary conditions</w:t>
      </w:r>
    </w:p>
    <w:p>
      <w:pPr>
        <w:pStyle w:val="ListParagraph"/>
        <w:numPr>
          <w:ilvl w:val="0"/>
          <w:numId w:val="43"/>
        </w:numPr>
        <w:tabs>
          <w:tab w:pos="654" w:val="left" w:leader="none"/>
          <w:tab w:pos="655" w:val="left" w:leader="none"/>
        </w:tabs>
        <w:spacing w:line="232" w:lineRule="auto" w:before="150" w:after="0"/>
        <w:ind w:left="174" w:right="118" w:firstLine="0"/>
        <w:jc w:val="left"/>
        <w:rPr>
          <w:sz w:val="18"/>
        </w:rPr>
      </w:pPr>
      <w:r>
        <w:rPr>
          <w:color w:val="231F20"/>
          <w:sz w:val="18"/>
        </w:rPr>
        <w:t>Notes and coin in circulation had increased by 0.6% in November, after adjusting for the introduction of the new 50 </w:t>
      </w:r>
      <w:r>
        <w:rPr>
          <w:color w:val="231F20"/>
          <w:spacing w:val="-4"/>
          <w:sz w:val="18"/>
        </w:rPr>
        <w:t>pence </w:t>
      </w:r>
      <w:r>
        <w:rPr>
          <w:color w:val="231F20"/>
          <w:sz w:val="18"/>
        </w:rPr>
        <w:t>and £2 coins. The twelve-month growth rate had been 5.1%.</w:t>
      </w:r>
    </w:p>
    <w:p>
      <w:pPr>
        <w:pStyle w:val="ListParagraph"/>
        <w:numPr>
          <w:ilvl w:val="0"/>
          <w:numId w:val="43"/>
        </w:numPr>
        <w:tabs>
          <w:tab w:pos="654" w:val="left" w:leader="none"/>
          <w:tab w:pos="655" w:val="left" w:leader="none"/>
        </w:tabs>
        <w:spacing w:line="232" w:lineRule="auto" w:before="177" w:after="0"/>
        <w:ind w:left="174" w:right="57" w:firstLine="0"/>
        <w:jc w:val="left"/>
        <w:rPr>
          <w:sz w:val="18"/>
        </w:rPr>
      </w:pPr>
      <w:r>
        <w:rPr>
          <w:color w:val="231F20"/>
          <w:sz w:val="18"/>
        </w:rPr>
        <w:t>The twelve-month growth rate of M4 had remained at 9.1% in October and the monthly flow, at £4.9 billion, was close to the average for the first three quarters of 1998. The entire addition to the stock of M4 had come from the household and Other Financial Corporations (OFC) sectors. The deposits of Private </w:t>
      </w:r>
      <w:r>
        <w:rPr>
          <w:color w:val="231F20"/>
          <w:spacing w:val="-2"/>
          <w:sz w:val="18"/>
        </w:rPr>
        <w:t>Non-Financial </w:t>
      </w:r>
      <w:r>
        <w:rPr>
          <w:color w:val="231F20"/>
          <w:sz w:val="18"/>
        </w:rPr>
        <w:t>Corporations (P</w:t>
      </w:r>
      <w:r>
        <w:rPr>
          <w:color w:val="231F20"/>
          <w:sz w:val="14"/>
        </w:rPr>
        <w:t>NFC</w:t>
      </w:r>
      <w:r>
        <w:rPr>
          <w:color w:val="231F20"/>
          <w:sz w:val="18"/>
        </w:rPr>
        <w:t>s) had fallen over the month, by</w:t>
      </w:r>
      <w:r>
        <w:rPr>
          <w:color w:val="231F20"/>
          <w:spacing w:val="-1"/>
          <w:sz w:val="18"/>
        </w:rPr>
        <w:t> </w:t>
      </w:r>
      <w:r>
        <w:rPr>
          <w:color w:val="231F20"/>
          <w:sz w:val="18"/>
        </w:rPr>
        <w:t>0.2%.</w:t>
      </w:r>
    </w:p>
    <w:p>
      <w:pPr>
        <w:pStyle w:val="BodyText"/>
        <w:spacing w:line="232" w:lineRule="auto"/>
        <w:ind w:left="174" w:right="308"/>
      </w:pPr>
      <w:r>
        <w:rPr>
          <w:color w:val="231F20"/>
        </w:rPr>
        <w:t>Twelve-month growth rates for the household sector, P</w:t>
      </w:r>
      <w:r>
        <w:rPr>
          <w:color w:val="231F20"/>
          <w:sz w:val="14"/>
        </w:rPr>
        <w:t>NFC</w:t>
      </w:r>
      <w:r>
        <w:rPr>
          <w:color w:val="231F20"/>
        </w:rPr>
        <w:t>s and OFCs had been 5.6%, 5.2% and 22.6% respectively.</w:t>
      </w:r>
    </w:p>
    <w:p>
      <w:pPr>
        <w:pStyle w:val="BodyText"/>
        <w:spacing w:before="1"/>
        <w:rPr>
          <w:sz w:val="22"/>
        </w:rPr>
      </w:pPr>
    </w:p>
    <w:p>
      <w:pPr>
        <w:pStyle w:val="ListParagraph"/>
        <w:numPr>
          <w:ilvl w:val="0"/>
          <w:numId w:val="43"/>
        </w:numPr>
        <w:tabs>
          <w:tab w:pos="654" w:val="left" w:leader="none"/>
          <w:tab w:pos="655" w:val="left" w:leader="none"/>
        </w:tabs>
        <w:spacing w:line="232" w:lineRule="auto" w:before="0" w:after="0"/>
        <w:ind w:left="174" w:right="282" w:firstLine="0"/>
        <w:jc w:val="left"/>
        <w:rPr>
          <w:sz w:val="18"/>
        </w:rPr>
      </w:pPr>
      <w:r>
        <w:rPr>
          <w:color w:val="231F20"/>
          <w:sz w:val="18"/>
        </w:rPr>
        <w:t>The one-month growth rate of aggregate M4 lending had remained at 0.7% in October, which pushed the twelve-month change up to 9.1%. Annual growth in M4 lending to the household sector had remained unchanged at 7.4% in October. Total secured lending to individuals had continued to grow at an annual rate close to 6%, despite a slowdown in housing market activity; anecdote suggested that mortgage equity withdrawal might have been a contributory factor. In contrast, the annual growth in unsecured lending to individuals had remained strong, at 17.2% in October; it had been close to this level since the beginning of 1997. M4 lending to OFCs had increased by </w:t>
      </w:r>
      <w:r>
        <w:rPr>
          <w:color w:val="231F20"/>
          <w:spacing w:val="-4"/>
          <w:sz w:val="18"/>
        </w:rPr>
        <w:t>1.3%, </w:t>
      </w:r>
      <w:r>
        <w:rPr>
          <w:color w:val="231F20"/>
          <w:sz w:val="18"/>
        </w:rPr>
        <w:t>raising the annual growth rate to 18.4%. However, M4 lending to P</w:t>
      </w:r>
      <w:r>
        <w:rPr>
          <w:color w:val="231F20"/>
          <w:sz w:val="14"/>
        </w:rPr>
        <w:t>NFC</w:t>
      </w:r>
      <w:r>
        <w:rPr>
          <w:color w:val="231F20"/>
          <w:sz w:val="18"/>
        </w:rPr>
        <w:t>s had risen by£0.4 billion, compared with an average flow of £1.1 billion during the first nine months of the year, reducing the annual growth rate to 5.8%. P</w:t>
      </w:r>
      <w:r>
        <w:rPr>
          <w:color w:val="231F20"/>
          <w:sz w:val="14"/>
        </w:rPr>
        <w:t>NFC</w:t>
      </w:r>
      <w:r>
        <w:rPr>
          <w:color w:val="231F20"/>
          <w:sz w:val="18"/>
        </w:rPr>
        <w:t>s’ total external finance, which includes foreign currency borrowing and capital issues, remained robust.</w:t>
      </w:r>
    </w:p>
    <w:p>
      <w:pPr>
        <w:pStyle w:val="BodyText"/>
        <w:spacing w:before="5"/>
        <w:rPr>
          <w:sz w:val="21"/>
        </w:rPr>
      </w:pPr>
    </w:p>
    <w:p>
      <w:pPr>
        <w:pStyle w:val="ListParagraph"/>
        <w:numPr>
          <w:ilvl w:val="0"/>
          <w:numId w:val="43"/>
        </w:numPr>
        <w:tabs>
          <w:tab w:pos="654" w:val="left" w:leader="none"/>
          <w:tab w:pos="655" w:val="left" w:leader="none"/>
        </w:tabs>
        <w:spacing w:line="232" w:lineRule="auto" w:before="1" w:after="0"/>
        <w:ind w:left="174" w:right="68" w:firstLine="0"/>
        <w:jc w:val="left"/>
        <w:rPr>
          <w:sz w:val="18"/>
        </w:rPr>
      </w:pPr>
      <w:r>
        <w:rPr>
          <w:color w:val="231F20"/>
          <w:sz w:val="18"/>
        </w:rPr>
        <w:t>Net recourse to banks by P</w:t>
      </w:r>
      <w:r>
        <w:rPr>
          <w:color w:val="231F20"/>
          <w:sz w:val="14"/>
        </w:rPr>
        <w:t>NFC</w:t>
      </w:r>
      <w:r>
        <w:rPr>
          <w:color w:val="231F20"/>
          <w:sz w:val="18"/>
        </w:rPr>
        <w:t>s (defined as the difference between M4 lending to P</w:t>
      </w:r>
      <w:r>
        <w:rPr>
          <w:color w:val="231F20"/>
          <w:sz w:val="14"/>
        </w:rPr>
        <w:t>NFC</w:t>
      </w:r>
      <w:r>
        <w:rPr>
          <w:color w:val="231F20"/>
          <w:sz w:val="18"/>
        </w:rPr>
        <w:t>s and their M4 deposits) had also remained strong. In the year to 1998 Q3, a number of the larger sub-sectors, including manufacturing, had used a greater proportion of the sterling facilities granted to them by banks.</w:t>
      </w:r>
    </w:p>
    <w:p>
      <w:pPr>
        <w:pStyle w:val="BodyText"/>
        <w:spacing w:before="2"/>
        <w:rPr>
          <w:sz w:val="22"/>
        </w:rPr>
      </w:pPr>
    </w:p>
    <w:p>
      <w:pPr>
        <w:pStyle w:val="ListParagraph"/>
        <w:numPr>
          <w:ilvl w:val="0"/>
          <w:numId w:val="43"/>
        </w:numPr>
        <w:tabs>
          <w:tab w:pos="654" w:val="left" w:leader="none"/>
          <w:tab w:pos="655" w:val="left" w:leader="none"/>
        </w:tabs>
        <w:spacing w:line="232" w:lineRule="auto" w:before="1" w:after="0"/>
        <w:ind w:left="174" w:right="38" w:firstLine="0"/>
        <w:jc w:val="left"/>
        <w:rPr>
          <w:sz w:val="18"/>
        </w:rPr>
      </w:pPr>
      <w:r>
        <w:rPr>
          <w:color w:val="231F20"/>
          <w:sz w:val="18"/>
        </w:rPr>
        <w:t>Turning to financial prices, it appeared that the 25 basis </w:t>
      </w:r>
      <w:r>
        <w:rPr>
          <w:color w:val="231F20"/>
          <w:spacing w:val="-4"/>
          <w:sz w:val="18"/>
        </w:rPr>
        <w:t>point </w:t>
      </w:r>
      <w:r>
        <w:rPr>
          <w:color w:val="231F20"/>
          <w:sz w:val="18"/>
        </w:rPr>
        <w:t>cut in official rates in October had already been passed through fully to variable rate mortgages advertised by banks and building societies, and that the 50 basis point cut in official rates in November would, likewise, soon be passed on.</w:t>
      </w:r>
    </w:p>
    <w:p>
      <w:pPr>
        <w:pStyle w:val="BodyText"/>
        <w:spacing w:before="3"/>
        <w:rPr>
          <w:sz w:val="22"/>
        </w:rPr>
      </w:pPr>
    </w:p>
    <w:p>
      <w:pPr>
        <w:pStyle w:val="ListParagraph"/>
        <w:numPr>
          <w:ilvl w:val="0"/>
          <w:numId w:val="43"/>
        </w:numPr>
        <w:tabs>
          <w:tab w:pos="654" w:val="left" w:leader="none"/>
          <w:tab w:pos="655" w:val="left" w:leader="none"/>
        </w:tabs>
        <w:spacing w:line="232" w:lineRule="auto" w:before="0" w:after="0"/>
        <w:ind w:left="174" w:right="53" w:firstLine="0"/>
        <w:jc w:val="left"/>
        <w:rPr>
          <w:sz w:val="18"/>
        </w:rPr>
      </w:pPr>
      <w:r>
        <w:rPr>
          <w:color w:val="231F20"/>
          <w:sz w:val="18"/>
        </w:rPr>
        <w:t>Short-term inflation expectations (as surveyed) had </w:t>
      </w:r>
      <w:r>
        <w:rPr>
          <w:color w:val="231F20"/>
          <w:spacing w:val="-3"/>
          <w:sz w:val="18"/>
        </w:rPr>
        <w:t>remained </w:t>
      </w:r>
      <w:r>
        <w:rPr>
          <w:color w:val="231F20"/>
          <w:sz w:val="18"/>
        </w:rPr>
        <w:t>close to the inflation target, and short-maturity nominal interest rates had fallen. By implication, there had been a further reduction in short-maturity real interest rates.</w:t>
      </w:r>
    </w:p>
    <w:p>
      <w:pPr>
        <w:pStyle w:val="BodyText"/>
        <w:spacing w:before="4"/>
        <w:rPr>
          <w:sz w:val="22"/>
        </w:rPr>
      </w:pPr>
    </w:p>
    <w:p>
      <w:pPr>
        <w:pStyle w:val="ListParagraph"/>
        <w:numPr>
          <w:ilvl w:val="0"/>
          <w:numId w:val="43"/>
        </w:numPr>
        <w:tabs>
          <w:tab w:pos="654" w:val="left" w:leader="none"/>
          <w:tab w:pos="655" w:val="left" w:leader="none"/>
        </w:tabs>
        <w:spacing w:line="232" w:lineRule="auto" w:before="0" w:after="0"/>
        <w:ind w:left="174" w:right="38" w:firstLine="0"/>
        <w:jc w:val="left"/>
        <w:rPr>
          <w:sz w:val="18"/>
        </w:rPr>
      </w:pPr>
      <w:r>
        <w:rPr>
          <w:color w:val="231F20"/>
          <w:sz w:val="18"/>
        </w:rPr>
        <w:t>An empirical analysis of the average real rate earned on a variety of different instruments, in some cases using data back to 1797, suggested a value for the neutral real rate of interest—defined as the rate that would prevail if the economy were at, and set to be at, capacity and inflation was in line with the target—of between 2% and 4%. Assuming that short-term inflation expectations were close to the inflation target implies a neutral nominal interest rate of between 4</w:t>
      </w:r>
      <w:r>
        <w:rPr>
          <w:color w:val="231F20"/>
          <w:position w:val="6"/>
          <w:sz w:val="9"/>
        </w:rPr>
        <w:t>1</w:t>
      </w:r>
      <w:r>
        <w:rPr>
          <w:color w:val="231F20"/>
          <w:sz w:val="18"/>
        </w:rPr>
        <w:t>/</w:t>
      </w:r>
      <w:r>
        <w:rPr>
          <w:color w:val="231F20"/>
          <w:sz w:val="9"/>
        </w:rPr>
        <w:t>2</w:t>
      </w:r>
      <w:r>
        <w:rPr>
          <w:color w:val="231F20"/>
          <w:sz w:val="18"/>
        </w:rPr>
        <w:t>% and</w:t>
      </w:r>
      <w:r>
        <w:rPr>
          <w:color w:val="231F20"/>
          <w:spacing w:val="-1"/>
          <w:sz w:val="18"/>
        </w:rPr>
        <w:t> </w:t>
      </w:r>
      <w:r>
        <w:rPr>
          <w:color w:val="231F20"/>
          <w:sz w:val="18"/>
        </w:rPr>
        <w:t>6</w:t>
      </w:r>
      <w:r>
        <w:rPr>
          <w:color w:val="231F20"/>
          <w:position w:val="6"/>
          <w:sz w:val="9"/>
        </w:rPr>
        <w:t>1</w:t>
      </w:r>
      <w:r>
        <w:rPr>
          <w:color w:val="231F20"/>
          <w:sz w:val="18"/>
        </w:rPr>
        <w:t>/</w:t>
      </w:r>
      <w:r>
        <w:rPr>
          <w:color w:val="231F20"/>
          <w:sz w:val="9"/>
        </w:rPr>
        <w:t>2</w:t>
      </w:r>
      <w:r>
        <w:rPr>
          <w:color w:val="231F20"/>
          <w:sz w:val="18"/>
        </w:rPr>
        <w:t>%.</w:t>
      </w:r>
    </w:p>
    <w:p>
      <w:pPr>
        <w:pStyle w:val="Heading6"/>
        <w:numPr>
          <w:ilvl w:val="0"/>
          <w:numId w:val="44"/>
        </w:numPr>
        <w:tabs>
          <w:tab w:pos="654" w:val="left" w:leader="none"/>
          <w:tab w:pos="655" w:val="left" w:leader="none"/>
        </w:tabs>
        <w:spacing w:line="240" w:lineRule="auto" w:before="91" w:after="0"/>
        <w:ind w:left="654" w:right="0" w:hanging="481"/>
        <w:jc w:val="left"/>
      </w:pPr>
      <w:r>
        <w:rPr>
          <w:color w:val="009483"/>
        </w:rPr>
        <w:br w:type="column"/>
        <w:t>Demand and output</w:t>
      </w:r>
    </w:p>
    <w:p>
      <w:pPr>
        <w:pStyle w:val="ListParagraph"/>
        <w:numPr>
          <w:ilvl w:val="0"/>
          <w:numId w:val="43"/>
        </w:numPr>
        <w:tabs>
          <w:tab w:pos="654" w:val="left" w:leader="none"/>
          <w:tab w:pos="655" w:val="left" w:leader="none"/>
        </w:tabs>
        <w:spacing w:line="232" w:lineRule="auto" w:before="150" w:after="0"/>
        <w:ind w:left="174" w:right="227" w:firstLine="0"/>
        <w:jc w:val="left"/>
        <w:rPr>
          <w:sz w:val="18"/>
        </w:rPr>
      </w:pPr>
      <w:r>
        <w:rPr>
          <w:color w:val="231F20"/>
          <w:sz w:val="18"/>
        </w:rPr>
        <w:t>GDP at market prices had grown by 0.4% in 1998 Q3, revised down by 0.1 percentage point from the preliminary estimate, and the annual rate had been revised down to 2.3% from 2.5%. This was consistent with earlier data on manufacturing output and industrial production, which had pointed to a downward revision. The expenditure breakdown had shown domestic </w:t>
      </w:r>
      <w:r>
        <w:rPr>
          <w:color w:val="231F20"/>
          <w:spacing w:val="-3"/>
          <w:sz w:val="18"/>
        </w:rPr>
        <w:t>demand </w:t>
      </w:r>
      <w:r>
        <w:rPr>
          <w:color w:val="231F20"/>
          <w:sz w:val="18"/>
        </w:rPr>
        <w:t>growing by 0.9% in Q3, reflecting a sharp increase in investment. Net trade had made a negative contribution to GDP growth of</w:t>
      </w:r>
    </w:p>
    <w:p>
      <w:pPr>
        <w:pStyle w:val="BodyText"/>
        <w:spacing w:line="232" w:lineRule="auto"/>
        <w:ind w:left="174" w:right="229"/>
      </w:pPr>
      <w:r>
        <w:rPr>
          <w:color w:val="231F20"/>
        </w:rPr>
        <w:t>0.6 percentage points. Recent trade data, the scale of the alignment adjustment in the first three quarters of 1998, and the usual revisions reflecting new information had all suggested that the next GDP release could include revisions to the composition of expenditure throughout 1998. The implications for GDP growth were not clear.</w:t>
      </w:r>
    </w:p>
    <w:p>
      <w:pPr>
        <w:pStyle w:val="BodyText"/>
        <w:spacing w:before="2"/>
      </w:pPr>
    </w:p>
    <w:p>
      <w:pPr>
        <w:pStyle w:val="ListParagraph"/>
        <w:numPr>
          <w:ilvl w:val="0"/>
          <w:numId w:val="43"/>
        </w:numPr>
        <w:tabs>
          <w:tab w:pos="654" w:val="left" w:leader="none"/>
          <w:tab w:pos="655" w:val="left" w:leader="none"/>
        </w:tabs>
        <w:spacing w:line="232" w:lineRule="auto" w:before="0" w:after="0"/>
        <w:ind w:left="174" w:right="182" w:firstLine="0"/>
        <w:jc w:val="left"/>
        <w:rPr>
          <w:sz w:val="18"/>
        </w:rPr>
      </w:pPr>
      <w:r>
        <w:rPr>
          <w:color w:val="231F20"/>
          <w:sz w:val="18"/>
        </w:rPr>
        <w:t>Household consumption had remained weak, rising by 0.4%, the same as in Q2. The Q2 figure had included falls in catering and financial services, which were thought to be erratically weak. The Q3 release suggested either that the bounceback in these sectors </w:t>
      </w:r>
      <w:r>
        <w:rPr>
          <w:color w:val="231F20"/>
          <w:spacing w:val="-6"/>
          <w:sz w:val="18"/>
        </w:rPr>
        <w:t>had </w:t>
      </w:r>
      <w:r>
        <w:rPr>
          <w:color w:val="231F20"/>
          <w:sz w:val="18"/>
        </w:rPr>
        <w:t>not been as large as expected, or that other sectors had weakened— so there might have been an underlying slowdown in consumption. Government consumption had risen by 0.6%, compared with 0.9% in the previous quarter.</w:t>
      </w:r>
    </w:p>
    <w:p>
      <w:pPr>
        <w:pStyle w:val="BodyText"/>
        <w:spacing w:before="1"/>
        <w:rPr>
          <w:sz w:val="22"/>
        </w:rPr>
      </w:pPr>
    </w:p>
    <w:p>
      <w:pPr>
        <w:pStyle w:val="ListParagraph"/>
        <w:numPr>
          <w:ilvl w:val="0"/>
          <w:numId w:val="43"/>
        </w:numPr>
        <w:tabs>
          <w:tab w:pos="654" w:val="left" w:leader="none"/>
          <w:tab w:pos="655" w:val="left" w:leader="none"/>
        </w:tabs>
        <w:spacing w:line="232" w:lineRule="auto" w:before="0" w:after="0"/>
        <w:ind w:left="174" w:right="201" w:firstLine="0"/>
        <w:jc w:val="left"/>
        <w:rPr>
          <w:sz w:val="18"/>
        </w:rPr>
      </w:pPr>
      <w:r>
        <w:rPr>
          <w:color w:val="231F20"/>
          <w:sz w:val="18"/>
        </w:rPr>
        <w:t>Investment had recovered very strongly following a weak Q2, rising by 2.5% on the quarter. A fall in manufacturing investment of 4.5% had been more than offset by a rise in service sector investment of 7.4%. No known erratic components had accounted for the strength of business investment in Q3. Bank </w:t>
      </w:r>
      <w:r>
        <w:rPr>
          <w:color w:val="231F20"/>
          <w:spacing w:val="-4"/>
          <w:sz w:val="18"/>
        </w:rPr>
        <w:t>staff </w:t>
      </w:r>
      <w:r>
        <w:rPr>
          <w:color w:val="231F20"/>
          <w:sz w:val="18"/>
        </w:rPr>
        <w:t>had considered whether business surveys might provide an explanation of the current strength of investment, and whether this would be sustained. Investment intentions did suggest a slightly higher level of investment in Q3, consistent with the provisional estimate. But the surveys had also suggested the level of investment over the next year would be roughly flat.</w:t>
      </w:r>
    </w:p>
    <w:p>
      <w:pPr>
        <w:pStyle w:val="BodyText"/>
        <w:spacing w:before="7"/>
        <w:rPr>
          <w:sz w:val="19"/>
        </w:rPr>
      </w:pPr>
    </w:p>
    <w:p>
      <w:pPr>
        <w:pStyle w:val="ListParagraph"/>
        <w:numPr>
          <w:ilvl w:val="0"/>
          <w:numId w:val="43"/>
        </w:numPr>
        <w:tabs>
          <w:tab w:pos="654" w:val="left" w:leader="none"/>
          <w:tab w:pos="655" w:val="left" w:leader="none"/>
        </w:tabs>
        <w:spacing w:line="203" w:lineRule="exact" w:before="1" w:after="0"/>
        <w:ind w:left="654" w:right="0" w:hanging="481"/>
        <w:jc w:val="left"/>
        <w:rPr>
          <w:sz w:val="18"/>
        </w:rPr>
      </w:pPr>
      <w:r>
        <w:rPr>
          <w:color w:val="231F20"/>
          <w:sz w:val="18"/>
        </w:rPr>
        <w:t>Inventories had continued to increase in Q3, rising by</w:t>
      </w:r>
    </w:p>
    <w:p>
      <w:pPr>
        <w:pStyle w:val="BodyText"/>
        <w:spacing w:line="232" w:lineRule="auto" w:before="1"/>
        <w:ind w:left="174" w:right="229"/>
      </w:pPr>
      <w:r>
        <w:rPr>
          <w:color w:val="231F20"/>
        </w:rPr>
        <w:t>£1.7 billion. There had been a large accumulation of stocks of manufactured finished goods (up £589 million), and retail inventories had risen by more than £250 million for the third successive quarter. A large increase in stocks of other industries had also pointed towards a significant positive contribution from the alignment adjustment. Taking the first three quarters of 1998 together, expenditure appeared to have fallen short of output. </w:t>
      </w:r>
      <w:r>
        <w:rPr>
          <w:color w:val="231F20"/>
          <w:spacing w:val="-5"/>
        </w:rPr>
        <w:t>Bank </w:t>
      </w:r>
      <w:r>
        <w:rPr>
          <w:color w:val="231F20"/>
        </w:rPr>
        <w:t>calculations suggested that the alignment adjustment had reached around £1.4 billion; since it must sum to zero over the year, this pointed either to revisions to the first three quarters, or a large negative contribution in Q4. Looking ahead, the Confederation of British Industry (CBI) monthly trends survey had suggested that a stock overhang continued; the balance reporting excessive stocks was +28 in November. The Chartered Institute of Purchasing and Supply (C</w:t>
      </w:r>
      <w:r>
        <w:rPr>
          <w:color w:val="231F20"/>
          <w:sz w:val="14"/>
        </w:rPr>
        <w:t>IPS</w:t>
      </w:r>
      <w:r>
        <w:rPr>
          <w:color w:val="231F20"/>
        </w:rPr>
        <w:t>) survey had pointed to falling stocks, though not in the consumer goods sectors.</w:t>
      </w:r>
    </w:p>
    <w:p>
      <w:pPr>
        <w:pStyle w:val="BodyText"/>
        <w:spacing w:before="9"/>
        <w:rPr>
          <w:sz w:val="19"/>
        </w:rPr>
      </w:pPr>
    </w:p>
    <w:p>
      <w:pPr>
        <w:pStyle w:val="ListParagraph"/>
        <w:numPr>
          <w:ilvl w:val="0"/>
          <w:numId w:val="43"/>
        </w:numPr>
        <w:tabs>
          <w:tab w:pos="654" w:val="left" w:leader="none"/>
          <w:tab w:pos="655" w:val="left" w:leader="none"/>
        </w:tabs>
        <w:spacing w:line="232" w:lineRule="auto" w:before="0" w:after="0"/>
        <w:ind w:left="174" w:right="192" w:firstLine="0"/>
        <w:jc w:val="left"/>
        <w:rPr>
          <w:sz w:val="18"/>
        </w:rPr>
      </w:pPr>
      <w:r>
        <w:rPr>
          <w:color w:val="231F20"/>
          <w:sz w:val="18"/>
        </w:rPr>
        <w:t>Net trade had made a negative contribution to GDP growth of 0.6% in Q3; export volumes had fallen by 0.6%, while import volumes had expanded by 1.2%. But the UK trade data published after the GDP release had pointed to even faster import growth in Q3 (goods volumes had risen by 3.7%), and suggested that a much bigger negative contribution from net trade might be included in </w:t>
      </w:r>
      <w:r>
        <w:rPr>
          <w:color w:val="231F20"/>
          <w:spacing w:val="-6"/>
          <w:sz w:val="18"/>
        </w:rPr>
        <w:t>the </w:t>
      </w:r>
      <w:r>
        <w:rPr>
          <w:color w:val="231F20"/>
          <w:sz w:val="18"/>
        </w:rPr>
        <w:t>next GDP release (to be published on 21 December). But this did not necessarily imply a downward revision to Q3 GDP. In the past year, just under half of the widening of the deficit could be accounted for by a bigger deficit on trade with Asia, including</w:t>
      </w:r>
    </w:p>
    <w:p>
      <w:pPr>
        <w:spacing w:after="0" w:line="232" w:lineRule="auto"/>
        <w:jc w:val="left"/>
        <w:rPr>
          <w:sz w:val="18"/>
        </w:rPr>
        <w:sectPr>
          <w:type w:val="continuous"/>
          <w:pgSz w:w="11900" w:h="16840"/>
          <w:pgMar w:top="1220" w:bottom="280" w:left="640" w:right="600"/>
          <w:cols w:num="2" w:equalWidth="0">
            <w:col w:w="5119" w:space="274"/>
            <w:col w:w="5267"/>
          </w:cols>
        </w:sectPr>
      </w:pPr>
    </w:p>
    <w:p>
      <w:pPr>
        <w:pStyle w:val="BodyText"/>
        <w:rPr>
          <w:sz w:val="20"/>
        </w:rPr>
      </w:pPr>
    </w:p>
    <w:p>
      <w:pPr>
        <w:spacing w:after="0"/>
        <w:rPr>
          <w:sz w:val="20"/>
        </w:rPr>
        <w:sectPr>
          <w:pgSz w:w="11900" w:h="16840"/>
          <w:pgMar w:header="566" w:footer="597" w:top="760" w:bottom="780" w:left="640" w:right="600"/>
        </w:sectPr>
      </w:pPr>
    </w:p>
    <w:p>
      <w:pPr>
        <w:pStyle w:val="BodyText"/>
        <w:spacing w:before="4"/>
        <w:rPr>
          <w:sz w:val="21"/>
        </w:rPr>
      </w:pPr>
    </w:p>
    <w:p>
      <w:pPr>
        <w:pStyle w:val="BodyText"/>
        <w:spacing w:line="232" w:lineRule="auto" w:before="1"/>
        <w:ind w:left="165"/>
      </w:pPr>
      <w:r>
        <w:rPr>
          <w:color w:val="231F20"/>
        </w:rPr>
        <w:t>Japan. The non-EU trade deficit had narrowed in October, but the trend had remained downward.</w:t>
      </w:r>
    </w:p>
    <w:p>
      <w:pPr>
        <w:pStyle w:val="BodyText"/>
        <w:spacing w:before="2"/>
        <w:rPr>
          <w:sz w:val="17"/>
        </w:rPr>
      </w:pPr>
    </w:p>
    <w:p>
      <w:pPr>
        <w:pStyle w:val="ListParagraph"/>
        <w:numPr>
          <w:ilvl w:val="0"/>
          <w:numId w:val="43"/>
        </w:numPr>
        <w:tabs>
          <w:tab w:pos="645" w:val="left" w:leader="none"/>
          <w:tab w:pos="646" w:val="left" w:leader="none"/>
        </w:tabs>
        <w:spacing w:line="232" w:lineRule="auto" w:before="1" w:after="0"/>
        <w:ind w:left="165" w:right="88" w:firstLine="0"/>
        <w:jc w:val="left"/>
        <w:rPr>
          <w:sz w:val="18"/>
        </w:rPr>
      </w:pPr>
      <w:r>
        <w:rPr>
          <w:color w:val="231F20"/>
          <w:sz w:val="18"/>
        </w:rPr>
        <w:t>Manufacturing output had fallen by 0.1% in Q3, while services output had grown by 0.6%, the same as the previous quarter. Construction output had fallen by 0.7%, owing to a contraction in repairs and maintenance; new building output had continued to grow. In October, manufacturing output had contracted by 0.4%—the third consecutive monthly fall. </w:t>
      </w:r>
      <w:r>
        <w:rPr>
          <w:color w:val="231F20"/>
          <w:spacing w:val="-3"/>
          <w:sz w:val="18"/>
        </w:rPr>
        <w:t>However, </w:t>
      </w:r>
      <w:r>
        <w:rPr>
          <w:color w:val="231F20"/>
          <w:sz w:val="18"/>
        </w:rPr>
        <w:t>as in the previous few months, industrial production had held up, and was unchanged on the month. Oil and gas extraction had increased by 0.8%, and utilities supply had remained high, reportedly because of worse-than-usual weather conditions in October.</w:t>
      </w:r>
    </w:p>
    <w:p>
      <w:pPr>
        <w:pStyle w:val="BodyText"/>
        <w:spacing w:before="7"/>
        <w:rPr>
          <w:sz w:val="16"/>
        </w:rPr>
      </w:pPr>
    </w:p>
    <w:p>
      <w:pPr>
        <w:pStyle w:val="ListParagraph"/>
        <w:numPr>
          <w:ilvl w:val="0"/>
          <w:numId w:val="43"/>
        </w:numPr>
        <w:tabs>
          <w:tab w:pos="645" w:val="left" w:leader="none"/>
          <w:tab w:pos="646" w:val="left" w:leader="none"/>
        </w:tabs>
        <w:spacing w:line="232" w:lineRule="auto" w:before="0" w:after="0"/>
        <w:ind w:left="165" w:right="88" w:firstLine="0"/>
        <w:jc w:val="left"/>
        <w:rPr>
          <w:sz w:val="18"/>
        </w:rPr>
      </w:pPr>
      <w:r>
        <w:rPr>
          <w:color w:val="231F20"/>
          <w:sz w:val="18"/>
        </w:rPr>
        <w:t>Retail sales volumes had fallen by 0.4% in October, the second consecutive decline. Survey evidence had continued to point to weaker retail sales. The CBI Distributive Trades survey had again been weak in November (the balance declined to -9</w:t>
      </w:r>
      <w:r>
        <w:rPr>
          <w:color w:val="231F20"/>
          <w:spacing w:val="3"/>
          <w:sz w:val="18"/>
        </w:rPr>
        <w:t> </w:t>
      </w:r>
      <w:r>
        <w:rPr>
          <w:color w:val="231F20"/>
          <w:spacing w:val="-5"/>
          <w:sz w:val="18"/>
        </w:rPr>
        <w:t>from</w:t>
      </w:r>
    </w:p>
    <w:p>
      <w:pPr>
        <w:pStyle w:val="BodyText"/>
        <w:spacing w:line="232" w:lineRule="auto"/>
        <w:ind w:left="165" w:right="39"/>
      </w:pPr>
      <w:r>
        <w:rPr>
          <w:color w:val="231F20"/>
        </w:rPr>
        <w:t>-4). The CBI retailing business confidence indicator had been at its lowest level since the survey began in 1983. And, the Bank’s regional Agents’ reports suggested falling retail sales turnover in </w:t>
      </w:r>
      <w:r>
        <w:rPr>
          <w:color w:val="231F20"/>
          <w:spacing w:val="-6"/>
        </w:rPr>
        <w:t>all </w:t>
      </w:r>
      <w:r>
        <w:rPr>
          <w:color w:val="231F20"/>
        </w:rPr>
        <w:t>regions outside Greater London, southern and south east England. At a national level, the Agents’ reports had pointed to an overall fall in turnover in the latest three months.</w:t>
      </w:r>
    </w:p>
    <w:p>
      <w:pPr>
        <w:pStyle w:val="BodyText"/>
        <w:spacing w:before="8"/>
        <w:rPr>
          <w:sz w:val="16"/>
        </w:rPr>
      </w:pPr>
    </w:p>
    <w:p>
      <w:pPr>
        <w:pStyle w:val="ListParagraph"/>
        <w:numPr>
          <w:ilvl w:val="0"/>
          <w:numId w:val="43"/>
        </w:numPr>
        <w:tabs>
          <w:tab w:pos="645" w:val="left" w:leader="none"/>
          <w:tab w:pos="646" w:val="left" w:leader="none"/>
        </w:tabs>
        <w:spacing w:line="232" w:lineRule="auto" w:before="0" w:after="0"/>
        <w:ind w:left="165" w:right="63" w:firstLine="0"/>
        <w:jc w:val="left"/>
        <w:rPr>
          <w:sz w:val="18"/>
        </w:rPr>
      </w:pPr>
      <w:r>
        <w:rPr>
          <w:color w:val="231F20"/>
          <w:sz w:val="18"/>
        </w:rPr>
        <w:t>House price inflation had slowed. The Halifax house price index had risen by 4.9% in the twelve months to November (down from 6.7% in October); the Nationwide index had risen by 6.9% (down from 7.5% in October); and the Bank’s index, based on Land Registry data, had declined by 7.5% in the four quarters to Q3, from 8.9% in Q2. Housing turnover had also slowed— particulars delivered had been 5% lower in October, and the trend had been clearly downwards. Secured lending had been marginally weaker in October, at £2.1 billion, and the trend in approvals had been downward. The House Builders’ Federation survey had continued to report negative balances for net reservations (-9) and site visits (-28).</w:t>
      </w:r>
    </w:p>
    <w:p>
      <w:pPr>
        <w:pStyle w:val="BodyText"/>
        <w:spacing w:before="7"/>
        <w:rPr>
          <w:sz w:val="16"/>
        </w:rPr>
      </w:pPr>
    </w:p>
    <w:p>
      <w:pPr>
        <w:pStyle w:val="ListParagraph"/>
        <w:numPr>
          <w:ilvl w:val="0"/>
          <w:numId w:val="43"/>
        </w:numPr>
        <w:tabs>
          <w:tab w:pos="645" w:val="left" w:leader="none"/>
          <w:tab w:pos="646" w:val="left" w:leader="none"/>
        </w:tabs>
        <w:spacing w:line="232" w:lineRule="auto" w:before="0" w:after="0"/>
        <w:ind w:left="165" w:right="178" w:firstLine="0"/>
        <w:jc w:val="left"/>
        <w:rPr>
          <w:sz w:val="18"/>
        </w:rPr>
      </w:pPr>
      <w:r>
        <w:rPr>
          <w:color w:val="231F20"/>
          <w:sz w:val="18"/>
        </w:rPr>
        <w:t>The survey evidence had remained weak in November; sentiment towards the domestic outlook had deteriorated further, while export expectations had stabilised somewhat. The CBI Monthly Industrial Trends survey had reported total orders balances unchanged at -47, implying a decline in domestic </w:t>
      </w:r>
      <w:r>
        <w:rPr>
          <w:color w:val="231F20"/>
          <w:spacing w:val="-3"/>
          <w:sz w:val="18"/>
        </w:rPr>
        <w:t>orders, </w:t>
      </w:r>
      <w:r>
        <w:rPr>
          <w:color w:val="231F20"/>
          <w:sz w:val="18"/>
        </w:rPr>
        <w:t>while the balance for export orders improved slightly to -51, from</w:t>
      </w:r>
    </w:p>
    <w:p>
      <w:pPr>
        <w:pStyle w:val="BodyText"/>
        <w:spacing w:line="232" w:lineRule="auto"/>
        <w:ind w:left="165" w:right="36"/>
      </w:pPr>
      <w:r>
        <w:rPr>
          <w:color w:val="231F20"/>
        </w:rPr>
        <w:t>-55. Output expectations had improved marginally to -27 in November, from -29 the previous month. The C</w:t>
      </w:r>
      <w:r>
        <w:rPr>
          <w:color w:val="231F20"/>
          <w:sz w:val="14"/>
        </w:rPr>
        <w:t>IPS </w:t>
      </w:r>
      <w:r>
        <w:rPr>
          <w:color w:val="231F20"/>
        </w:rPr>
        <w:t>manufacturing orders index had reached a record low of 36.4 in November, and </w:t>
      </w:r>
      <w:r>
        <w:rPr>
          <w:color w:val="231F20"/>
          <w:spacing w:val="-6"/>
        </w:rPr>
        <w:t>its </w:t>
      </w:r>
      <w:r>
        <w:rPr>
          <w:color w:val="231F20"/>
        </w:rPr>
        <w:t>services survey had indicated a contraction in service sector business activity for the first time since the survey began in</w:t>
      </w:r>
    </w:p>
    <w:p>
      <w:pPr>
        <w:pStyle w:val="BodyText"/>
        <w:spacing w:line="198" w:lineRule="exact"/>
        <w:ind w:left="165"/>
      </w:pPr>
      <w:r>
        <w:rPr>
          <w:color w:val="231F20"/>
        </w:rPr>
        <w:t>July 1996.</w:t>
      </w:r>
    </w:p>
    <w:p>
      <w:pPr>
        <w:pStyle w:val="BodyText"/>
        <w:spacing w:before="1"/>
        <w:rPr>
          <w:sz w:val="20"/>
        </w:rPr>
      </w:pPr>
    </w:p>
    <w:p>
      <w:pPr>
        <w:pStyle w:val="Heading6"/>
        <w:numPr>
          <w:ilvl w:val="0"/>
          <w:numId w:val="44"/>
        </w:numPr>
        <w:tabs>
          <w:tab w:pos="645" w:val="left" w:leader="none"/>
          <w:tab w:pos="646" w:val="left" w:leader="none"/>
        </w:tabs>
        <w:spacing w:line="240" w:lineRule="auto" w:before="0" w:after="0"/>
        <w:ind w:left="645" w:right="0" w:hanging="481"/>
        <w:jc w:val="left"/>
      </w:pPr>
      <w:r>
        <w:rPr>
          <w:color w:val="009483"/>
        </w:rPr>
        <w:t>The international</w:t>
      </w:r>
      <w:r>
        <w:rPr>
          <w:color w:val="009483"/>
          <w:spacing w:val="-1"/>
        </w:rPr>
        <w:t> </w:t>
      </w:r>
      <w:r>
        <w:rPr>
          <w:color w:val="009483"/>
        </w:rPr>
        <w:t>economy</w:t>
      </w:r>
    </w:p>
    <w:p>
      <w:pPr>
        <w:pStyle w:val="ListParagraph"/>
        <w:numPr>
          <w:ilvl w:val="0"/>
          <w:numId w:val="43"/>
        </w:numPr>
        <w:tabs>
          <w:tab w:pos="645" w:val="left" w:leader="none"/>
          <w:tab w:pos="646" w:val="left" w:leader="none"/>
        </w:tabs>
        <w:spacing w:line="232" w:lineRule="auto" w:before="110" w:after="0"/>
        <w:ind w:left="165" w:right="138" w:firstLine="0"/>
        <w:jc w:val="left"/>
        <w:rPr>
          <w:sz w:val="18"/>
        </w:rPr>
      </w:pPr>
      <w:r>
        <w:rPr>
          <w:color w:val="231F20"/>
          <w:sz w:val="18"/>
        </w:rPr>
        <w:t>Economic conditions in Japan had continued to deteriorate. GDP had fallen by 0.7% in Q3 and by 3.6% on a year earlier; however, growth in 1997 had been revised up. In October, retail sales had fallen 4.8% on a year before, and the unemployment </w:t>
      </w:r>
      <w:r>
        <w:rPr>
          <w:color w:val="231F20"/>
          <w:spacing w:val="-5"/>
          <w:sz w:val="18"/>
        </w:rPr>
        <w:t>rate </w:t>
      </w:r>
      <w:r>
        <w:rPr>
          <w:color w:val="231F20"/>
          <w:sz w:val="18"/>
        </w:rPr>
        <w:t>had remained at 4.3%. Reflecting this deteriorating situation, the Japanese government had announced in November a further fiscal package to stimulate domestic demand, reported to include</w:t>
      </w:r>
    </w:p>
    <w:p>
      <w:pPr>
        <w:pStyle w:val="BodyText"/>
        <w:spacing w:line="232" w:lineRule="auto"/>
        <w:ind w:left="165" w:right="130"/>
      </w:pPr>
      <w:r>
        <w:rPr>
          <w:color w:val="231F20"/>
        </w:rPr>
        <w:t>¥18 trillion (3.6% of GDP) of extra spending and ¥6 trillion (1.2% of GDP) in tax cuts.</w:t>
      </w:r>
    </w:p>
    <w:p>
      <w:pPr>
        <w:pStyle w:val="BodyText"/>
        <w:spacing w:before="8"/>
        <w:rPr>
          <w:sz w:val="16"/>
        </w:rPr>
      </w:pPr>
    </w:p>
    <w:p>
      <w:pPr>
        <w:pStyle w:val="ListParagraph"/>
        <w:numPr>
          <w:ilvl w:val="0"/>
          <w:numId w:val="43"/>
        </w:numPr>
        <w:tabs>
          <w:tab w:pos="645" w:val="left" w:leader="none"/>
          <w:tab w:pos="646" w:val="left" w:leader="none"/>
        </w:tabs>
        <w:spacing w:line="232" w:lineRule="auto" w:before="1" w:after="0"/>
        <w:ind w:left="165" w:right="57" w:firstLine="0"/>
        <w:jc w:val="left"/>
        <w:rPr>
          <w:sz w:val="18"/>
        </w:rPr>
      </w:pPr>
      <w:r>
        <w:rPr>
          <w:color w:val="231F20"/>
          <w:sz w:val="18"/>
        </w:rPr>
        <w:t>In Europe, German GDP had increased by 0.9% in Q3 </w:t>
      </w:r>
      <w:r>
        <w:rPr>
          <w:color w:val="231F20"/>
          <w:spacing w:val="-4"/>
          <w:sz w:val="18"/>
        </w:rPr>
        <w:t>(2.7% </w:t>
      </w:r>
      <w:r>
        <w:rPr>
          <w:color w:val="231F20"/>
          <w:sz w:val="18"/>
        </w:rPr>
        <w:t>on a year before), and French GDP was up by 0.5% (2.8% on a year before). In both countries import growth had slowed. Survey data for the prospective euro area indicated that, between September and October, industrial confidence had fallen from a balance of -2 to -5, while the balance for consumer confidence had picked up from -5 to -3. Average inflation had remained subdued in October, at 1.0%.</w:t>
      </w:r>
    </w:p>
    <w:p>
      <w:pPr>
        <w:pStyle w:val="BodyText"/>
        <w:spacing w:before="4"/>
        <w:rPr>
          <w:sz w:val="21"/>
        </w:rPr>
      </w:pPr>
      <w:r>
        <w:rPr/>
        <w:br w:type="column"/>
      </w:r>
      <w:r>
        <w:rPr>
          <w:sz w:val="21"/>
        </w:rPr>
      </w:r>
    </w:p>
    <w:p>
      <w:pPr>
        <w:pStyle w:val="ListParagraph"/>
        <w:numPr>
          <w:ilvl w:val="0"/>
          <w:numId w:val="43"/>
        </w:numPr>
        <w:tabs>
          <w:tab w:pos="645" w:val="left" w:leader="none"/>
          <w:tab w:pos="646" w:val="left" w:leader="none"/>
        </w:tabs>
        <w:spacing w:line="232" w:lineRule="auto" w:before="1" w:after="0"/>
        <w:ind w:left="165" w:right="253" w:firstLine="0"/>
        <w:jc w:val="left"/>
        <w:rPr>
          <w:sz w:val="18"/>
        </w:rPr>
      </w:pPr>
      <w:r>
        <w:rPr>
          <w:color w:val="231F20"/>
          <w:sz w:val="18"/>
        </w:rPr>
        <w:t>In contrast, activity in the United States had generally </w:t>
      </w:r>
      <w:r>
        <w:rPr>
          <w:color w:val="231F20"/>
          <w:spacing w:val="-3"/>
          <w:sz w:val="18"/>
        </w:rPr>
        <w:t>turned </w:t>
      </w:r>
      <w:r>
        <w:rPr>
          <w:color w:val="231F20"/>
          <w:sz w:val="18"/>
        </w:rPr>
        <w:t>out to be stronger than expected. The second estimate of Q3 GDP had shown a rise of 1.0% on a quarter ago (revised up from 0.8%). In October, annual M2 money growth had increased to 8.5%, up from 7.9% in September, and retail sales were 5.7% higher than a year ago. In November, non-farm payrolls had increased by 267,000, well above the average monthly rise of 189,000 in</w:t>
      </w:r>
    </w:p>
    <w:p>
      <w:pPr>
        <w:pStyle w:val="BodyText"/>
        <w:spacing w:line="232" w:lineRule="auto"/>
        <w:ind w:left="165" w:right="276"/>
      </w:pPr>
      <w:r>
        <w:rPr>
          <w:color w:val="231F20"/>
        </w:rPr>
        <w:t>June-October, and the Conference Board Index of consumer confidence had increased to 126.0, from 119.3 in October. However, annual average hourly wage growth had fallen from 3.8% in October to 3.7% in November, and the twelve-month growth in industrial production had fallen to 2.1% in October—the lowest annual growth rate since the 1991 recession.</w:t>
      </w:r>
    </w:p>
    <w:p>
      <w:pPr>
        <w:pStyle w:val="BodyText"/>
        <w:spacing w:before="5"/>
        <w:rPr>
          <w:sz w:val="16"/>
        </w:rPr>
      </w:pPr>
    </w:p>
    <w:p>
      <w:pPr>
        <w:pStyle w:val="ListParagraph"/>
        <w:numPr>
          <w:ilvl w:val="0"/>
          <w:numId w:val="43"/>
        </w:numPr>
        <w:tabs>
          <w:tab w:pos="645" w:val="left" w:leader="none"/>
          <w:tab w:pos="646" w:val="left" w:leader="none"/>
        </w:tabs>
        <w:spacing w:line="232" w:lineRule="auto" w:before="1" w:after="0"/>
        <w:ind w:left="165" w:right="243" w:firstLine="0"/>
        <w:jc w:val="left"/>
        <w:rPr>
          <w:sz w:val="18"/>
        </w:rPr>
      </w:pPr>
      <w:r>
        <w:rPr>
          <w:color w:val="231F20"/>
          <w:sz w:val="18"/>
        </w:rPr>
        <w:t>The O</w:t>
      </w:r>
      <w:r>
        <w:rPr>
          <w:color w:val="231F20"/>
          <w:sz w:val="14"/>
        </w:rPr>
        <w:t>ECD</w:t>
      </w:r>
      <w:r>
        <w:rPr>
          <w:color w:val="231F20"/>
          <w:sz w:val="18"/>
        </w:rPr>
        <w:t>, World Bank, and World Trade Organisation (WTO) had all released new forecasts during the month. In each case projections for world GDP and trade growth in 1998 had been revised down.  World trade growth was expected to slow from 9.5% in 1997 to 5.3% (World Bank), 4.6% (O</w:t>
      </w:r>
      <w:r>
        <w:rPr>
          <w:color w:val="231F20"/>
          <w:sz w:val="14"/>
        </w:rPr>
        <w:t>ECD</w:t>
      </w:r>
      <w:r>
        <w:rPr>
          <w:color w:val="231F20"/>
          <w:sz w:val="18"/>
        </w:rPr>
        <w:t>), and 4.5% (WTO). Thereafter trade growth was expected to increase. Other forecasters had also revised down output growth projections. Bank staff had used UK export trade shares to weight together the 1999 GDP growth forecasts, compiled by Consensus Economics Inc., </w:t>
      </w:r>
      <w:r>
        <w:rPr>
          <w:color w:val="231F20"/>
          <w:spacing w:val="-5"/>
          <w:sz w:val="18"/>
        </w:rPr>
        <w:t>for </w:t>
      </w:r>
      <w:r>
        <w:rPr>
          <w:color w:val="231F20"/>
          <w:sz w:val="18"/>
        </w:rPr>
        <w:t>the major six (M6) economies (US, Japan, Germany, France, Italy and Canada). This forecast indicator of M6 GDP growth had </w:t>
      </w:r>
      <w:r>
        <w:rPr>
          <w:color w:val="231F20"/>
          <w:spacing w:val="-3"/>
          <w:sz w:val="18"/>
        </w:rPr>
        <w:t>fallen </w:t>
      </w:r>
      <w:r>
        <w:rPr>
          <w:color w:val="231F20"/>
          <w:sz w:val="18"/>
        </w:rPr>
        <w:t>from 2.4% in July to 1.9% in November. On the same basis, consensus forecasts for M6 CPI inflation in 1999 had been revised down from 1.6% to 1.3%.</w:t>
      </w:r>
    </w:p>
    <w:p>
      <w:pPr>
        <w:pStyle w:val="BodyText"/>
        <w:spacing w:before="8"/>
        <w:rPr>
          <w:sz w:val="19"/>
        </w:rPr>
      </w:pPr>
    </w:p>
    <w:p>
      <w:pPr>
        <w:pStyle w:val="Heading6"/>
        <w:numPr>
          <w:ilvl w:val="0"/>
          <w:numId w:val="44"/>
        </w:numPr>
        <w:tabs>
          <w:tab w:pos="645" w:val="left" w:leader="none"/>
          <w:tab w:pos="646" w:val="left" w:leader="none"/>
        </w:tabs>
        <w:spacing w:line="240" w:lineRule="auto" w:before="0" w:after="0"/>
        <w:ind w:left="645" w:right="0" w:hanging="481"/>
        <w:jc w:val="left"/>
      </w:pPr>
      <w:r>
        <w:rPr>
          <w:color w:val="009483"/>
        </w:rPr>
        <w:t>Labour</w:t>
      </w:r>
      <w:r>
        <w:rPr>
          <w:color w:val="009483"/>
          <w:spacing w:val="-1"/>
        </w:rPr>
        <w:t> </w:t>
      </w:r>
      <w:r>
        <w:rPr>
          <w:color w:val="009483"/>
        </w:rPr>
        <w:t>market</w:t>
      </w:r>
    </w:p>
    <w:p>
      <w:pPr>
        <w:pStyle w:val="ListParagraph"/>
        <w:numPr>
          <w:ilvl w:val="0"/>
          <w:numId w:val="43"/>
        </w:numPr>
        <w:tabs>
          <w:tab w:pos="645" w:val="left" w:leader="none"/>
          <w:tab w:pos="646" w:val="left" w:leader="none"/>
        </w:tabs>
        <w:spacing w:line="232" w:lineRule="auto" w:before="109" w:after="0"/>
        <w:ind w:left="165" w:right="218" w:firstLine="0"/>
        <w:jc w:val="left"/>
        <w:rPr>
          <w:sz w:val="18"/>
        </w:rPr>
      </w:pPr>
      <w:r>
        <w:rPr>
          <w:color w:val="231F20"/>
          <w:sz w:val="18"/>
        </w:rPr>
        <w:t>Labour Force Survey (LFS) employment had grown by 124,000 (0.5%) in the three months to September, compared with the previous three months. This rise was concentrated in full-time employee positions: full-time employment had increased by 158,000, and the number of employees by 199,000 (0.8%). In contrast, the number of self-employed workers had fallen by </w:t>
      </w:r>
      <w:r>
        <w:rPr>
          <w:color w:val="231F20"/>
          <w:spacing w:val="-3"/>
          <w:sz w:val="18"/>
        </w:rPr>
        <w:t>79,000 </w:t>
      </w:r>
      <w:r>
        <w:rPr>
          <w:color w:val="231F20"/>
          <w:sz w:val="18"/>
        </w:rPr>
        <w:t>(2.4%), and part-time employment dropped by 34,000. Total hours worked were only 0.1% higher over the quarter, implying that hours per head had fallen by 0.4%.</w:t>
      </w:r>
    </w:p>
    <w:p>
      <w:pPr>
        <w:pStyle w:val="BodyText"/>
        <w:spacing w:before="9"/>
        <w:rPr>
          <w:sz w:val="16"/>
        </w:rPr>
      </w:pPr>
    </w:p>
    <w:p>
      <w:pPr>
        <w:pStyle w:val="ListParagraph"/>
        <w:numPr>
          <w:ilvl w:val="0"/>
          <w:numId w:val="43"/>
        </w:numPr>
        <w:tabs>
          <w:tab w:pos="645" w:val="left" w:leader="none"/>
          <w:tab w:pos="646" w:val="left" w:leader="none"/>
        </w:tabs>
        <w:spacing w:line="232" w:lineRule="auto" w:before="0" w:after="0"/>
        <w:ind w:left="165" w:right="223" w:firstLine="0"/>
        <w:jc w:val="left"/>
        <w:rPr>
          <w:sz w:val="18"/>
        </w:rPr>
      </w:pPr>
      <w:r>
        <w:rPr>
          <w:color w:val="231F20"/>
          <w:sz w:val="18"/>
        </w:rPr>
        <w:t>Business surveys had suggested a weaker employment picture than the LFS data. The composite C</w:t>
      </w:r>
      <w:r>
        <w:rPr>
          <w:color w:val="231F20"/>
          <w:sz w:val="14"/>
        </w:rPr>
        <w:t>IPS </w:t>
      </w:r>
      <w:r>
        <w:rPr>
          <w:color w:val="231F20"/>
          <w:sz w:val="18"/>
        </w:rPr>
        <w:t>measure of employment had shown a sharp deterioration in job growth through 1998 Q3, with the survey indicating falls in overall private sector employment in October and November. At the sectoral level, the C</w:t>
      </w:r>
      <w:r>
        <w:rPr>
          <w:color w:val="231F20"/>
          <w:sz w:val="14"/>
        </w:rPr>
        <w:t>IPS </w:t>
      </w:r>
      <w:r>
        <w:rPr>
          <w:color w:val="231F20"/>
          <w:sz w:val="18"/>
        </w:rPr>
        <w:t>November survey reported that manufacturing employment had continued to decline sharply, and that construction employment was now starting to fall, whereas services employment had continued to expand, albeit at a markedly slower rate. This sectoral picture had been broadly corroborated by the reports of the Bank’s regional Agents. The Federation of Recruitment and Employment Services (F</w:t>
      </w:r>
      <w:r>
        <w:rPr>
          <w:color w:val="231F20"/>
          <w:sz w:val="14"/>
        </w:rPr>
        <w:t>RES</w:t>
      </w:r>
      <w:r>
        <w:rPr>
          <w:color w:val="231F20"/>
          <w:sz w:val="18"/>
        </w:rPr>
        <w:t>) report had shown a modest decline in permanent recruitment business in November, whereas temporary postings </w:t>
      </w:r>
      <w:r>
        <w:rPr>
          <w:color w:val="231F20"/>
          <w:spacing w:val="-6"/>
          <w:sz w:val="18"/>
        </w:rPr>
        <w:t>had </w:t>
      </w:r>
      <w:r>
        <w:rPr>
          <w:color w:val="231F20"/>
          <w:sz w:val="18"/>
        </w:rPr>
        <w:t>still been rising, although at a slightly slower rate. It also reported that the availability of staff to take up positions had improved in November.</w:t>
      </w:r>
    </w:p>
    <w:p>
      <w:pPr>
        <w:pStyle w:val="BodyText"/>
        <w:spacing w:before="4"/>
        <w:rPr>
          <w:sz w:val="16"/>
        </w:rPr>
      </w:pPr>
    </w:p>
    <w:p>
      <w:pPr>
        <w:pStyle w:val="ListParagraph"/>
        <w:numPr>
          <w:ilvl w:val="0"/>
          <w:numId w:val="43"/>
        </w:numPr>
        <w:tabs>
          <w:tab w:pos="645" w:val="left" w:leader="none"/>
          <w:tab w:pos="646" w:val="left" w:leader="none"/>
        </w:tabs>
        <w:spacing w:line="232" w:lineRule="auto" w:before="0" w:after="0"/>
        <w:ind w:left="165" w:right="224" w:firstLine="0"/>
        <w:jc w:val="left"/>
        <w:rPr>
          <w:sz w:val="18"/>
        </w:rPr>
      </w:pPr>
      <w:r>
        <w:rPr>
          <w:color w:val="231F20"/>
          <w:sz w:val="18"/>
        </w:rPr>
        <w:t>Vacancies at job centres had remained at historically high levels. Notifications of new vacancies had increased by 14,000 in October, and the stock of unfilled vacancies had risen by 10,000 to a record level. However, the government’s initiative for job </w:t>
      </w:r>
      <w:r>
        <w:rPr>
          <w:color w:val="231F20"/>
          <w:spacing w:val="-3"/>
          <w:sz w:val="18"/>
        </w:rPr>
        <w:t>centres </w:t>
      </w:r>
      <w:r>
        <w:rPr>
          <w:color w:val="231F20"/>
          <w:sz w:val="18"/>
        </w:rPr>
        <w:t>to improve the marketing of their services, including the introduction of Saturday opening, may have partly explained these high levels. National press advertising had also been buoyant, but had shown signs of flattening off in recent months.</w:t>
      </w:r>
    </w:p>
    <w:p>
      <w:pPr>
        <w:pStyle w:val="BodyText"/>
        <w:spacing w:before="10"/>
        <w:rPr>
          <w:sz w:val="16"/>
        </w:rPr>
      </w:pPr>
    </w:p>
    <w:p>
      <w:pPr>
        <w:pStyle w:val="ListParagraph"/>
        <w:numPr>
          <w:ilvl w:val="0"/>
          <w:numId w:val="43"/>
        </w:numPr>
        <w:tabs>
          <w:tab w:pos="645" w:val="left" w:leader="none"/>
          <w:tab w:pos="646" w:val="left" w:leader="none"/>
        </w:tabs>
        <w:spacing w:line="232" w:lineRule="auto" w:before="0" w:after="0"/>
        <w:ind w:left="165" w:right="428" w:firstLine="0"/>
        <w:jc w:val="left"/>
        <w:rPr>
          <w:sz w:val="18"/>
        </w:rPr>
      </w:pPr>
      <w:r>
        <w:rPr>
          <w:color w:val="231F20"/>
          <w:sz w:val="18"/>
        </w:rPr>
        <w:t>LFS unemployment had increased by 3,000 in the three months to September, compared with the previous three months. Short-term unemployment (duration under twelve months) had increased by 44,000, but this had been almost entirely offset by </w:t>
      </w:r>
      <w:r>
        <w:rPr>
          <w:color w:val="231F20"/>
          <w:spacing w:val="-17"/>
          <w:sz w:val="18"/>
        </w:rPr>
        <w:t>a </w:t>
      </w:r>
      <w:r>
        <w:rPr>
          <w:color w:val="231F20"/>
          <w:sz w:val="18"/>
        </w:rPr>
        <w:t>decline in the numbers unemployed for more than one year. The</w:t>
      </w:r>
    </w:p>
    <w:p>
      <w:pPr>
        <w:spacing w:after="0" w:line="232" w:lineRule="auto"/>
        <w:jc w:val="left"/>
        <w:rPr>
          <w:sz w:val="18"/>
        </w:rPr>
        <w:sectPr>
          <w:type w:val="continuous"/>
          <w:pgSz w:w="11900" w:h="16840"/>
          <w:pgMar w:top="1220" w:bottom="280" w:left="640" w:right="600"/>
          <w:cols w:num="2" w:equalWidth="0">
            <w:col w:w="5100" w:space="280"/>
            <w:col w:w="5280"/>
          </w:cols>
        </w:sectPr>
      </w:pPr>
    </w:p>
    <w:p>
      <w:pPr>
        <w:pStyle w:val="BodyText"/>
        <w:rPr>
          <w:sz w:val="20"/>
        </w:rPr>
      </w:pPr>
    </w:p>
    <w:p>
      <w:pPr>
        <w:spacing w:after="0"/>
        <w:rPr>
          <w:sz w:val="20"/>
        </w:rPr>
        <w:sectPr>
          <w:pgSz w:w="11900" w:h="16840"/>
          <w:pgMar w:header="566" w:footer="597" w:top="760" w:bottom="780" w:left="640" w:right="600"/>
        </w:sectPr>
      </w:pPr>
    </w:p>
    <w:p>
      <w:pPr>
        <w:pStyle w:val="BodyText"/>
        <w:spacing w:before="7"/>
        <w:rPr>
          <w:sz w:val="19"/>
        </w:rPr>
      </w:pPr>
    </w:p>
    <w:p>
      <w:pPr>
        <w:pStyle w:val="BodyText"/>
        <w:spacing w:line="232" w:lineRule="auto" w:before="1"/>
        <w:ind w:left="160"/>
      </w:pPr>
      <w:r>
        <w:rPr>
          <w:color w:val="231F20"/>
        </w:rPr>
        <w:t>LFS unemployment rate had been unchanged at 6.2%. LFS figures showed that there had been a fall of 87,000 in the number of economically inactive people in the three months to September, which contrasted with the increases that had been recorded in the first half of the year.</w:t>
      </w:r>
    </w:p>
    <w:p>
      <w:pPr>
        <w:pStyle w:val="BodyText"/>
        <w:rPr>
          <w:sz w:val="17"/>
        </w:rPr>
      </w:pPr>
    </w:p>
    <w:p>
      <w:pPr>
        <w:pStyle w:val="ListParagraph"/>
        <w:numPr>
          <w:ilvl w:val="0"/>
          <w:numId w:val="43"/>
        </w:numPr>
        <w:tabs>
          <w:tab w:pos="639" w:val="left" w:leader="none"/>
          <w:tab w:pos="641" w:val="left" w:leader="none"/>
        </w:tabs>
        <w:spacing w:line="232" w:lineRule="auto" w:before="0" w:after="0"/>
        <w:ind w:left="160" w:right="72" w:firstLine="0"/>
        <w:jc w:val="left"/>
        <w:rPr>
          <w:sz w:val="18"/>
        </w:rPr>
      </w:pPr>
      <w:r>
        <w:rPr>
          <w:color w:val="231F20"/>
          <w:sz w:val="18"/>
        </w:rPr>
        <w:t>Claimant-count unemployment had risen by 7,000 in October, following a revised fall of 4,100 in September. October’s data had possibly been affected by seasonal adjustment problems following the introduction of the Jobseeker’s Allowance, offsetting the distortion to July’s figures. Taking this into account, the trend for falling unemployment had probably continued. Evidence had started to emerge of an impact from the New Deal, as participants had left the Gateway. There was no firm indication that increased redundancies had yet affected the claimant count. Inflow rates to the count remained low by historic standards, while LFS data suggested that redundancies during summer 1998 had been at similar levels to the previous two years.</w:t>
      </w:r>
    </w:p>
    <w:p>
      <w:pPr>
        <w:pStyle w:val="BodyText"/>
        <w:spacing w:before="4"/>
      </w:pPr>
    </w:p>
    <w:p>
      <w:pPr>
        <w:pStyle w:val="ListParagraph"/>
        <w:numPr>
          <w:ilvl w:val="0"/>
          <w:numId w:val="43"/>
        </w:numPr>
        <w:tabs>
          <w:tab w:pos="639" w:val="left" w:leader="none"/>
          <w:tab w:pos="641" w:val="left" w:leader="none"/>
        </w:tabs>
        <w:spacing w:line="232" w:lineRule="auto" w:before="0" w:after="0"/>
        <w:ind w:left="160" w:right="142" w:firstLine="0"/>
        <w:jc w:val="left"/>
        <w:rPr>
          <w:sz w:val="18"/>
        </w:rPr>
      </w:pPr>
      <w:r>
        <w:rPr>
          <w:color w:val="231F20"/>
          <w:sz w:val="18"/>
        </w:rPr>
        <w:t>Turning to skill shortages, the Bank’s regional Agents had reported some easing of recruitment difficulties, though the level had remained higher than normal, and regional and industrial variations persisted. Sectoral surveys generally supported this picture. As well as the CBI manufacturing survey and the British Chambers of Commerce (BCC) surveys reported a month ago, </w:t>
      </w:r>
      <w:r>
        <w:rPr>
          <w:color w:val="231F20"/>
          <w:spacing w:val="-6"/>
          <w:sz w:val="18"/>
        </w:rPr>
        <w:t>the </w:t>
      </w:r>
      <w:r>
        <w:rPr>
          <w:color w:val="231F20"/>
          <w:sz w:val="18"/>
        </w:rPr>
        <w:t>CBI/Price Waterhouse survey had also found some easing in recruitment difficulties in Q3. However, skills shortages in construction had continued to rise, according to the Confederation of Master Builders survey, and Reed Personnel Services had also reported more severe skill shortages.</w:t>
      </w:r>
    </w:p>
    <w:p>
      <w:pPr>
        <w:pStyle w:val="BodyText"/>
        <w:spacing w:before="7"/>
        <w:rPr>
          <w:sz w:val="16"/>
        </w:rPr>
      </w:pPr>
    </w:p>
    <w:p>
      <w:pPr>
        <w:pStyle w:val="ListParagraph"/>
        <w:numPr>
          <w:ilvl w:val="0"/>
          <w:numId w:val="43"/>
        </w:numPr>
        <w:tabs>
          <w:tab w:pos="639" w:val="left" w:leader="none"/>
          <w:tab w:pos="641" w:val="left" w:leader="none"/>
        </w:tabs>
        <w:spacing w:line="232" w:lineRule="auto" w:before="0" w:after="0"/>
        <w:ind w:left="160" w:right="48" w:firstLine="0"/>
        <w:jc w:val="left"/>
        <w:rPr>
          <w:sz w:val="18"/>
        </w:rPr>
      </w:pPr>
      <w:r>
        <w:rPr>
          <w:color w:val="231F20"/>
          <w:sz w:val="18"/>
        </w:rPr>
        <w:t>The rebased earnings data had been suspended by the Office for National Statistics (ONS) on 2 November, and were the subject of an independent review. In October, the Bank’s measure of the whole-economy employment-weighted mean wage settlement (twelve-month moving average) had remained at 3.7% for the sixth consecutive month. Private sector settlements had been unchanged at 4.0% in October, and public settlements at 3.3%. Using a matched sample (ie only including firms where data are available for both years), the mean settlement had increased to an annual </w:t>
      </w:r>
      <w:r>
        <w:rPr>
          <w:color w:val="231F20"/>
          <w:spacing w:val="-4"/>
          <w:sz w:val="18"/>
        </w:rPr>
        <w:t>rate </w:t>
      </w:r>
      <w:r>
        <w:rPr>
          <w:color w:val="231F20"/>
          <w:sz w:val="18"/>
        </w:rPr>
        <w:t>of 3.8% for the four months to October 1998, from 3.4% one year earlier, similar to the pattern in the whole-economy twelve-month measure. Other evidence suggested that broader earnings pressures may have moderated; the Reward Index of earnings growth had declined to 5.0% in October, from 5.4% in June, and the Bank’s regional Agents had reported falls in overtime and hours worked, which would lower wage drift.</w:t>
      </w:r>
    </w:p>
    <w:p>
      <w:pPr>
        <w:pStyle w:val="BodyText"/>
        <w:spacing w:before="7"/>
        <w:rPr>
          <w:sz w:val="19"/>
        </w:rPr>
      </w:pPr>
    </w:p>
    <w:p>
      <w:pPr>
        <w:pStyle w:val="Heading6"/>
        <w:numPr>
          <w:ilvl w:val="0"/>
          <w:numId w:val="44"/>
        </w:numPr>
        <w:tabs>
          <w:tab w:pos="639" w:val="left" w:leader="none"/>
          <w:tab w:pos="641" w:val="left" w:leader="none"/>
        </w:tabs>
        <w:spacing w:line="240" w:lineRule="auto" w:before="0" w:after="0"/>
        <w:ind w:left="640" w:right="0" w:hanging="481"/>
        <w:jc w:val="left"/>
      </w:pPr>
      <w:r>
        <w:rPr>
          <w:color w:val="009483"/>
        </w:rPr>
        <w:t>Prices</w:t>
      </w:r>
    </w:p>
    <w:p>
      <w:pPr>
        <w:pStyle w:val="ListParagraph"/>
        <w:numPr>
          <w:ilvl w:val="0"/>
          <w:numId w:val="43"/>
        </w:numPr>
        <w:tabs>
          <w:tab w:pos="639" w:val="left" w:leader="none"/>
          <w:tab w:pos="641" w:val="left" w:leader="none"/>
        </w:tabs>
        <w:spacing w:line="232" w:lineRule="auto" w:before="110" w:after="0"/>
        <w:ind w:left="160" w:right="288" w:firstLine="0"/>
        <w:jc w:val="left"/>
        <w:rPr>
          <w:sz w:val="18"/>
        </w:rPr>
      </w:pPr>
      <w:r>
        <w:rPr>
          <w:color w:val="231F20"/>
          <w:sz w:val="18"/>
        </w:rPr>
        <w:t>Commodity prices had fallen again: the Bank’s sterling oil-inclusive index had fallen by 15.9% since October 1997, the sharpest annual deflation rate recorded since the index started </w:t>
      </w:r>
      <w:r>
        <w:rPr>
          <w:color w:val="231F20"/>
          <w:spacing w:val="-9"/>
          <w:sz w:val="18"/>
        </w:rPr>
        <w:t>in</w:t>
      </w:r>
    </w:p>
    <w:p>
      <w:pPr>
        <w:pStyle w:val="BodyText"/>
        <w:spacing w:line="232" w:lineRule="auto"/>
        <w:ind w:left="160"/>
      </w:pPr>
      <w:r>
        <w:rPr>
          <w:color w:val="231F20"/>
        </w:rPr>
        <w:t>January 1992. Excluding oil, the Bank’s index had fallen by 8.7%. This was broadly in line with the </w:t>
      </w:r>
      <w:r>
        <w:rPr>
          <w:i/>
          <w:color w:val="231F20"/>
        </w:rPr>
        <w:t>Economist </w:t>
      </w:r>
      <w:r>
        <w:rPr>
          <w:color w:val="231F20"/>
        </w:rPr>
        <w:t>Index in October (in both sterling and dollar terms) which showed that prices had fallen by 16.1% and 17.5% respectively. The one-month future price of Brent crude had declined by nearly 20% during November, and </w:t>
      </w:r>
      <w:r>
        <w:rPr>
          <w:color w:val="231F20"/>
          <w:spacing w:val="-6"/>
        </w:rPr>
        <w:t>had </w:t>
      </w:r>
      <w:r>
        <w:rPr>
          <w:color w:val="231F20"/>
        </w:rPr>
        <w:t>reached $9.98 per barrel at the close of business on 9 December.</w:t>
      </w:r>
    </w:p>
    <w:p>
      <w:pPr>
        <w:pStyle w:val="BodyText"/>
        <w:spacing w:line="232" w:lineRule="auto"/>
        <w:ind w:left="160" w:right="261"/>
      </w:pPr>
      <w:r>
        <w:rPr>
          <w:color w:val="231F20"/>
        </w:rPr>
        <w:t>However, RPI petrol prices were unlikely to fall by the same percentage amount, because of the effects of taxes, excise duties and the potential for retailers to widen their margins.</w:t>
      </w:r>
    </w:p>
    <w:p>
      <w:pPr>
        <w:pStyle w:val="BodyText"/>
        <w:spacing w:before="6"/>
        <w:rPr>
          <w:sz w:val="16"/>
        </w:rPr>
      </w:pPr>
    </w:p>
    <w:p>
      <w:pPr>
        <w:pStyle w:val="ListParagraph"/>
        <w:numPr>
          <w:ilvl w:val="0"/>
          <w:numId w:val="43"/>
        </w:numPr>
        <w:tabs>
          <w:tab w:pos="639" w:val="left" w:leader="none"/>
          <w:tab w:pos="641" w:val="left" w:leader="none"/>
        </w:tabs>
        <w:spacing w:line="232" w:lineRule="auto" w:before="0" w:after="0"/>
        <w:ind w:left="160" w:right="282" w:firstLine="0"/>
        <w:jc w:val="left"/>
        <w:rPr>
          <w:sz w:val="18"/>
        </w:rPr>
      </w:pPr>
      <w:r>
        <w:rPr>
          <w:color w:val="231F20"/>
          <w:sz w:val="18"/>
        </w:rPr>
        <w:t>Producer prices had also remained weak: annual input price inflation had fallen to -9.8% in October, and annual </w:t>
      </w:r>
      <w:r>
        <w:rPr>
          <w:color w:val="231F20"/>
          <w:spacing w:val="-3"/>
          <w:sz w:val="18"/>
        </w:rPr>
        <w:t>output </w:t>
      </w:r>
      <w:r>
        <w:rPr>
          <w:color w:val="231F20"/>
          <w:sz w:val="18"/>
        </w:rPr>
        <w:t>price inflation, excluding taxes, had reached -0.7%—its lowest</w:t>
      </w:r>
    </w:p>
    <w:p>
      <w:pPr>
        <w:pStyle w:val="BodyText"/>
        <w:spacing w:line="232" w:lineRule="auto"/>
        <w:ind w:left="160"/>
      </w:pPr>
      <w:r>
        <w:rPr>
          <w:color w:val="231F20"/>
        </w:rPr>
        <w:t>rate on record. Surveys had suggested that producer price inflation may fall further: both the C</w:t>
      </w:r>
      <w:r>
        <w:rPr>
          <w:color w:val="231F20"/>
          <w:sz w:val="14"/>
        </w:rPr>
        <w:t>IPS </w:t>
      </w:r>
      <w:r>
        <w:rPr>
          <w:color w:val="231F20"/>
        </w:rPr>
        <w:t>indicator of manufacturing</w:t>
      </w:r>
    </w:p>
    <w:p>
      <w:pPr>
        <w:pStyle w:val="BodyText"/>
        <w:spacing w:line="232" w:lineRule="auto"/>
        <w:ind w:left="160" w:right="110"/>
      </w:pPr>
      <w:r>
        <w:rPr>
          <w:color w:val="231F20"/>
        </w:rPr>
        <w:t>input prices and the CBI series of output prices reached all-time lows in November. Annual trade price inflation had remained negative, with export prices to the world unchanged in September, and import prices 0.7% lower (the corresponding figures for</w:t>
      </w:r>
    </w:p>
    <w:p>
      <w:pPr>
        <w:pStyle w:val="BodyText"/>
        <w:spacing w:before="7"/>
        <w:rPr>
          <w:sz w:val="19"/>
        </w:rPr>
      </w:pPr>
      <w:r>
        <w:rPr/>
        <w:br w:type="column"/>
      </w:r>
      <w:r>
        <w:rPr>
          <w:sz w:val="19"/>
        </w:rPr>
      </w:r>
    </w:p>
    <w:p>
      <w:pPr>
        <w:pStyle w:val="BodyText"/>
        <w:spacing w:line="232" w:lineRule="auto" w:before="1"/>
        <w:ind w:left="160" w:right="1171"/>
      </w:pPr>
      <w:r>
        <w:rPr>
          <w:color w:val="231F20"/>
        </w:rPr>
        <w:t>non-EU trade prices in October were -1.1% and -0.7% respectively).</w:t>
      </w:r>
    </w:p>
    <w:p>
      <w:pPr>
        <w:pStyle w:val="BodyText"/>
        <w:spacing w:before="2"/>
        <w:rPr>
          <w:sz w:val="17"/>
        </w:rPr>
      </w:pPr>
    </w:p>
    <w:p>
      <w:pPr>
        <w:pStyle w:val="ListParagraph"/>
        <w:numPr>
          <w:ilvl w:val="0"/>
          <w:numId w:val="43"/>
        </w:numPr>
        <w:tabs>
          <w:tab w:pos="639" w:val="left" w:leader="none"/>
          <w:tab w:pos="641" w:val="left" w:leader="none"/>
        </w:tabs>
        <w:spacing w:line="232" w:lineRule="auto" w:before="1" w:after="0"/>
        <w:ind w:left="160" w:right="429" w:firstLine="0"/>
        <w:jc w:val="left"/>
        <w:rPr>
          <w:sz w:val="18"/>
        </w:rPr>
      </w:pPr>
      <w:r>
        <w:rPr>
          <w:color w:val="231F20"/>
          <w:sz w:val="18"/>
        </w:rPr>
        <w:t>Other measures of inflation had also fallen since the November MPC meeting. Annual inflation, as measured by the retail sales deflator, had fallen to 0.7% in October, its lowest </w:t>
      </w:r>
      <w:r>
        <w:rPr>
          <w:color w:val="231F20"/>
          <w:spacing w:val="-5"/>
          <w:sz w:val="18"/>
        </w:rPr>
        <w:t>rate </w:t>
      </w:r>
      <w:r>
        <w:rPr>
          <w:color w:val="231F20"/>
          <w:sz w:val="18"/>
        </w:rPr>
        <w:t>since May 1997. And the annual inflation rate of harmonised consumer prices had fallen by 0.2 percentage points to 1.3%, equalling its lowest rate on record. The GDP deflator had only increased by 1.8% in the year to the third quarter.</w:t>
      </w:r>
    </w:p>
    <w:p>
      <w:pPr>
        <w:pStyle w:val="BodyText"/>
        <w:spacing w:before="4"/>
        <w:rPr>
          <w:sz w:val="20"/>
        </w:rPr>
      </w:pPr>
    </w:p>
    <w:p>
      <w:pPr>
        <w:pStyle w:val="ListParagraph"/>
        <w:numPr>
          <w:ilvl w:val="0"/>
          <w:numId w:val="43"/>
        </w:numPr>
        <w:tabs>
          <w:tab w:pos="639" w:val="left" w:leader="none"/>
          <w:tab w:pos="641" w:val="left" w:leader="none"/>
        </w:tabs>
        <w:spacing w:line="232" w:lineRule="auto" w:before="0" w:after="0"/>
        <w:ind w:left="160" w:right="413" w:firstLine="0"/>
        <w:jc w:val="left"/>
        <w:rPr>
          <w:sz w:val="18"/>
        </w:rPr>
      </w:pPr>
      <w:r>
        <w:rPr>
          <w:color w:val="231F20"/>
          <w:sz w:val="18"/>
        </w:rPr>
        <w:t>RPIX inflation had remained at target for the third consecutive month in October. Both RPI and RPIY inflation </w:t>
      </w:r>
      <w:r>
        <w:rPr>
          <w:color w:val="231F20"/>
          <w:spacing w:val="-6"/>
          <w:sz w:val="18"/>
        </w:rPr>
        <w:t>had </w:t>
      </w:r>
      <w:r>
        <w:rPr>
          <w:color w:val="231F20"/>
          <w:sz w:val="18"/>
        </w:rPr>
        <w:t>fallen slightly since September, to 3.1% and 1.8% respectively. RPIY goods inflation had continued to fall, and had become (marginally) negative for the first time in October.</w:t>
      </w:r>
    </w:p>
    <w:p>
      <w:pPr>
        <w:pStyle w:val="BodyText"/>
        <w:spacing w:before="6"/>
        <w:rPr>
          <w:sz w:val="25"/>
        </w:rPr>
      </w:pPr>
    </w:p>
    <w:p>
      <w:pPr>
        <w:pStyle w:val="Heading6"/>
        <w:numPr>
          <w:ilvl w:val="0"/>
          <w:numId w:val="44"/>
        </w:numPr>
        <w:tabs>
          <w:tab w:pos="640" w:val="left" w:leader="none"/>
          <w:tab w:pos="641" w:val="left" w:leader="none"/>
        </w:tabs>
        <w:spacing w:line="240" w:lineRule="auto" w:before="0" w:after="0"/>
        <w:ind w:left="640" w:right="0" w:hanging="481"/>
        <w:jc w:val="left"/>
      </w:pPr>
      <w:r>
        <w:rPr>
          <w:color w:val="009483"/>
        </w:rPr>
        <w:t>Financial</w:t>
      </w:r>
      <w:r>
        <w:rPr>
          <w:color w:val="009483"/>
          <w:spacing w:val="-1"/>
        </w:rPr>
        <w:t> </w:t>
      </w:r>
      <w:r>
        <w:rPr>
          <w:color w:val="009483"/>
        </w:rPr>
        <w:t>markets</w:t>
      </w:r>
    </w:p>
    <w:p>
      <w:pPr>
        <w:spacing w:before="145"/>
        <w:ind w:left="160" w:right="0" w:firstLine="0"/>
        <w:jc w:val="left"/>
        <w:rPr>
          <w:i/>
          <w:sz w:val="18"/>
        </w:rPr>
      </w:pPr>
      <w:r>
        <w:rPr>
          <w:i/>
          <w:color w:val="009483"/>
          <w:sz w:val="18"/>
        </w:rPr>
        <w:t>Foreign exchange</w:t>
      </w:r>
    </w:p>
    <w:p>
      <w:pPr>
        <w:pStyle w:val="ListParagraph"/>
        <w:numPr>
          <w:ilvl w:val="0"/>
          <w:numId w:val="43"/>
        </w:numPr>
        <w:tabs>
          <w:tab w:pos="639" w:val="left" w:leader="none"/>
          <w:tab w:pos="641" w:val="left" w:leader="none"/>
        </w:tabs>
        <w:spacing w:line="232" w:lineRule="auto" w:before="118" w:after="0"/>
        <w:ind w:left="160" w:right="219" w:firstLine="0"/>
        <w:jc w:val="left"/>
        <w:rPr>
          <w:sz w:val="18"/>
        </w:rPr>
      </w:pPr>
      <w:r>
        <w:rPr>
          <w:color w:val="231F20"/>
          <w:sz w:val="18"/>
        </w:rPr>
        <w:t>Sterling and the dollar had strengthened during most of the month, though both had fallen more recently. Developments in Latin America had been an important influence for the dollar. Looking toward the end of the year, a number of contacts suggested that sterling might be volatile around that time, associated with the move from the ecu to the euro, although there was little sign of this yet.</w:t>
      </w:r>
    </w:p>
    <w:p>
      <w:pPr>
        <w:pStyle w:val="BodyText"/>
        <w:spacing w:before="10"/>
        <w:rPr>
          <w:sz w:val="16"/>
        </w:rPr>
      </w:pPr>
    </w:p>
    <w:p>
      <w:pPr>
        <w:pStyle w:val="ListParagraph"/>
        <w:numPr>
          <w:ilvl w:val="0"/>
          <w:numId w:val="43"/>
        </w:numPr>
        <w:tabs>
          <w:tab w:pos="639" w:val="left" w:leader="none"/>
          <w:tab w:pos="641" w:val="left" w:leader="none"/>
        </w:tabs>
        <w:spacing w:line="232" w:lineRule="auto" w:before="0" w:after="0"/>
        <w:ind w:left="160" w:right="674" w:firstLine="0"/>
        <w:jc w:val="left"/>
        <w:rPr>
          <w:sz w:val="18"/>
        </w:rPr>
      </w:pPr>
      <w:r>
        <w:rPr>
          <w:color w:val="231F20"/>
          <w:sz w:val="18"/>
        </w:rPr>
        <w:t>Within Europe, the process of short-term interest rate convergence ahead of the introduction of the euro was </w:t>
      </w:r>
      <w:r>
        <w:rPr>
          <w:color w:val="231F20"/>
          <w:spacing w:val="-3"/>
          <w:sz w:val="18"/>
        </w:rPr>
        <w:t>almost </w:t>
      </w:r>
      <w:r>
        <w:rPr>
          <w:color w:val="231F20"/>
          <w:sz w:val="18"/>
        </w:rPr>
        <w:t>complete. The co-ordinated interest rate cut in Europe on</w:t>
      </w:r>
    </w:p>
    <w:p>
      <w:pPr>
        <w:pStyle w:val="BodyText"/>
        <w:spacing w:line="232" w:lineRule="auto"/>
        <w:ind w:left="160" w:right="251"/>
      </w:pPr>
      <w:r>
        <w:rPr>
          <w:color w:val="231F20"/>
        </w:rPr>
        <w:t>3 December took all prospective euro countries’ short-term interest rates to 3%, except Italy, where the discount rate was reduced to 3.5%.</w:t>
      </w:r>
    </w:p>
    <w:p>
      <w:pPr>
        <w:pStyle w:val="BodyText"/>
        <w:spacing w:before="6"/>
        <w:rPr>
          <w:sz w:val="20"/>
        </w:rPr>
      </w:pPr>
    </w:p>
    <w:p>
      <w:pPr>
        <w:pStyle w:val="ListParagraph"/>
        <w:numPr>
          <w:ilvl w:val="0"/>
          <w:numId w:val="43"/>
        </w:numPr>
        <w:tabs>
          <w:tab w:pos="639" w:val="left" w:leader="none"/>
          <w:tab w:pos="641" w:val="left" w:leader="none"/>
        </w:tabs>
        <w:spacing w:line="232" w:lineRule="auto" w:before="0" w:after="0"/>
        <w:ind w:left="160" w:right="219" w:firstLine="0"/>
        <w:jc w:val="left"/>
        <w:rPr>
          <w:sz w:val="18"/>
        </w:rPr>
      </w:pPr>
      <w:r>
        <w:rPr>
          <w:color w:val="231F20"/>
          <w:sz w:val="18"/>
        </w:rPr>
        <w:t>The sterling ERI had appreciated by 0.3% during the month, to 99.6 on 9 December. It was little changed against the dollar and Deutsche Mark at $1.66 and DM 2.77 respectively. While some of the news during the month had been negative for sterling (the larger-than-expected repo rate cut; the release of the MPC </w:t>
      </w:r>
      <w:r>
        <w:rPr>
          <w:color w:val="231F20"/>
          <w:spacing w:val="-3"/>
          <w:sz w:val="18"/>
        </w:rPr>
        <w:t>minutes; </w:t>
      </w:r>
      <w:r>
        <w:rPr>
          <w:color w:val="231F20"/>
          <w:sz w:val="18"/>
        </w:rPr>
        <w:t>some weaker-than-expected macroeconomic data) the pound had, until recently, appreciated steadily against the Deutsche Mark, supported by merger and acquisition activity. The path implied by an uncovered interest parity condition under constant UK nominal interest rates was very close to the central projection in the November </w:t>
      </w:r>
      <w:r>
        <w:rPr>
          <w:i/>
          <w:color w:val="231F20"/>
          <w:sz w:val="18"/>
        </w:rPr>
        <w:t>Inflation</w:t>
      </w:r>
      <w:r>
        <w:rPr>
          <w:i/>
          <w:color w:val="231F20"/>
          <w:spacing w:val="-2"/>
          <w:sz w:val="18"/>
        </w:rPr>
        <w:t> </w:t>
      </w:r>
      <w:r>
        <w:rPr>
          <w:i/>
          <w:color w:val="231F20"/>
          <w:sz w:val="18"/>
        </w:rPr>
        <w:t>Report</w:t>
      </w:r>
      <w:r>
        <w:rPr>
          <w:color w:val="231F20"/>
          <w:sz w:val="18"/>
        </w:rPr>
        <w:t>.</w:t>
      </w:r>
    </w:p>
    <w:p>
      <w:pPr>
        <w:pStyle w:val="BodyText"/>
        <w:spacing w:before="11"/>
        <w:rPr>
          <w:sz w:val="17"/>
        </w:rPr>
      </w:pPr>
    </w:p>
    <w:p>
      <w:pPr>
        <w:spacing w:before="0"/>
        <w:ind w:left="160" w:right="0" w:firstLine="0"/>
        <w:jc w:val="left"/>
        <w:rPr>
          <w:i/>
          <w:sz w:val="18"/>
        </w:rPr>
      </w:pPr>
      <w:r>
        <w:rPr>
          <w:i/>
          <w:color w:val="009483"/>
          <w:sz w:val="18"/>
        </w:rPr>
        <w:t>Government bond and money markets</w:t>
      </w:r>
    </w:p>
    <w:p>
      <w:pPr>
        <w:pStyle w:val="ListParagraph"/>
        <w:numPr>
          <w:ilvl w:val="0"/>
          <w:numId w:val="43"/>
        </w:numPr>
        <w:tabs>
          <w:tab w:pos="639" w:val="left" w:leader="none"/>
          <w:tab w:pos="641" w:val="left" w:leader="none"/>
        </w:tabs>
        <w:spacing w:line="232" w:lineRule="auto" w:before="118" w:after="0"/>
        <w:ind w:left="160" w:right="290" w:firstLine="0"/>
        <w:jc w:val="left"/>
        <w:rPr>
          <w:sz w:val="18"/>
        </w:rPr>
      </w:pPr>
      <w:r>
        <w:rPr>
          <w:color w:val="231F20"/>
          <w:sz w:val="18"/>
        </w:rPr>
        <w:t>Short-term interest rate expectations had fallen during the month, particularly in the final few days of November and early December. The gilt-edged market had been stronger than </w:t>
      </w:r>
      <w:r>
        <w:rPr>
          <w:color w:val="231F20"/>
          <w:spacing w:val="-3"/>
          <w:sz w:val="18"/>
        </w:rPr>
        <w:t>overseas </w:t>
      </w:r>
      <w:r>
        <w:rPr>
          <w:color w:val="231F20"/>
          <w:sz w:val="18"/>
        </w:rPr>
        <w:t>bond markets, with a sharp fall in gilt yields. Ten-year gilt redemption yields had fallen by about 55 basis points during the month and, at 4.50%, were now just below those in the United States, though higher than those in Germany (3.77%). There had been a number of reasons for gilts’ outperformance during the month: weaker macroeconomic survey data; the</w:t>
      </w:r>
    </w:p>
    <w:p>
      <w:pPr>
        <w:pStyle w:val="BodyText"/>
        <w:spacing w:line="232" w:lineRule="auto"/>
        <w:ind w:left="160" w:right="281"/>
      </w:pPr>
      <w:r>
        <w:rPr>
          <w:color w:val="231F20"/>
        </w:rPr>
        <w:t>larger-than-expected UK repo rate cut; the MPC minutes and TSC evidence, which together were interpreted as suggesting greater willingness by MPC to cut rates for a given economic outlook than the market had thought; and also strong institutional demand for gilts ahead of the payment of gilt coupons on 7 December. This last factor suggests that the decline in yields was not solely attributable to interest rate expectations.</w:t>
      </w:r>
    </w:p>
    <w:p>
      <w:pPr>
        <w:pStyle w:val="ListParagraph"/>
        <w:numPr>
          <w:ilvl w:val="0"/>
          <w:numId w:val="43"/>
        </w:numPr>
        <w:tabs>
          <w:tab w:pos="639" w:val="left" w:leader="none"/>
          <w:tab w:pos="641" w:val="left" w:leader="none"/>
        </w:tabs>
        <w:spacing w:line="232" w:lineRule="auto" w:before="167" w:after="0"/>
        <w:ind w:left="160" w:right="364" w:firstLine="0"/>
        <w:jc w:val="left"/>
        <w:rPr>
          <w:sz w:val="18"/>
        </w:rPr>
      </w:pPr>
      <w:r>
        <w:rPr>
          <w:color w:val="231F20"/>
          <w:sz w:val="18"/>
        </w:rPr>
        <w:t>Short-term interest rate expectations, as measured by short sterling futures, had fallen. Since the November MPC, rate expectations had declined by 22 basis points according to the December 1998 short sterling futures contract. Further along the curve, expectations had fallen by around 40 basis points. But</w:t>
      </w:r>
      <w:r>
        <w:rPr>
          <w:color w:val="231F20"/>
          <w:spacing w:val="2"/>
          <w:sz w:val="18"/>
        </w:rPr>
        <w:t> </w:t>
      </w:r>
      <w:r>
        <w:rPr>
          <w:color w:val="231F20"/>
          <w:spacing w:val="-5"/>
          <w:sz w:val="18"/>
        </w:rPr>
        <w:t>rate</w:t>
      </w:r>
    </w:p>
    <w:p>
      <w:pPr>
        <w:spacing w:after="0" w:line="232" w:lineRule="auto"/>
        <w:jc w:val="left"/>
        <w:rPr>
          <w:sz w:val="18"/>
        </w:rPr>
        <w:sectPr>
          <w:type w:val="continuous"/>
          <w:pgSz w:w="11900" w:h="16840"/>
          <w:pgMar w:top="1220" w:bottom="280" w:left="640" w:right="600"/>
          <w:cols w:num="2" w:equalWidth="0">
            <w:col w:w="5074" w:space="316"/>
            <w:col w:w="5270"/>
          </w:cols>
        </w:sectPr>
      </w:pPr>
    </w:p>
    <w:p>
      <w:pPr>
        <w:pStyle w:val="BodyText"/>
        <w:rPr>
          <w:sz w:val="20"/>
        </w:rPr>
      </w:pPr>
    </w:p>
    <w:p>
      <w:pPr>
        <w:spacing w:after="0"/>
        <w:rPr>
          <w:sz w:val="20"/>
        </w:rPr>
        <w:sectPr>
          <w:pgSz w:w="11900" w:h="16840"/>
          <w:pgMar w:header="566" w:footer="597" w:top="760" w:bottom="780" w:left="640" w:right="600"/>
        </w:sectPr>
      </w:pPr>
    </w:p>
    <w:p>
      <w:pPr>
        <w:pStyle w:val="BodyText"/>
        <w:spacing w:before="4"/>
        <w:rPr>
          <w:sz w:val="21"/>
        </w:rPr>
      </w:pPr>
    </w:p>
    <w:p>
      <w:pPr>
        <w:pStyle w:val="BodyText"/>
        <w:spacing w:line="232" w:lineRule="auto" w:before="1"/>
        <w:ind w:left="160" w:right="35"/>
      </w:pPr>
      <w:r>
        <w:rPr>
          <w:color w:val="231F20"/>
        </w:rPr>
        <w:t>expectations for the end of 1999 had risen, owing to concerns about liquidity at the end of that year and in early 2000. The behaviour of very short-term interest rates suggested that the market expected a cut in the repo rate on 10 December, but this might be exaggerated by year-end demand for gilts on repo.</w:t>
      </w:r>
    </w:p>
    <w:p>
      <w:pPr>
        <w:pStyle w:val="BodyText"/>
        <w:spacing w:before="7"/>
        <w:rPr>
          <w:sz w:val="16"/>
        </w:rPr>
      </w:pPr>
    </w:p>
    <w:p>
      <w:pPr>
        <w:spacing w:before="0"/>
        <w:ind w:left="160" w:right="0" w:firstLine="0"/>
        <w:jc w:val="left"/>
        <w:rPr>
          <w:i/>
          <w:sz w:val="18"/>
        </w:rPr>
      </w:pPr>
      <w:r>
        <w:rPr>
          <w:i/>
          <w:color w:val="009483"/>
          <w:sz w:val="18"/>
        </w:rPr>
        <w:t>Equity and corporate debt markets</w:t>
      </w:r>
    </w:p>
    <w:p>
      <w:pPr>
        <w:pStyle w:val="BodyText"/>
        <w:spacing w:before="2"/>
        <w:rPr>
          <w:i/>
          <w:sz w:val="17"/>
        </w:rPr>
      </w:pPr>
    </w:p>
    <w:p>
      <w:pPr>
        <w:pStyle w:val="ListParagraph"/>
        <w:numPr>
          <w:ilvl w:val="0"/>
          <w:numId w:val="43"/>
        </w:numPr>
        <w:tabs>
          <w:tab w:pos="639" w:val="left" w:leader="none"/>
          <w:tab w:pos="641" w:val="left" w:leader="none"/>
        </w:tabs>
        <w:spacing w:line="232" w:lineRule="auto" w:before="0" w:after="0"/>
        <w:ind w:left="160" w:right="137" w:firstLine="0"/>
        <w:jc w:val="left"/>
        <w:rPr>
          <w:sz w:val="18"/>
        </w:rPr>
      </w:pPr>
      <w:r>
        <w:rPr>
          <w:color w:val="231F20"/>
          <w:sz w:val="18"/>
        </w:rPr>
        <w:t>Equity prices had initially strengthened in the first half of November but had fallen back toward the end of the month. </w:t>
      </w:r>
      <w:r>
        <w:rPr>
          <w:color w:val="231F20"/>
          <w:spacing w:val="-4"/>
          <w:sz w:val="18"/>
        </w:rPr>
        <w:t>Since </w:t>
      </w:r>
      <w:r>
        <w:rPr>
          <w:color w:val="231F20"/>
          <w:sz w:val="18"/>
        </w:rPr>
        <w:t>the previous MPC, the Standard and Poor’s composite share index had reached a new high, but the F</w:t>
      </w:r>
      <w:r>
        <w:rPr>
          <w:color w:val="231F20"/>
          <w:sz w:val="14"/>
        </w:rPr>
        <w:t>T-SE </w:t>
      </w:r>
      <w:r>
        <w:rPr>
          <w:color w:val="231F20"/>
          <w:sz w:val="18"/>
        </w:rPr>
        <w:t>All-Share index</w:t>
      </w:r>
      <w:r>
        <w:rPr>
          <w:color w:val="231F20"/>
          <w:spacing w:val="9"/>
          <w:sz w:val="18"/>
        </w:rPr>
        <w:t> </w:t>
      </w:r>
      <w:r>
        <w:rPr>
          <w:color w:val="231F20"/>
          <w:sz w:val="18"/>
        </w:rPr>
        <w:t>had</w:t>
      </w:r>
    </w:p>
    <w:p>
      <w:pPr>
        <w:pStyle w:val="BodyText"/>
        <w:spacing w:line="232" w:lineRule="auto"/>
        <w:ind w:left="159" w:right="35"/>
      </w:pPr>
      <w:r>
        <w:rPr>
          <w:color w:val="231F20"/>
        </w:rPr>
        <w:t>been unchanged at 2586, with declines again in the General Industrials sector and the Resources sector. There had been more company profit warnings in November than in the same month a year earlier. Analysts’ forecasts of corporate earnings growth</w:t>
      </w:r>
    </w:p>
    <w:p>
      <w:pPr>
        <w:pStyle w:val="BodyText"/>
        <w:spacing w:line="232" w:lineRule="auto"/>
        <w:ind w:left="159" w:right="221"/>
      </w:pPr>
      <w:r>
        <w:rPr>
          <w:color w:val="231F20"/>
        </w:rPr>
        <w:t>for this financial year had been revised down again, to under 1%, but the fall in the risk free real interest rate was an offsetting influence on share prices. The recent rise in the Japanese equity market probably largely reflected the global recovery in equity markets.</w:t>
      </w:r>
    </w:p>
    <w:p>
      <w:pPr>
        <w:pStyle w:val="BodyText"/>
        <w:spacing w:before="6"/>
        <w:rPr>
          <w:sz w:val="16"/>
        </w:rPr>
      </w:pPr>
    </w:p>
    <w:p>
      <w:pPr>
        <w:pStyle w:val="ListParagraph"/>
        <w:numPr>
          <w:ilvl w:val="0"/>
          <w:numId w:val="43"/>
        </w:numPr>
        <w:tabs>
          <w:tab w:pos="639" w:val="left" w:leader="none"/>
          <w:tab w:pos="641" w:val="left" w:leader="none"/>
        </w:tabs>
        <w:spacing w:line="232" w:lineRule="auto" w:before="0" w:after="0"/>
        <w:ind w:left="159" w:right="52" w:firstLine="0"/>
        <w:jc w:val="left"/>
        <w:rPr>
          <w:sz w:val="18"/>
        </w:rPr>
      </w:pPr>
      <w:r>
        <w:rPr>
          <w:color w:val="231F20"/>
          <w:sz w:val="18"/>
        </w:rPr>
        <w:t>In the capital markets, corporate bond yields had fallen during the month over a range of credit ratings, and international bond and syndicated loan issuance by UK corporates had increased since August (usually a quiet month). UK corporate bond spreads (over the gilt yield curve) had fallen some ten to fifteen basis </w:t>
      </w:r>
      <w:r>
        <w:rPr>
          <w:color w:val="231F20"/>
          <w:spacing w:val="-3"/>
          <w:sz w:val="18"/>
        </w:rPr>
        <w:t>points </w:t>
      </w:r>
      <w:r>
        <w:rPr>
          <w:color w:val="231F20"/>
          <w:sz w:val="18"/>
        </w:rPr>
        <w:t>across the board. However, while short maturity sterling swap spreads had also narrowed, ten-year spreads increased by around 13 basis points. Real yields on UK corporate debt had changed little during the month. In October, P</w:t>
      </w:r>
      <w:r>
        <w:rPr>
          <w:color w:val="231F20"/>
          <w:sz w:val="14"/>
        </w:rPr>
        <w:t>NFC</w:t>
      </w:r>
      <w:r>
        <w:rPr>
          <w:color w:val="231F20"/>
          <w:sz w:val="18"/>
        </w:rPr>
        <w:t>s total external financing, which measures their new borrowing from all sources and in all currencies, had turned out broadly in line with the average for the past six months.</w:t>
      </w:r>
    </w:p>
    <w:p>
      <w:pPr>
        <w:pStyle w:val="BodyText"/>
        <w:spacing w:before="10"/>
        <w:rPr>
          <w:sz w:val="19"/>
        </w:rPr>
      </w:pPr>
    </w:p>
    <w:p>
      <w:pPr>
        <w:pStyle w:val="Heading6"/>
        <w:numPr>
          <w:ilvl w:val="0"/>
          <w:numId w:val="44"/>
        </w:numPr>
        <w:tabs>
          <w:tab w:pos="641" w:val="left" w:leader="none"/>
        </w:tabs>
        <w:spacing w:line="240" w:lineRule="auto" w:before="0" w:after="0"/>
        <w:ind w:left="640" w:right="0" w:hanging="481"/>
        <w:jc w:val="left"/>
      </w:pPr>
      <w:r>
        <w:rPr>
          <w:color w:val="009483"/>
        </w:rPr>
        <w:t>Reports by the Bank’s regional</w:t>
      </w:r>
      <w:r>
        <w:rPr>
          <w:color w:val="009483"/>
          <w:spacing w:val="-3"/>
        </w:rPr>
        <w:t> </w:t>
      </w:r>
      <w:r>
        <w:rPr>
          <w:color w:val="009483"/>
        </w:rPr>
        <w:t>Agents</w:t>
      </w:r>
    </w:p>
    <w:p>
      <w:pPr>
        <w:pStyle w:val="ListParagraph"/>
        <w:numPr>
          <w:ilvl w:val="0"/>
          <w:numId w:val="43"/>
        </w:numPr>
        <w:tabs>
          <w:tab w:pos="639" w:val="left" w:leader="none"/>
          <w:tab w:pos="641" w:val="left" w:leader="none"/>
        </w:tabs>
        <w:spacing w:line="232" w:lineRule="auto" w:before="110" w:after="0"/>
        <w:ind w:left="160" w:right="97" w:firstLine="0"/>
        <w:jc w:val="left"/>
        <w:rPr>
          <w:sz w:val="18"/>
        </w:rPr>
      </w:pPr>
      <w:r>
        <w:rPr>
          <w:color w:val="231F20"/>
          <w:sz w:val="18"/>
        </w:rPr>
        <w:t>The Bank’s regional Agencies had contacted 162 companies from the manufacturing, retail, other services and construction sectors to investigate the reported sharp deterioration in survey measures of business optimism. They had sought to discover whether the factors that most influenced optimism had been</w:t>
      </w:r>
    </w:p>
    <w:p>
      <w:pPr>
        <w:pStyle w:val="BodyText"/>
        <w:spacing w:line="232" w:lineRule="auto"/>
        <w:ind w:left="160" w:right="470"/>
      </w:pPr>
      <w:r>
        <w:rPr>
          <w:color w:val="231F20"/>
        </w:rPr>
        <w:t>firm-specific, industry/sector-specific, or related to general economic factors. This survey had been conducted after the 50 basis point interest rate cut in November. Nonetheless, </w:t>
      </w:r>
      <w:r>
        <w:rPr>
          <w:color w:val="231F20"/>
          <w:spacing w:val="-6"/>
        </w:rPr>
        <w:t>the</w:t>
      </w:r>
    </w:p>
    <w:p>
      <w:pPr>
        <w:pStyle w:val="BodyText"/>
        <w:spacing w:line="200" w:lineRule="exact"/>
        <w:ind w:left="160"/>
      </w:pPr>
      <w:r>
        <w:rPr>
          <w:color w:val="231F20"/>
        </w:rPr>
        <w:t>Agents confirmed that overall business optimism had been lower</w:t>
      </w:r>
    </w:p>
    <w:p>
      <w:pPr>
        <w:pStyle w:val="BodyText"/>
        <w:spacing w:before="4"/>
        <w:rPr>
          <w:sz w:val="21"/>
        </w:rPr>
      </w:pPr>
      <w:r>
        <w:rPr/>
        <w:br w:type="column"/>
      </w:r>
      <w:r>
        <w:rPr>
          <w:sz w:val="21"/>
        </w:rPr>
      </w:r>
    </w:p>
    <w:p>
      <w:pPr>
        <w:pStyle w:val="BodyText"/>
        <w:spacing w:line="232" w:lineRule="auto" w:before="1"/>
        <w:ind w:left="159" w:right="257"/>
      </w:pPr>
      <w:r>
        <w:rPr>
          <w:color w:val="231F20"/>
        </w:rPr>
        <w:t>than three months ago; more than half the manufacturers and retailers, and over a third of the construction and other service sector companies, had been less optimistic. The survey had found that, independent of a firm’s own performance, companies </w:t>
      </w:r>
      <w:r>
        <w:rPr>
          <w:color w:val="231F20"/>
          <w:spacing w:val="-3"/>
        </w:rPr>
        <w:t>attached </w:t>
      </w:r>
      <w:r>
        <w:rPr>
          <w:color w:val="231F20"/>
        </w:rPr>
        <w:t>considerable weight to general UK and global economic news when gauging their optimism. Respondents said the November interest rate cut had positively influenced their optimism, but had been outweighed by other news. The Agents had reported widespread concern about prospects for global economic growth. However, concern about future demand and output had now become focused more on domestic considerations.</w:t>
      </w:r>
    </w:p>
    <w:p>
      <w:pPr>
        <w:pStyle w:val="BodyText"/>
        <w:spacing w:before="7"/>
        <w:rPr>
          <w:sz w:val="16"/>
        </w:rPr>
      </w:pPr>
    </w:p>
    <w:p>
      <w:pPr>
        <w:pStyle w:val="ListParagraph"/>
        <w:numPr>
          <w:ilvl w:val="0"/>
          <w:numId w:val="43"/>
        </w:numPr>
        <w:tabs>
          <w:tab w:pos="639" w:val="left" w:leader="none"/>
          <w:tab w:pos="641" w:val="left" w:leader="none"/>
        </w:tabs>
        <w:spacing w:line="232" w:lineRule="auto" w:before="0" w:after="0"/>
        <w:ind w:left="159" w:right="282" w:firstLine="0"/>
        <w:jc w:val="left"/>
        <w:rPr>
          <w:sz w:val="18"/>
        </w:rPr>
      </w:pPr>
      <w:r>
        <w:rPr>
          <w:color w:val="231F20"/>
          <w:sz w:val="18"/>
        </w:rPr>
        <w:t>The Agents had also reported the results of more general discussions with their contacts. Economic conditions were largely seen as unchanged from a month earlier. With the exception of </w:t>
      </w:r>
      <w:r>
        <w:rPr>
          <w:color w:val="231F20"/>
          <w:spacing w:val="-6"/>
          <w:sz w:val="18"/>
        </w:rPr>
        <w:t>the </w:t>
      </w:r>
      <w:r>
        <w:rPr>
          <w:color w:val="231F20"/>
          <w:sz w:val="18"/>
        </w:rPr>
        <w:t>West Midlands and North East, most respondents felt that talk of a recession had been overdone. Nevertheless, uncertainty about future prospects had continued to dampen demand. Although the recent cuts in interest rates had been welcomed, most consumers and firms seemed to be waiting for further reductions before undertaking major purchase and investment decisions.</w:t>
      </w:r>
    </w:p>
    <w:p>
      <w:pPr>
        <w:pStyle w:val="BodyText"/>
        <w:spacing w:before="9"/>
        <w:rPr>
          <w:sz w:val="16"/>
        </w:rPr>
      </w:pPr>
    </w:p>
    <w:p>
      <w:pPr>
        <w:pStyle w:val="ListParagraph"/>
        <w:numPr>
          <w:ilvl w:val="0"/>
          <w:numId w:val="43"/>
        </w:numPr>
        <w:tabs>
          <w:tab w:pos="639" w:val="left" w:leader="none"/>
          <w:tab w:pos="641" w:val="left" w:leader="none"/>
        </w:tabs>
        <w:spacing w:line="232" w:lineRule="auto" w:before="0" w:after="0"/>
        <w:ind w:left="159" w:right="255" w:firstLine="0"/>
        <w:jc w:val="left"/>
        <w:rPr>
          <w:sz w:val="18"/>
        </w:rPr>
      </w:pPr>
      <w:r>
        <w:rPr>
          <w:color w:val="231F20"/>
          <w:sz w:val="18"/>
        </w:rPr>
        <w:t>As had been evident in the ONS data, the economic slowdown had not been evenly distributed across industrial sectors. Contacts in the services sector had reported reasonable growth in demand, albeit with some signs of weakness; retailers generally had only modest expectations for the Christmas period. Conditions in the manufacturing sector had been widely reported as being difficult, with weak order books for the first half of 1999. Demand for manufacturing output had fallen, while trading conditions had become more competitive owing to sterling’s appreciation and increased import penetration.</w:t>
      </w:r>
    </w:p>
    <w:p>
      <w:pPr>
        <w:pStyle w:val="BodyText"/>
        <w:spacing w:before="8"/>
        <w:rPr>
          <w:sz w:val="16"/>
        </w:rPr>
      </w:pPr>
    </w:p>
    <w:p>
      <w:pPr>
        <w:pStyle w:val="ListParagraph"/>
        <w:numPr>
          <w:ilvl w:val="0"/>
          <w:numId w:val="43"/>
        </w:numPr>
        <w:tabs>
          <w:tab w:pos="639" w:val="left" w:leader="none"/>
          <w:tab w:pos="641" w:val="left" w:leader="none"/>
        </w:tabs>
        <w:spacing w:line="232" w:lineRule="auto" w:before="0" w:after="0"/>
        <w:ind w:left="159" w:right="276" w:firstLine="0"/>
        <w:jc w:val="left"/>
        <w:rPr>
          <w:sz w:val="18"/>
        </w:rPr>
      </w:pPr>
      <w:r>
        <w:rPr>
          <w:color w:val="231F20"/>
          <w:sz w:val="18"/>
        </w:rPr>
        <w:t>The automobile sector had been especially hard hit. Global oversupply, falling demand for new cars, and the adverse competitiveness effect of sterling’s appreciation had created particularly difficult conditions for UK automobile producers. This, in turn, had reduced demand for the large number of firms who supply parts and services to car manufacturers. The Agents reported that firms had cut costs in response to these pressures, </w:t>
      </w:r>
      <w:r>
        <w:rPr>
          <w:color w:val="231F20"/>
          <w:spacing w:val="-6"/>
          <w:sz w:val="18"/>
        </w:rPr>
        <w:t>and </w:t>
      </w:r>
      <w:r>
        <w:rPr>
          <w:color w:val="231F20"/>
          <w:sz w:val="18"/>
        </w:rPr>
        <w:t>that this had included some job losses.</w:t>
      </w:r>
    </w:p>
    <w:p>
      <w:pPr>
        <w:pStyle w:val="BodyText"/>
        <w:spacing w:before="10"/>
        <w:rPr>
          <w:sz w:val="16"/>
        </w:rPr>
      </w:pPr>
    </w:p>
    <w:p>
      <w:pPr>
        <w:pStyle w:val="ListParagraph"/>
        <w:numPr>
          <w:ilvl w:val="0"/>
          <w:numId w:val="43"/>
        </w:numPr>
        <w:tabs>
          <w:tab w:pos="639" w:val="left" w:leader="none"/>
          <w:tab w:pos="641" w:val="left" w:leader="none"/>
        </w:tabs>
        <w:spacing w:line="232" w:lineRule="auto" w:before="0" w:after="0"/>
        <w:ind w:left="159" w:right="441" w:firstLine="0"/>
        <w:jc w:val="left"/>
        <w:rPr>
          <w:sz w:val="18"/>
        </w:rPr>
      </w:pPr>
      <w:r>
        <w:rPr>
          <w:color w:val="231F20"/>
          <w:sz w:val="18"/>
        </w:rPr>
        <w:t>Respondents generally had noted that while labour </w:t>
      </w:r>
      <w:r>
        <w:rPr>
          <w:color w:val="231F20"/>
          <w:spacing w:val="-3"/>
          <w:sz w:val="18"/>
        </w:rPr>
        <w:t>market </w:t>
      </w:r>
      <w:r>
        <w:rPr>
          <w:color w:val="231F20"/>
          <w:sz w:val="18"/>
        </w:rPr>
        <w:t>conditions had remained tight, conditions had begun to ease. In particular, wage pressures had diminished somewhat, with most wage settlements at, or below, the RPI inflation rate.</w:t>
      </w:r>
    </w:p>
    <w:p>
      <w:pPr>
        <w:spacing w:after="0" w:line="232" w:lineRule="auto"/>
        <w:jc w:val="left"/>
        <w:rPr>
          <w:sz w:val="18"/>
        </w:rPr>
        <w:sectPr>
          <w:type w:val="continuous"/>
          <w:pgSz w:w="11900" w:h="16840"/>
          <w:pgMar w:top="1220" w:bottom="280" w:left="640" w:right="600"/>
          <w:cols w:num="2" w:equalWidth="0">
            <w:col w:w="5094" w:space="289"/>
            <w:col w:w="5277"/>
          </w:cols>
        </w:sectPr>
      </w:pPr>
    </w:p>
    <w:p>
      <w:pPr>
        <w:pStyle w:val="BodyText"/>
        <w:rPr>
          <w:sz w:val="20"/>
        </w:rPr>
      </w:pPr>
    </w:p>
    <w:p>
      <w:pPr>
        <w:spacing w:line="357" w:lineRule="auto" w:before="218"/>
        <w:ind w:left="154" w:right="3244" w:firstLine="0"/>
        <w:jc w:val="left"/>
        <w:rPr>
          <w:b/>
          <w:sz w:val="28"/>
        </w:rPr>
      </w:pPr>
      <w:bookmarkStart w:name="December press notice" w:id="91"/>
      <w:bookmarkEnd w:id="91"/>
      <w:r>
        <w:rPr/>
      </w:r>
      <w:bookmarkStart w:name="_bookmark38" w:id="92"/>
      <w:bookmarkEnd w:id="92"/>
      <w:r>
        <w:rPr/>
      </w:r>
      <w:r>
        <w:rPr>
          <w:b/>
          <w:color w:val="009483"/>
          <w:sz w:val="28"/>
        </w:rPr>
        <w:t>Text of Bank of England press notice of 10 December 1998 Bank of England reduces interest rates by 0.50% to 6.25%</w:t>
      </w:r>
    </w:p>
    <w:p>
      <w:pPr>
        <w:pStyle w:val="BodyText"/>
        <w:spacing w:before="2"/>
        <w:rPr>
          <w:b/>
          <w:sz w:val="13"/>
        </w:rPr>
      </w:pPr>
    </w:p>
    <w:p>
      <w:pPr>
        <w:pStyle w:val="BodyText"/>
        <w:spacing w:before="92"/>
        <w:ind w:left="180"/>
      </w:pPr>
      <w:r>
        <w:rPr>
          <w:color w:val="231F20"/>
        </w:rPr>
        <w:t>The Bank of England’s Monetary Policy Committee today voted to reduce the Bank’s repo rate by 0.50% to 6.25%.</w:t>
      </w:r>
    </w:p>
    <w:p>
      <w:pPr>
        <w:pStyle w:val="BodyText"/>
        <w:spacing w:before="2"/>
        <w:rPr>
          <w:sz w:val="17"/>
        </w:rPr>
      </w:pPr>
    </w:p>
    <w:p>
      <w:pPr>
        <w:pStyle w:val="BodyText"/>
        <w:spacing w:line="232" w:lineRule="auto" w:before="1"/>
        <w:ind w:left="179" w:right="261"/>
      </w:pPr>
      <w:r>
        <w:rPr>
          <w:color w:val="231F20"/>
        </w:rPr>
        <w:t>Since the November </w:t>
      </w:r>
      <w:r>
        <w:rPr>
          <w:i/>
          <w:color w:val="231F20"/>
        </w:rPr>
        <w:t>Inflation Report</w:t>
      </w:r>
      <w:r>
        <w:rPr>
          <w:color w:val="231F20"/>
        </w:rPr>
        <w:t>, the prospect for global activity appears to have weakened and commodity prices have fallen further. In the UK, GDP growth in the third quarter was revised down, and surveys of activity have continued to indicate a deterioration across the economy, although the labour market is still tight and monetary and financial indicators remain relatively strong. The Monetary Policy Committee judged that the downside risks to both activity and inflation have increased, and therefore reduced interest rates by 0.50% to keep prospective inflation on track to meet the 2.5% target.</w:t>
      </w:r>
    </w:p>
    <w:p>
      <w:pPr>
        <w:pStyle w:val="BodyText"/>
        <w:spacing w:before="7"/>
        <w:rPr>
          <w:sz w:val="16"/>
        </w:rPr>
      </w:pPr>
    </w:p>
    <w:p>
      <w:pPr>
        <w:pStyle w:val="BodyText"/>
        <w:ind w:left="180"/>
      </w:pPr>
      <w:r>
        <w:rPr>
          <w:color w:val="231F20"/>
        </w:rPr>
        <w:t>The minutes of the meeting will be published at 9.30 am on Wednesday 23 December.</w:t>
      </w:r>
    </w:p>
    <w:p>
      <w:pPr>
        <w:spacing w:after="0"/>
        <w:sectPr>
          <w:pgSz w:w="11900" w:h="16840"/>
          <w:pgMar w:header="566" w:footer="597" w:top="760" w:bottom="780" w:left="640" w:right="600"/>
        </w:sectPr>
      </w:pPr>
    </w:p>
    <w:p>
      <w:pPr>
        <w:pStyle w:val="BodyText"/>
        <w:rPr>
          <w:sz w:val="20"/>
        </w:rPr>
      </w:pPr>
    </w:p>
    <w:p>
      <w:pPr>
        <w:pStyle w:val="BodyText"/>
        <w:rPr>
          <w:sz w:val="20"/>
        </w:rPr>
      </w:pPr>
    </w:p>
    <w:p>
      <w:pPr>
        <w:pStyle w:val="BodyText"/>
        <w:spacing w:before="7"/>
        <w:rPr>
          <w:sz w:val="20"/>
        </w:rPr>
      </w:pPr>
    </w:p>
    <w:p>
      <w:pPr>
        <w:pStyle w:val="Heading1"/>
        <w:ind w:left="150"/>
      </w:pPr>
      <w:bookmarkStart w:name="January minutes" w:id="93"/>
      <w:bookmarkEnd w:id="93"/>
      <w:r>
        <w:rPr>
          <w:b w:val="0"/>
        </w:rPr>
      </w:r>
      <w:bookmarkStart w:name="_bookmark39" w:id="94"/>
      <w:bookmarkEnd w:id="94"/>
      <w:r>
        <w:rPr>
          <w:b w:val="0"/>
        </w:rPr>
      </w:r>
      <w:r>
        <w:rPr>
          <w:color w:val="009483"/>
        </w:rPr>
        <w:t>Minutes of the Monetary Policy Committee meeting on 6–7 January 1999</w:t>
      </w:r>
    </w:p>
    <w:p>
      <w:pPr>
        <w:pStyle w:val="BodyText"/>
        <w:spacing w:before="6"/>
        <w:rPr>
          <w:b/>
          <w:sz w:val="28"/>
        </w:rPr>
      </w:pPr>
    </w:p>
    <w:p>
      <w:pPr>
        <w:spacing w:after="0"/>
        <w:rPr>
          <w:sz w:val="28"/>
        </w:rPr>
        <w:sectPr>
          <w:pgSz w:w="11900" w:h="16840"/>
          <w:pgMar w:header="566" w:footer="597" w:top="760" w:bottom="780" w:left="640" w:right="600"/>
        </w:sectPr>
      </w:pPr>
    </w:p>
    <w:p>
      <w:pPr>
        <w:pStyle w:val="ListParagraph"/>
        <w:numPr>
          <w:ilvl w:val="0"/>
          <w:numId w:val="45"/>
        </w:numPr>
        <w:tabs>
          <w:tab w:pos="625" w:val="left" w:leader="none"/>
          <w:tab w:pos="626" w:val="left" w:leader="none"/>
        </w:tabs>
        <w:spacing w:line="232" w:lineRule="auto" w:before="97" w:after="0"/>
        <w:ind w:left="145" w:right="178" w:firstLine="0"/>
        <w:jc w:val="left"/>
        <w:rPr>
          <w:sz w:val="18"/>
        </w:rPr>
      </w:pPr>
      <w:r>
        <w:rPr>
          <w:color w:val="231F20"/>
          <w:sz w:val="18"/>
        </w:rPr>
        <w:t>Before turning to its immediate policy decision, the Committee discussed the prospects for global activity and prices given continued downward revisions to published forecasts; exchange rates and financial markets; money and credit; </w:t>
      </w:r>
      <w:r>
        <w:rPr>
          <w:color w:val="231F20"/>
          <w:spacing w:val="-3"/>
          <w:sz w:val="18"/>
        </w:rPr>
        <w:t>demand </w:t>
      </w:r>
      <w:r>
        <w:rPr>
          <w:color w:val="231F20"/>
          <w:sz w:val="18"/>
        </w:rPr>
        <w:t>and output in the context of the National Accounts revisions; the labour market; and other issues including tactics.</w:t>
      </w:r>
    </w:p>
    <w:p>
      <w:pPr>
        <w:pStyle w:val="BodyText"/>
        <w:spacing w:before="6"/>
      </w:pPr>
    </w:p>
    <w:p>
      <w:pPr>
        <w:pStyle w:val="Heading6"/>
        <w:ind w:left="145"/>
      </w:pPr>
      <w:r>
        <w:rPr>
          <w:color w:val="009483"/>
        </w:rPr>
        <w:t>The prospects for global activity and prices</w:t>
      </w:r>
    </w:p>
    <w:p>
      <w:pPr>
        <w:pStyle w:val="ListParagraph"/>
        <w:numPr>
          <w:ilvl w:val="0"/>
          <w:numId w:val="45"/>
        </w:numPr>
        <w:tabs>
          <w:tab w:pos="625" w:val="left" w:leader="none"/>
          <w:tab w:pos="626" w:val="left" w:leader="none"/>
        </w:tabs>
        <w:spacing w:line="232" w:lineRule="auto" w:before="90" w:after="0"/>
        <w:ind w:left="145" w:right="77" w:firstLine="0"/>
        <w:jc w:val="left"/>
        <w:rPr>
          <w:sz w:val="18"/>
        </w:rPr>
      </w:pPr>
      <w:r>
        <w:rPr>
          <w:color w:val="231F20"/>
          <w:sz w:val="18"/>
        </w:rPr>
        <w:t>A key issue remained how much of a depressing influence the international economy would have on the domestic economy, and hence on the prospects for UK inflation. The outlook for the world economy had clearly deteriorated over recent months, and this had been a material factor in the Committee’s decisions to reduce rates in October, November and December. Views varied on whether there had been much sign of a further international deterioration over the past month, or whether international developments had principally reflected the continuing </w:t>
      </w:r>
      <w:r>
        <w:rPr>
          <w:color w:val="231F20"/>
          <w:spacing w:val="-2"/>
          <w:sz w:val="18"/>
        </w:rPr>
        <w:t>pass-through </w:t>
      </w:r>
      <w:r>
        <w:rPr>
          <w:color w:val="231F20"/>
          <w:sz w:val="18"/>
        </w:rPr>
        <w:t>and unwinding of previous negative shocks to demand in the world economy.</w:t>
      </w:r>
    </w:p>
    <w:p>
      <w:pPr>
        <w:pStyle w:val="ListParagraph"/>
        <w:numPr>
          <w:ilvl w:val="0"/>
          <w:numId w:val="45"/>
        </w:numPr>
        <w:tabs>
          <w:tab w:pos="625" w:val="left" w:leader="none"/>
          <w:tab w:pos="626" w:val="left" w:leader="none"/>
        </w:tabs>
        <w:spacing w:line="232" w:lineRule="auto" w:before="171" w:after="0"/>
        <w:ind w:left="145" w:right="48" w:firstLine="0"/>
        <w:jc w:val="left"/>
        <w:rPr>
          <w:sz w:val="18"/>
        </w:rPr>
      </w:pPr>
      <w:r>
        <w:rPr>
          <w:color w:val="231F20"/>
          <w:sz w:val="18"/>
        </w:rPr>
        <w:t>Some outside forecasts of world trade were being revised down further—for example, the IMF had updated its WEO projections in December. The latest Consensus Economics survey showed that forecasts for Germany and other euro-area economies had been revised down in December. Over the past month business confidence in the euro area had continued to weaken. The </w:t>
      </w:r>
      <w:r>
        <w:rPr>
          <w:color w:val="231F20"/>
          <w:spacing w:val="-3"/>
          <w:sz w:val="18"/>
        </w:rPr>
        <w:t>Japanese </w:t>
      </w:r>
      <w:r>
        <w:rPr>
          <w:color w:val="231F20"/>
          <w:sz w:val="18"/>
        </w:rPr>
        <w:t>economy continued to deteriorate. The Tankan survey had weakened further, returning to the very low level recorded in 1994. The latest indicators for the United States continued to be quite strong, and the Consensus Economics survey showed that some growth forecasts for 1999 had been revised up in December. It was also necessary to take account of the easing of policy in the United States and in the euro area since the autumn and the effects were unlikely to have been seen in the official data yet. Overall, the situation in the major industrial countries was not obviously worse than a month ago, but was no better than expected.</w:t>
      </w:r>
    </w:p>
    <w:p>
      <w:pPr>
        <w:pStyle w:val="ListParagraph"/>
        <w:numPr>
          <w:ilvl w:val="0"/>
          <w:numId w:val="45"/>
        </w:numPr>
        <w:tabs>
          <w:tab w:pos="625" w:val="left" w:leader="none"/>
          <w:tab w:pos="626" w:val="left" w:leader="none"/>
        </w:tabs>
        <w:spacing w:line="232" w:lineRule="auto" w:before="168" w:after="0"/>
        <w:ind w:left="145" w:right="77" w:firstLine="0"/>
        <w:jc w:val="left"/>
        <w:rPr>
          <w:sz w:val="18"/>
        </w:rPr>
      </w:pPr>
      <w:r>
        <w:rPr>
          <w:color w:val="231F20"/>
          <w:sz w:val="18"/>
        </w:rPr>
        <w:t>Some of the forward-looking indicators in the United States—such as the National Association of Purchasing Managers index—were a little weaker. This weakening, in common with </w:t>
      </w:r>
      <w:r>
        <w:rPr>
          <w:color w:val="231F20"/>
          <w:spacing w:val="-5"/>
          <w:sz w:val="18"/>
        </w:rPr>
        <w:t>that </w:t>
      </w:r>
      <w:r>
        <w:rPr>
          <w:color w:val="231F20"/>
          <w:sz w:val="18"/>
        </w:rPr>
        <w:t>in other O</w:t>
      </w:r>
      <w:r>
        <w:rPr>
          <w:color w:val="231F20"/>
          <w:sz w:val="14"/>
        </w:rPr>
        <w:t>ECD </w:t>
      </w:r>
      <w:r>
        <w:rPr>
          <w:color w:val="231F20"/>
          <w:sz w:val="18"/>
        </w:rPr>
        <w:t>countries, perhaps related more to the </w:t>
      </w:r>
      <w:r>
        <w:rPr>
          <w:color w:val="231F20"/>
          <w:spacing w:val="-2"/>
          <w:sz w:val="18"/>
        </w:rPr>
        <w:t>manufacturing </w:t>
      </w:r>
      <w:r>
        <w:rPr>
          <w:color w:val="231F20"/>
          <w:sz w:val="18"/>
        </w:rPr>
        <w:t>rather than service sectors of the economy. Though it seemed likely that robust US growth would continue over the next two or three quarters, there was a risk of a substantial slowdown looking further ahead. One possibility was a weakening of demand, if for example there were an adjustment of equity prices; another possibility was that supply constraints would begin to slow growth, although there were few signs of that in the current price and cost data.</w:t>
      </w:r>
    </w:p>
    <w:p>
      <w:pPr>
        <w:pStyle w:val="ListParagraph"/>
        <w:numPr>
          <w:ilvl w:val="0"/>
          <w:numId w:val="45"/>
        </w:numPr>
        <w:tabs>
          <w:tab w:pos="625" w:val="left" w:leader="none"/>
          <w:tab w:pos="626" w:val="left" w:leader="none"/>
        </w:tabs>
        <w:spacing w:line="232" w:lineRule="auto" w:before="170" w:after="0"/>
        <w:ind w:left="145" w:right="38" w:firstLine="0"/>
        <w:jc w:val="left"/>
        <w:rPr>
          <w:sz w:val="18"/>
        </w:rPr>
      </w:pPr>
      <w:r>
        <w:rPr>
          <w:color w:val="231F20"/>
          <w:sz w:val="18"/>
        </w:rPr>
        <w:t>Non-oil commodity prices had risen slightly in November, following the fall in the previous month. But despite the military action in the Gulf, the fall in world oil prices to around $10 per barrel that had occurred prior to the December meeting had largely persisted. For the world as a whole there had been a negative </w:t>
      </w:r>
      <w:r>
        <w:rPr>
          <w:color w:val="231F20"/>
          <w:spacing w:val="-4"/>
          <w:sz w:val="18"/>
        </w:rPr>
        <w:t>shock </w:t>
      </w:r>
      <w:r>
        <w:rPr>
          <w:color w:val="231F20"/>
          <w:sz w:val="18"/>
        </w:rPr>
        <w:t>to aggregate demand following the crisis in East Asia and the Russian financial problems, so that it was likely that demand had fallen further below capacity, putting downward pressure on world prices and possibly real interest rates. Commodity prices had been especially sensitive to this shock. For the United Kingdom, goods price inflation excluding taxes was currently running significantly below aggregate RPIX inflation, given falls in the price of tradeables and the effect of past tax increases.</w:t>
      </w:r>
    </w:p>
    <w:p>
      <w:pPr>
        <w:pStyle w:val="BodyText"/>
        <w:spacing w:before="6"/>
        <w:rPr>
          <w:sz w:val="16"/>
        </w:rPr>
      </w:pPr>
    </w:p>
    <w:p>
      <w:pPr>
        <w:pStyle w:val="ListParagraph"/>
        <w:numPr>
          <w:ilvl w:val="0"/>
          <w:numId w:val="45"/>
        </w:numPr>
        <w:tabs>
          <w:tab w:pos="625" w:val="left" w:leader="none"/>
          <w:tab w:pos="626" w:val="left" w:leader="none"/>
        </w:tabs>
        <w:spacing w:line="232" w:lineRule="auto" w:before="0" w:after="0"/>
        <w:ind w:left="145" w:right="257" w:firstLine="0"/>
        <w:jc w:val="left"/>
        <w:rPr>
          <w:sz w:val="18"/>
        </w:rPr>
      </w:pPr>
      <w:r>
        <w:rPr>
          <w:color w:val="231F20"/>
          <w:sz w:val="18"/>
        </w:rPr>
        <w:t>The external environment would be a key consideration </w:t>
      </w:r>
      <w:r>
        <w:rPr>
          <w:color w:val="231F20"/>
          <w:spacing w:val="-9"/>
          <w:sz w:val="18"/>
        </w:rPr>
        <w:t>in </w:t>
      </w:r>
      <w:r>
        <w:rPr>
          <w:color w:val="231F20"/>
          <w:sz w:val="18"/>
        </w:rPr>
        <w:t>the quarterly </w:t>
      </w:r>
      <w:r>
        <w:rPr>
          <w:i/>
          <w:color w:val="231F20"/>
          <w:sz w:val="18"/>
        </w:rPr>
        <w:t>Inflation Report </w:t>
      </w:r>
      <w:r>
        <w:rPr>
          <w:color w:val="231F20"/>
          <w:sz w:val="18"/>
        </w:rPr>
        <w:t>forecast round. The risks to</w:t>
      </w:r>
      <w:r>
        <w:rPr>
          <w:color w:val="231F20"/>
          <w:spacing w:val="-2"/>
          <w:sz w:val="18"/>
        </w:rPr>
        <w:t> </w:t>
      </w:r>
      <w:r>
        <w:rPr>
          <w:color w:val="231F20"/>
          <w:sz w:val="18"/>
        </w:rPr>
        <w:t>both</w:t>
      </w:r>
    </w:p>
    <w:p>
      <w:pPr>
        <w:pStyle w:val="BodyText"/>
        <w:spacing w:line="232" w:lineRule="auto" w:before="97"/>
        <w:ind w:left="145" w:right="466"/>
      </w:pPr>
      <w:r>
        <w:rPr/>
        <w:br w:type="column"/>
      </w:r>
      <w:r>
        <w:rPr>
          <w:color w:val="231F20"/>
        </w:rPr>
        <w:t>inflation and real activity remained clearly on the downside, and might have increased. The Committee discussed the risks and possible ramifications of further serious problems in emerging market economies, and agreed that policy could react if these downside risks materialised.</w:t>
      </w:r>
    </w:p>
    <w:p>
      <w:pPr>
        <w:pStyle w:val="BodyText"/>
        <w:spacing w:before="4"/>
        <w:rPr>
          <w:sz w:val="20"/>
        </w:rPr>
      </w:pPr>
    </w:p>
    <w:p>
      <w:pPr>
        <w:pStyle w:val="Heading6"/>
        <w:ind w:left="145"/>
      </w:pPr>
      <w:r>
        <w:rPr>
          <w:color w:val="009483"/>
        </w:rPr>
        <w:t>Exchange rates and financial markets</w:t>
      </w:r>
    </w:p>
    <w:p>
      <w:pPr>
        <w:pStyle w:val="ListParagraph"/>
        <w:numPr>
          <w:ilvl w:val="0"/>
          <w:numId w:val="45"/>
        </w:numPr>
        <w:tabs>
          <w:tab w:pos="625" w:val="left" w:leader="none"/>
          <w:tab w:pos="626" w:val="left" w:leader="none"/>
        </w:tabs>
        <w:spacing w:line="232" w:lineRule="auto" w:before="89" w:after="0"/>
        <w:ind w:left="145" w:right="298" w:firstLine="0"/>
        <w:jc w:val="left"/>
        <w:rPr>
          <w:sz w:val="18"/>
        </w:rPr>
      </w:pPr>
      <w:r>
        <w:rPr>
          <w:color w:val="231F20"/>
          <w:sz w:val="18"/>
        </w:rPr>
        <w:t>The sterling effective exchange rate had appreciated a little prior to Christmas, but had depreciated slightly at the turn of the year. The Bank had monitored the introduction of the euro, which had gone smoothly, and the Committee agreed that this did not, </w:t>
      </w:r>
      <w:r>
        <w:rPr>
          <w:color w:val="231F20"/>
          <w:spacing w:val="-6"/>
          <w:sz w:val="18"/>
        </w:rPr>
        <w:t>for </w:t>
      </w:r>
      <w:r>
        <w:rPr>
          <w:color w:val="231F20"/>
          <w:sz w:val="18"/>
        </w:rPr>
        <w:t>the time being, have any material implications for the outlook for inflation and the conduct of monetary policy in the United Kingdom.</w:t>
      </w:r>
    </w:p>
    <w:p>
      <w:pPr>
        <w:pStyle w:val="ListParagraph"/>
        <w:numPr>
          <w:ilvl w:val="0"/>
          <w:numId w:val="45"/>
        </w:numPr>
        <w:tabs>
          <w:tab w:pos="625" w:val="left" w:leader="none"/>
          <w:tab w:pos="626" w:val="left" w:leader="none"/>
        </w:tabs>
        <w:spacing w:line="232" w:lineRule="auto" w:before="175" w:after="0"/>
        <w:ind w:left="145" w:right="219" w:firstLine="0"/>
        <w:jc w:val="left"/>
        <w:rPr>
          <w:sz w:val="18"/>
        </w:rPr>
      </w:pPr>
      <w:r>
        <w:rPr>
          <w:color w:val="231F20"/>
          <w:sz w:val="18"/>
        </w:rPr>
        <w:t>The yield on index-linked government debt had continued to fall, and was now around 2% at a maturity of ten years. Real yields were now at their lowest level since such bonds were introduced in the United Kingdom in 1981.  Regulatory changes for pension funds that came into force in April 1997—namely the minimum funding requirement—may have made it more attractive for them </w:t>
      </w:r>
      <w:r>
        <w:rPr>
          <w:color w:val="231F20"/>
          <w:spacing w:val="-9"/>
          <w:sz w:val="18"/>
        </w:rPr>
        <w:t>to </w:t>
      </w:r>
      <w:r>
        <w:rPr>
          <w:color w:val="231F20"/>
          <w:sz w:val="18"/>
        </w:rPr>
        <w:t>hold index-linked debt relative to some other assets. But the effects of these changes were likely to be spread over a number of years following the initial announcement, and it seemed unlikely that this could explain the very recent fall in UK real yields. There had </w:t>
      </w:r>
      <w:r>
        <w:rPr>
          <w:color w:val="231F20"/>
          <w:spacing w:val="-3"/>
          <w:sz w:val="18"/>
        </w:rPr>
        <w:t>been </w:t>
      </w:r>
      <w:r>
        <w:rPr>
          <w:color w:val="231F20"/>
          <w:sz w:val="18"/>
        </w:rPr>
        <w:t>a corresponding fall in long-term nominal yields: implied inflation expectations remained broadly unchanged over the recent past. It was not clear what had caused the fall in UK long-term real interest rates, and therefore what the consequences would be for the economy. Although it was difficult to explain the fall in long-term real yields in the United Kingdom relative to overseas, it was noted that there had been a general decline in global real yields over the past year. One possible explanation of the most recent fall was linked to the downward shock to world demand, which might imply a reduction in the real rate of interest that would balance global saving and investment.</w:t>
      </w:r>
    </w:p>
    <w:p>
      <w:pPr>
        <w:pStyle w:val="ListParagraph"/>
        <w:numPr>
          <w:ilvl w:val="0"/>
          <w:numId w:val="45"/>
        </w:numPr>
        <w:tabs>
          <w:tab w:pos="625" w:val="left" w:leader="none"/>
          <w:tab w:pos="626" w:val="left" w:leader="none"/>
        </w:tabs>
        <w:spacing w:line="232" w:lineRule="auto" w:before="164" w:after="0"/>
        <w:ind w:left="145" w:right="248" w:firstLine="0"/>
        <w:jc w:val="left"/>
        <w:rPr>
          <w:sz w:val="18"/>
        </w:rPr>
      </w:pPr>
      <w:r>
        <w:rPr>
          <w:color w:val="231F20"/>
          <w:sz w:val="18"/>
        </w:rPr>
        <w:t>Most major international stock markets had risen over the past month, and the F</w:t>
      </w:r>
      <w:r>
        <w:rPr>
          <w:color w:val="231F20"/>
          <w:sz w:val="14"/>
        </w:rPr>
        <w:t>T-SE </w:t>
      </w:r>
      <w:r>
        <w:rPr>
          <w:color w:val="231F20"/>
          <w:sz w:val="18"/>
        </w:rPr>
        <w:t>All-Share index was 13% above the </w:t>
      </w:r>
      <w:r>
        <w:rPr>
          <w:color w:val="231F20"/>
          <w:spacing w:val="-4"/>
          <w:sz w:val="18"/>
        </w:rPr>
        <w:t>level </w:t>
      </w:r>
      <w:r>
        <w:rPr>
          <w:color w:val="231F20"/>
          <w:sz w:val="18"/>
        </w:rPr>
        <w:t>assumed in the November </w:t>
      </w:r>
      <w:r>
        <w:rPr>
          <w:i/>
          <w:color w:val="231F20"/>
          <w:sz w:val="18"/>
        </w:rPr>
        <w:t>Inflation Report </w:t>
      </w:r>
      <w:r>
        <w:rPr>
          <w:color w:val="231F20"/>
          <w:sz w:val="18"/>
        </w:rPr>
        <w:t>central projection. It was difficult to explain fully the rise in equity prices, but it was possible that it was related to the fall in real interest rates.</w:t>
      </w:r>
    </w:p>
    <w:p>
      <w:pPr>
        <w:pStyle w:val="ListParagraph"/>
        <w:numPr>
          <w:ilvl w:val="0"/>
          <w:numId w:val="45"/>
        </w:numPr>
        <w:tabs>
          <w:tab w:pos="625" w:val="left" w:leader="none"/>
          <w:tab w:pos="626" w:val="left" w:leader="none"/>
        </w:tabs>
        <w:spacing w:line="232" w:lineRule="auto" w:before="176" w:after="0"/>
        <w:ind w:left="145" w:right="368" w:firstLine="0"/>
        <w:jc w:val="left"/>
        <w:rPr>
          <w:sz w:val="18"/>
        </w:rPr>
      </w:pPr>
      <w:r>
        <w:rPr>
          <w:color w:val="231F20"/>
          <w:sz w:val="18"/>
        </w:rPr>
        <w:t>The spreads of yields on UK corporate bonds over government bond yields remained higher than they had been </w:t>
      </w:r>
      <w:r>
        <w:rPr>
          <w:color w:val="231F20"/>
          <w:spacing w:val="-4"/>
          <w:sz w:val="18"/>
        </w:rPr>
        <w:t>prior </w:t>
      </w:r>
      <w:r>
        <w:rPr>
          <w:color w:val="231F20"/>
          <w:sz w:val="18"/>
        </w:rPr>
        <w:t>to the shocks of summer 1998. But the level of nominal yields </w:t>
      </w:r>
      <w:r>
        <w:rPr>
          <w:color w:val="231F20"/>
          <w:spacing w:val="-7"/>
          <w:sz w:val="18"/>
        </w:rPr>
        <w:t>on </w:t>
      </w:r>
      <w:r>
        <w:rPr>
          <w:color w:val="231F20"/>
          <w:sz w:val="18"/>
        </w:rPr>
        <w:t>these bonds had fallen over the same period.</w:t>
      </w:r>
    </w:p>
    <w:p>
      <w:pPr>
        <w:pStyle w:val="BodyText"/>
        <w:spacing w:before="4"/>
        <w:rPr>
          <w:sz w:val="20"/>
        </w:rPr>
      </w:pPr>
    </w:p>
    <w:p>
      <w:pPr>
        <w:pStyle w:val="Heading6"/>
        <w:ind w:left="145"/>
      </w:pPr>
      <w:r>
        <w:rPr>
          <w:color w:val="009483"/>
        </w:rPr>
        <w:t>Money and credit</w:t>
      </w:r>
    </w:p>
    <w:p>
      <w:pPr>
        <w:pStyle w:val="ListParagraph"/>
        <w:numPr>
          <w:ilvl w:val="0"/>
          <w:numId w:val="45"/>
        </w:numPr>
        <w:tabs>
          <w:tab w:pos="625" w:val="left" w:leader="none"/>
          <w:tab w:pos="626" w:val="left" w:leader="none"/>
        </w:tabs>
        <w:spacing w:line="232" w:lineRule="auto" w:before="90" w:after="0"/>
        <w:ind w:left="145" w:right="238" w:firstLine="0"/>
        <w:jc w:val="left"/>
        <w:rPr>
          <w:sz w:val="18"/>
        </w:rPr>
      </w:pPr>
      <w:r>
        <w:rPr>
          <w:color w:val="231F20"/>
          <w:sz w:val="18"/>
        </w:rPr>
        <w:t>The growth rate of notes and coin had been robust through the autumn, even after adjusting for the introduction of the £2 coin. This added weight to the picture painted by the official retail sales figures, which had been stronger than much of the survey evidence had suggested. The provisional December figure for notes and </w:t>
      </w:r>
      <w:r>
        <w:rPr>
          <w:color w:val="231F20"/>
          <w:spacing w:val="-5"/>
          <w:sz w:val="18"/>
        </w:rPr>
        <w:t>coin </w:t>
      </w:r>
      <w:r>
        <w:rPr>
          <w:color w:val="231F20"/>
          <w:sz w:val="18"/>
        </w:rPr>
        <w:t>had been particularly strong, but this could not sensibly be assessed in isolation because of the uncertainty surrounding the seasonal adjustment to the Christmas month figures.</w:t>
      </w:r>
    </w:p>
    <w:p>
      <w:pPr>
        <w:pStyle w:val="BodyText"/>
        <w:spacing w:before="9"/>
        <w:rPr>
          <w:sz w:val="16"/>
        </w:rPr>
      </w:pPr>
    </w:p>
    <w:p>
      <w:pPr>
        <w:pStyle w:val="ListParagraph"/>
        <w:numPr>
          <w:ilvl w:val="0"/>
          <w:numId w:val="45"/>
        </w:numPr>
        <w:tabs>
          <w:tab w:pos="625" w:val="left" w:leader="none"/>
          <w:tab w:pos="626" w:val="left" w:leader="none"/>
        </w:tabs>
        <w:spacing w:line="232" w:lineRule="auto" w:before="1" w:after="0"/>
        <w:ind w:left="145" w:right="318" w:firstLine="0"/>
        <w:jc w:val="left"/>
        <w:rPr>
          <w:sz w:val="18"/>
        </w:rPr>
      </w:pPr>
      <w:r>
        <w:rPr>
          <w:color w:val="231F20"/>
          <w:sz w:val="18"/>
        </w:rPr>
        <w:t>Aggregate M4 growth had slowed in November, and had been matched by slower growth of lending. The slowdown in the growth of M4 and M4 lending was in large part accounted for by </w:t>
      </w:r>
      <w:r>
        <w:rPr>
          <w:color w:val="231F20"/>
          <w:spacing w:val="-17"/>
          <w:sz w:val="18"/>
        </w:rPr>
        <w:t>a </w:t>
      </w:r>
      <w:r>
        <w:rPr>
          <w:color w:val="231F20"/>
          <w:sz w:val="18"/>
        </w:rPr>
        <w:t>reduction in the stocks of deposits and outstanding loans held by other financial corporations (OFCs). Within OFCs there had been anecdotal evidence that securities dealers, in particular, had been contracting their balance sheets by more than normal towards the</w:t>
      </w:r>
    </w:p>
    <w:p>
      <w:pPr>
        <w:spacing w:after="0" w:line="232" w:lineRule="auto"/>
        <w:jc w:val="left"/>
        <w:rPr>
          <w:sz w:val="18"/>
        </w:rPr>
        <w:sectPr>
          <w:type w:val="continuous"/>
          <w:pgSz w:w="11900" w:h="16840"/>
          <w:pgMar w:top="1220" w:bottom="280" w:left="640" w:right="600"/>
          <w:cols w:num="2" w:equalWidth="0">
            <w:col w:w="5085" w:space="305"/>
            <w:col w:w="5270"/>
          </w:cols>
        </w:sectPr>
      </w:pPr>
    </w:p>
    <w:p>
      <w:pPr>
        <w:pStyle w:val="BodyText"/>
        <w:rPr>
          <w:sz w:val="20"/>
        </w:rPr>
      </w:pPr>
    </w:p>
    <w:p>
      <w:pPr>
        <w:spacing w:after="0"/>
        <w:rPr>
          <w:sz w:val="20"/>
        </w:rPr>
        <w:sectPr>
          <w:pgSz w:w="11900" w:h="16840"/>
          <w:pgMar w:header="566" w:footer="597" w:top="760" w:bottom="780" w:left="640" w:right="600"/>
        </w:sectPr>
      </w:pPr>
    </w:p>
    <w:p>
      <w:pPr>
        <w:pStyle w:val="BodyText"/>
        <w:spacing w:before="7"/>
        <w:rPr>
          <w:sz w:val="19"/>
        </w:rPr>
      </w:pPr>
    </w:p>
    <w:p>
      <w:pPr>
        <w:pStyle w:val="BodyText"/>
        <w:spacing w:line="232" w:lineRule="auto" w:before="1"/>
        <w:ind w:left="174" w:right="230"/>
      </w:pPr>
      <w:r>
        <w:rPr>
          <w:color w:val="231F20"/>
        </w:rPr>
        <w:t>end of 1998. This was consistent with some of the data (for example, the fall in sterling lending by the major British banks to securities dealers).</w:t>
      </w:r>
    </w:p>
    <w:p>
      <w:pPr>
        <w:pStyle w:val="BodyText"/>
        <w:spacing w:before="2"/>
        <w:rPr>
          <w:sz w:val="17"/>
        </w:rPr>
      </w:pPr>
    </w:p>
    <w:p>
      <w:pPr>
        <w:pStyle w:val="ListParagraph"/>
        <w:numPr>
          <w:ilvl w:val="0"/>
          <w:numId w:val="45"/>
        </w:numPr>
        <w:tabs>
          <w:tab w:pos="654" w:val="left" w:leader="none"/>
          <w:tab w:pos="655" w:val="left" w:leader="none"/>
        </w:tabs>
        <w:spacing w:line="232" w:lineRule="auto" w:before="0" w:after="0"/>
        <w:ind w:left="174" w:right="83" w:firstLine="0"/>
        <w:jc w:val="left"/>
        <w:rPr>
          <w:sz w:val="18"/>
        </w:rPr>
      </w:pPr>
      <w:r>
        <w:rPr>
          <w:color w:val="231F20"/>
          <w:sz w:val="18"/>
        </w:rPr>
        <w:t>Overall, some members thought that the latest monetary </w:t>
      </w:r>
      <w:r>
        <w:rPr>
          <w:color w:val="231F20"/>
          <w:spacing w:val="-5"/>
          <w:sz w:val="18"/>
        </w:rPr>
        <w:t>data </w:t>
      </w:r>
      <w:r>
        <w:rPr>
          <w:color w:val="231F20"/>
          <w:sz w:val="18"/>
        </w:rPr>
        <w:t>were consistent with a gradual slowing of demand.</w:t>
      </w:r>
    </w:p>
    <w:p>
      <w:pPr>
        <w:pStyle w:val="BodyText"/>
        <w:spacing w:before="3"/>
        <w:rPr>
          <w:sz w:val="17"/>
        </w:rPr>
      </w:pPr>
    </w:p>
    <w:p>
      <w:pPr>
        <w:pStyle w:val="ListParagraph"/>
        <w:numPr>
          <w:ilvl w:val="0"/>
          <w:numId w:val="45"/>
        </w:numPr>
        <w:tabs>
          <w:tab w:pos="654" w:val="left" w:leader="none"/>
          <w:tab w:pos="655" w:val="left" w:leader="none"/>
        </w:tabs>
        <w:spacing w:line="232" w:lineRule="auto" w:before="0" w:after="0"/>
        <w:ind w:left="174" w:right="222" w:firstLine="0"/>
        <w:jc w:val="left"/>
        <w:rPr>
          <w:sz w:val="18"/>
        </w:rPr>
      </w:pPr>
      <w:r>
        <w:rPr>
          <w:color w:val="231F20"/>
          <w:sz w:val="18"/>
        </w:rPr>
        <w:t>Lending to households continued to be robust, and had grown by 7</w:t>
      </w:r>
      <w:r>
        <w:rPr>
          <w:color w:val="231F20"/>
          <w:position w:val="6"/>
          <w:sz w:val="9"/>
        </w:rPr>
        <w:t>1</w:t>
      </w:r>
      <w:r>
        <w:rPr>
          <w:color w:val="231F20"/>
          <w:sz w:val="18"/>
        </w:rPr>
        <w:t>/</w:t>
      </w:r>
      <w:r>
        <w:rPr>
          <w:color w:val="231F20"/>
          <w:sz w:val="9"/>
        </w:rPr>
        <w:t>2</w:t>
      </w:r>
      <w:r>
        <w:rPr>
          <w:color w:val="231F20"/>
          <w:sz w:val="18"/>
        </w:rPr>
        <w:t>% in the year to November. This did not seem to </w:t>
      </w:r>
      <w:r>
        <w:rPr>
          <w:color w:val="231F20"/>
          <w:spacing w:val="-9"/>
          <w:sz w:val="18"/>
        </w:rPr>
        <w:t>be </w:t>
      </w:r>
      <w:r>
        <w:rPr>
          <w:color w:val="231F20"/>
          <w:sz w:val="18"/>
        </w:rPr>
        <w:t>significantly out of line with nominal consumption growth. However, the high rate of increase in the smaller non-secured component of lending (which accounted for around 20% of the stock) continued to be puzzling.</w:t>
      </w:r>
    </w:p>
    <w:p>
      <w:pPr>
        <w:pStyle w:val="BodyText"/>
        <w:spacing w:before="11"/>
        <w:rPr>
          <w:sz w:val="16"/>
        </w:rPr>
      </w:pPr>
    </w:p>
    <w:p>
      <w:pPr>
        <w:pStyle w:val="ListParagraph"/>
        <w:numPr>
          <w:ilvl w:val="0"/>
          <w:numId w:val="45"/>
        </w:numPr>
        <w:tabs>
          <w:tab w:pos="654" w:val="left" w:leader="none"/>
          <w:tab w:pos="655" w:val="left" w:leader="none"/>
        </w:tabs>
        <w:spacing w:line="232" w:lineRule="auto" w:before="0" w:after="0"/>
        <w:ind w:left="174" w:right="122" w:firstLine="0"/>
        <w:jc w:val="left"/>
        <w:rPr>
          <w:sz w:val="18"/>
        </w:rPr>
      </w:pPr>
      <w:r>
        <w:rPr>
          <w:color w:val="231F20"/>
          <w:sz w:val="18"/>
        </w:rPr>
        <w:t>Bank lending to companies had continued to grow steadily. Bond issuance had been low at the end of 1998. But it usually </w:t>
      </w:r>
      <w:r>
        <w:rPr>
          <w:color w:val="231F20"/>
          <w:spacing w:val="-6"/>
          <w:sz w:val="18"/>
        </w:rPr>
        <w:t>was </w:t>
      </w:r>
      <w:r>
        <w:rPr>
          <w:color w:val="231F20"/>
          <w:sz w:val="18"/>
        </w:rPr>
        <w:t>at that time of year, so underlying conditions were difficult to assess. The number of insolvencies had risen but from a relatively low level. The Committee concluded, as in previous months, that recent indicators did not suggest a material impairment of the supply of credit.</w:t>
      </w:r>
    </w:p>
    <w:p>
      <w:pPr>
        <w:pStyle w:val="BodyText"/>
        <w:spacing w:before="11"/>
        <w:rPr>
          <w:sz w:val="21"/>
        </w:rPr>
      </w:pPr>
    </w:p>
    <w:p>
      <w:pPr>
        <w:pStyle w:val="Heading6"/>
        <w:ind w:left="174"/>
      </w:pPr>
      <w:r>
        <w:rPr>
          <w:color w:val="009483"/>
        </w:rPr>
        <w:t>Demand and output</w:t>
      </w:r>
    </w:p>
    <w:p>
      <w:pPr>
        <w:pStyle w:val="ListParagraph"/>
        <w:numPr>
          <w:ilvl w:val="0"/>
          <w:numId w:val="45"/>
        </w:numPr>
        <w:tabs>
          <w:tab w:pos="654" w:val="left" w:leader="none"/>
          <w:tab w:pos="655" w:val="left" w:leader="none"/>
        </w:tabs>
        <w:spacing w:line="232" w:lineRule="auto" w:before="109" w:after="0"/>
        <w:ind w:left="174" w:right="38" w:firstLine="0"/>
        <w:jc w:val="left"/>
        <w:rPr>
          <w:sz w:val="18"/>
        </w:rPr>
      </w:pPr>
      <w:r>
        <w:rPr>
          <w:color w:val="231F20"/>
          <w:sz w:val="18"/>
        </w:rPr>
        <w:t>Although there had been no change to the estimate of GDP growth in the third quarter of 1998, there had been revisions both to the composition of GDP growth in Q3, and to its rate of growth in earlier quarters. The level of output was now around 0.2% lower than previously estimated, so pressure on capacity was likely to have been a little less than previously thought, all other things </w:t>
      </w:r>
      <w:r>
        <w:rPr>
          <w:color w:val="231F20"/>
          <w:spacing w:val="-4"/>
          <w:sz w:val="18"/>
        </w:rPr>
        <w:t>being </w:t>
      </w:r>
      <w:r>
        <w:rPr>
          <w:color w:val="231F20"/>
          <w:sz w:val="18"/>
        </w:rPr>
        <w:t>equal. The three measures of GDP—income, expenditure and output—were diverging and that made it more difficult to judge the pace at which the economy was growing. Within the Q3 GDP figures, growth of final domestic demand had been revised down and the contribution from net trade and inventory building had been revised up. In particular, consumption growth had been revised down, and the pattern was of a more gradual slowdown over the past year than had previously been estimated.  Consumer confidence remained weak.</w:t>
      </w:r>
    </w:p>
    <w:p>
      <w:pPr>
        <w:pStyle w:val="BodyText"/>
        <w:spacing w:before="5"/>
        <w:rPr>
          <w:sz w:val="16"/>
        </w:rPr>
      </w:pPr>
    </w:p>
    <w:p>
      <w:pPr>
        <w:pStyle w:val="ListParagraph"/>
        <w:numPr>
          <w:ilvl w:val="0"/>
          <w:numId w:val="45"/>
        </w:numPr>
        <w:tabs>
          <w:tab w:pos="654" w:val="left" w:leader="none"/>
          <w:tab w:pos="655" w:val="left" w:leader="none"/>
        </w:tabs>
        <w:spacing w:line="232" w:lineRule="auto" w:before="0" w:after="0"/>
        <w:ind w:left="174" w:right="143" w:firstLine="0"/>
        <w:jc w:val="left"/>
        <w:rPr>
          <w:sz w:val="18"/>
        </w:rPr>
      </w:pPr>
      <w:r>
        <w:rPr>
          <w:color w:val="231F20"/>
          <w:sz w:val="18"/>
        </w:rPr>
        <w:t>With the exception of the mortgage lending figures, the indicators suggested that housing market activity was slowing. Particulars delivered were now quite low compared with the past. The Halifax house price index had recorded a fall in prices for the second successive month. One view was that this provided </w:t>
      </w:r>
      <w:r>
        <w:rPr>
          <w:color w:val="231F20"/>
          <w:spacing w:val="-3"/>
          <w:sz w:val="18"/>
        </w:rPr>
        <w:t>further </w:t>
      </w:r>
      <w:r>
        <w:rPr>
          <w:color w:val="231F20"/>
          <w:sz w:val="18"/>
        </w:rPr>
        <w:t>evidence of a loss of consumer confidence over the summer. However, the housing market was sensitive to interest rates, so a degree of slowing was to be expected following the tightening of monetary policy through 1997 and the first half of 1998. And members agreed that the relatively moderate rate of house price inflation over the past year was a welcome sign of greater stability than in past cycles.</w:t>
      </w:r>
    </w:p>
    <w:p>
      <w:pPr>
        <w:pStyle w:val="BodyText"/>
        <w:spacing w:before="6"/>
        <w:rPr>
          <w:sz w:val="16"/>
        </w:rPr>
      </w:pPr>
    </w:p>
    <w:p>
      <w:pPr>
        <w:pStyle w:val="ListParagraph"/>
        <w:numPr>
          <w:ilvl w:val="0"/>
          <w:numId w:val="45"/>
        </w:numPr>
        <w:tabs>
          <w:tab w:pos="654" w:val="left" w:leader="none"/>
          <w:tab w:pos="655" w:val="left" w:leader="none"/>
        </w:tabs>
        <w:spacing w:line="232" w:lineRule="auto" w:before="0" w:after="0"/>
        <w:ind w:left="174" w:right="73" w:firstLine="0"/>
        <w:jc w:val="left"/>
        <w:rPr>
          <w:sz w:val="18"/>
        </w:rPr>
      </w:pPr>
      <w:r>
        <w:rPr>
          <w:color w:val="231F20"/>
          <w:sz w:val="18"/>
        </w:rPr>
        <w:t>The contribution of stockbuilding to GDP growth had been revised up in the third quarter of 1998, but there had been a downward revision to stock levels. In particular, stocks of finished manufactures had been revised down significantly. However, there seemed to be little news overall in the revisions to aggregate inventories, some of which reflected statistical changes in the National Accounts. Nonetheless, the balance of risks remained </w:t>
      </w:r>
      <w:r>
        <w:rPr>
          <w:color w:val="231F20"/>
          <w:spacing w:val="-5"/>
          <w:sz w:val="18"/>
        </w:rPr>
        <w:t>that </w:t>
      </w:r>
      <w:r>
        <w:rPr>
          <w:color w:val="231F20"/>
          <w:sz w:val="18"/>
        </w:rPr>
        <w:t>the build up in inventories would be unwound by more than expected.</w:t>
      </w:r>
    </w:p>
    <w:p>
      <w:pPr>
        <w:pStyle w:val="BodyText"/>
        <w:spacing w:before="9"/>
        <w:rPr>
          <w:sz w:val="16"/>
        </w:rPr>
      </w:pPr>
    </w:p>
    <w:p>
      <w:pPr>
        <w:pStyle w:val="ListParagraph"/>
        <w:numPr>
          <w:ilvl w:val="0"/>
          <w:numId w:val="45"/>
        </w:numPr>
        <w:tabs>
          <w:tab w:pos="654" w:val="left" w:leader="none"/>
          <w:tab w:pos="655" w:val="left" w:leader="none"/>
        </w:tabs>
        <w:spacing w:line="232" w:lineRule="auto" w:before="0" w:after="0"/>
        <w:ind w:left="174" w:right="72" w:firstLine="0"/>
        <w:jc w:val="left"/>
        <w:rPr>
          <w:sz w:val="18"/>
        </w:rPr>
      </w:pPr>
      <w:r>
        <w:rPr>
          <w:color w:val="231F20"/>
          <w:sz w:val="18"/>
        </w:rPr>
        <w:t>The CBI Distributive Trades survey for December was less weak than the previous month’s survey, but this news was </w:t>
      </w:r>
      <w:r>
        <w:rPr>
          <w:color w:val="231F20"/>
          <w:spacing w:val="-3"/>
          <w:sz w:val="18"/>
        </w:rPr>
        <w:t>probably </w:t>
      </w:r>
      <w:r>
        <w:rPr>
          <w:color w:val="231F20"/>
          <w:sz w:val="18"/>
        </w:rPr>
        <w:t>offset by the weaker C</w:t>
      </w:r>
      <w:r>
        <w:rPr>
          <w:color w:val="231F20"/>
          <w:sz w:val="14"/>
        </w:rPr>
        <w:t>IPS </w:t>
      </w:r>
      <w:r>
        <w:rPr>
          <w:color w:val="231F20"/>
          <w:sz w:val="18"/>
        </w:rPr>
        <w:t>services survey. It was too soon to glean any reliable impression of the state of consumer spending over the Christmas/New Year period. Overall, the latest evidence from surveys and monthly indicators did not suggest that the latest best estimate for GDP growth in the fourth quarter was very different from that in the central projection in the November </w:t>
      </w:r>
      <w:r>
        <w:rPr>
          <w:i/>
          <w:color w:val="231F20"/>
          <w:sz w:val="18"/>
        </w:rPr>
        <w:t>Inflation </w:t>
      </w:r>
      <w:r>
        <w:rPr>
          <w:i/>
          <w:color w:val="231F20"/>
          <w:sz w:val="18"/>
        </w:rPr>
        <w:t>Report</w:t>
      </w:r>
      <w:r>
        <w:rPr>
          <w:color w:val="231F20"/>
          <w:sz w:val="18"/>
        </w:rPr>
        <w:t>.</w:t>
      </w:r>
    </w:p>
    <w:p>
      <w:pPr>
        <w:pStyle w:val="Heading6"/>
        <w:spacing w:before="212"/>
        <w:ind w:left="174"/>
      </w:pPr>
      <w:r>
        <w:rPr>
          <w:b w:val="0"/>
        </w:rPr>
        <w:br w:type="column"/>
      </w:r>
      <w:r>
        <w:rPr>
          <w:color w:val="009483"/>
        </w:rPr>
        <w:t>Labour</w:t>
      </w:r>
      <w:r>
        <w:rPr>
          <w:color w:val="009483"/>
          <w:spacing w:val="-3"/>
        </w:rPr>
        <w:t> </w:t>
      </w:r>
      <w:r>
        <w:rPr>
          <w:color w:val="009483"/>
        </w:rPr>
        <w:t>market</w:t>
      </w:r>
    </w:p>
    <w:p>
      <w:pPr>
        <w:pStyle w:val="ListParagraph"/>
        <w:numPr>
          <w:ilvl w:val="0"/>
          <w:numId w:val="45"/>
        </w:numPr>
        <w:tabs>
          <w:tab w:pos="654" w:val="left" w:leader="none"/>
          <w:tab w:pos="655" w:val="left" w:leader="none"/>
        </w:tabs>
        <w:spacing w:line="232" w:lineRule="auto" w:before="129" w:after="0"/>
        <w:ind w:left="174" w:right="194" w:firstLine="0"/>
        <w:jc w:val="left"/>
        <w:rPr>
          <w:sz w:val="18"/>
        </w:rPr>
      </w:pPr>
      <w:r>
        <w:rPr>
          <w:color w:val="231F20"/>
          <w:sz w:val="18"/>
        </w:rPr>
        <w:t>The labour market data continued to show rising employment and falling inactivity. But there were now further indications that unemployment was probably no longer falling. </w:t>
      </w:r>
      <w:r>
        <w:rPr>
          <w:color w:val="231F20"/>
          <w:spacing w:val="-6"/>
          <w:sz w:val="18"/>
        </w:rPr>
        <w:t>The </w:t>
      </w:r>
      <w:r>
        <w:rPr>
          <w:color w:val="231F20"/>
          <w:sz w:val="18"/>
        </w:rPr>
        <w:t>recent data had shown a fall in long-term unemployment more than offset by a rise in short-term unemployment.  The three C</w:t>
      </w:r>
      <w:r>
        <w:rPr>
          <w:color w:val="231F20"/>
          <w:sz w:val="14"/>
        </w:rPr>
        <w:t>IPS </w:t>
      </w:r>
      <w:r>
        <w:rPr>
          <w:color w:val="231F20"/>
          <w:sz w:val="18"/>
        </w:rPr>
        <w:t>surveys for manufacturing, services and construction were now all pointing to falling employment.</w:t>
      </w:r>
    </w:p>
    <w:p>
      <w:pPr>
        <w:pStyle w:val="BodyText"/>
        <w:spacing w:before="8"/>
      </w:pPr>
    </w:p>
    <w:p>
      <w:pPr>
        <w:pStyle w:val="ListParagraph"/>
        <w:numPr>
          <w:ilvl w:val="0"/>
          <w:numId w:val="45"/>
        </w:numPr>
        <w:tabs>
          <w:tab w:pos="654" w:val="left" w:leader="none"/>
          <w:tab w:pos="655" w:val="left" w:leader="none"/>
        </w:tabs>
        <w:spacing w:line="232" w:lineRule="auto" w:before="0" w:after="0"/>
        <w:ind w:left="174" w:right="279" w:firstLine="0"/>
        <w:jc w:val="left"/>
        <w:rPr>
          <w:sz w:val="18"/>
        </w:rPr>
      </w:pPr>
      <w:r>
        <w:rPr>
          <w:color w:val="231F20"/>
          <w:sz w:val="18"/>
        </w:rPr>
        <w:t>The number of jobs recorded by the ONS Workforce </w:t>
      </w:r>
      <w:r>
        <w:rPr>
          <w:color w:val="231F20"/>
          <w:spacing w:val="-3"/>
          <w:sz w:val="18"/>
        </w:rPr>
        <w:t>survey </w:t>
      </w:r>
      <w:r>
        <w:rPr>
          <w:color w:val="231F20"/>
          <w:sz w:val="18"/>
        </w:rPr>
        <w:t>had been revised up by 450,000 implying lower productivity and higher unit labour costs data. The Committee noted that its November </w:t>
      </w:r>
      <w:r>
        <w:rPr>
          <w:i/>
          <w:color w:val="231F20"/>
          <w:sz w:val="18"/>
        </w:rPr>
        <w:t>Inflation Report </w:t>
      </w:r>
      <w:r>
        <w:rPr>
          <w:color w:val="231F20"/>
          <w:sz w:val="18"/>
        </w:rPr>
        <w:t>projections had been based on the Labour Force Survey measure of employment, which was not affected by this revision.</w:t>
      </w:r>
    </w:p>
    <w:p>
      <w:pPr>
        <w:pStyle w:val="BodyText"/>
        <w:spacing w:before="8"/>
      </w:pPr>
    </w:p>
    <w:p>
      <w:pPr>
        <w:pStyle w:val="ListParagraph"/>
        <w:numPr>
          <w:ilvl w:val="0"/>
          <w:numId w:val="45"/>
        </w:numPr>
        <w:tabs>
          <w:tab w:pos="654" w:val="left" w:leader="none"/>
          <w:tab w:pos="655" w:val="left" w:leader="none"/>
        </w:tabs>
        <w:spacing w:line="232" w:lineRule="auto" w:before="0" w:after="0"/>
        <w:ind w:left="174" w:right="220" w:firstLine="0"/>
        <w:jc w:val="left"/>
        <w:rPr>
          <w:sz w:val="18"/>
        </w:rPr>
      </w:pPr>
      <w:r>
        <w:rPr>
          <w:color w:val="231F20"/>
          <w:sz w:val="18"/>
        </w:rPr>
        <w:t>The Committee thought that the labour market remained tight, but that it seemed to have reached a turning point, and there were some signs of an easing of labour market pressures from the indicators of skill shortages and signs on pay settlements. The twelve-month employment-weighted average of pay settlements had been flat for many months and, depending on wage drift, this suggested a somewhat more benign path for earnings growth than had been expected around six months ago given the apparent tightening of the labour market. The Bank’s regional Agents had reported some easing of upward pressure on pay growth. The current level of settlements was not especially comforting given </w:t>
      </w:r>
      <w:r>
        <w:rPr>
          <w:color w:val="231F20"/>
          <w:spacing w:val="-6"/>
          <w:sz w:val="18"/>
        </w:rPr>
        <w:t>the </w:t>
      </w:r>
      <w:r>
        <w:rPr>
          <w:color w:val="231F20"/>
          <w:sz w:val="18"/>
        </w:rPr>
        <w:t>normal level of pay drift, but with the economy slowing members thought that there should be reduced pressure on pay from this source. And the reduction in interest rates over recent months would tend to lower RPI inflation relative to the target measure of RPIX in the short-term, which might influence settlements in coming months. Inflation expectations were important for wage setting, and had fallen in the latest surveys. These expectations might also be better anchored, following the monetary policy regime change, than had been the case in the past.</w:t>
      </w:r>
    </w:p>
    <w:p>
      <w:pPr>
        <w:pStyle w:val="BodyText"/>
        <w:spacing w:before="9"/>
        <w:rPr>
          <w:sz w:val="17"/>
        </w:rPr>
      </w:pPr>
    </w:p>
    <w:p>
      <w:pPr>
        <w:pStyle w:val="ListParagraph"/>
        <w:numPr>
          <w:ilvl w:val="0"/>
          <w:numId w:val="45"/>
        </w:numPr>
        <w:tabs>
          <w:tab w:pos="654" w:val="left" w:leader="none"/>
          <w:tab w:pos="655" w:val="left" w:leader="none"/>
        </w:tabs>
        <w:spacing w:line="232" w:lineRule="auto" w:before="0" w:after="0"/>
        <w:ind w:left="174" w:right="305" w:firstLine="0"/>
        <w:jc w:val="left"/>
        <w:rPr>
          <w:sz w:val="18"/>
        </w:rPr>
      </w:pPr>
      <w:r>
        <w:rPr>
          <w:color w:val="231F20"/>
          <w:sz w:val="18"/>
        </w:rPr>
        <w:t>According to the National Accounts estimate of wages and salaries per head, nominal growth had fallen to 4.4% in the year </w:t>
      </w:r>
      <w:r>
        <w:rPr>
          <w:color w:val="231F20"/>
          <w:spacing w:val="-9"/>
          <w:sz w:val="18"/>
        </w:rPr>
        <w:t>to </w:t>
      </w:r>
      <w:r>
        <w:rPr>
          <w:color w:val="231F20"/>
          <w:sz w:val="18"/>
        </w:rPr>
        <w:t>Q3. Estimates of the real wage paid by producers—based on the GDP deflator at basic prices—showed that the rate of growth was still rising, and was consistent with past tightening of the labour market.  However, the rate of increase of the real wage received by workers had been decreasing during 1998. The wedge of over two percentage points between the two measures could be explained by past increases in taxes and changes in employers’ contributions.</w:t>
      </w:r>
    </w:p>
    <w:p>
      <w:pPr>
        <w:pStyle w:val="BodyText"/>
        <w:spacing w:before="2"/>
        <w:rPr>
          <w:sz w:val="20"/>
        </w:rPr>
      </w:pPr>
    </w:p>
    <w:p>
      <w:pPr>
        <w:pStyle w:val="ListParagraph"/>
        <w:numPr>
          <w:ilvl w:val="0"/>
          <w:numId w:val="45"/>
        </w:numPr>
        <w:tabs>
          <w:tab w:pos="654" w:val="left" w:leader="none"/>
          <w:tab w:pos="655" w:val="left" w:leader="none"/>
        </w:tabs>
        <w:spacing w:line="232" w:lineRule="auto" w:before="0" w:after="0"/>
        <w:ind w:left="174" w:right="230" w:firstLine="0"/>
        <w:jc w:val="left"/>
        <w:rPr>
          <w:sz w:val="18"/>
        </w:rPr>
      </w:pPr>
      <w:r>
        <w:rPr>
          <w:color w:val="231F20"/>
          <w:sz w:val="18"/>
        </w:rPr>
        <w:t>The Committee noted that their assumption for earnings growth in 1999 used in the November </w:t>
      </w:r>
      <w:r>
        <w:rPr>
          <w:i/>
          <w:color w:val="231F20"/>
          <w:sz w:val="18"/>
        </w:rPr>
        <w:t>Inflation Report </w:t>
      </w:r>
      <w:r>
        <w:rPr>
          <w:color w:val="231F20"/>
          <w:sz w:val="18"/>
        </w:rPr>
        <w:t>central projection was towards the top end of the range of outside forecasts made in November and December, and agreed that it would return to the issue in its discussion of the forecast for the February </w:t>
      </w:r>
      <w:r>
        <w:rPr>
          <w:i/>
          <w:color w:val="231F20"/>
          <w:sz w:val="18"/>
        </w:rPr>
        <w:t>Inflation</w:t>
      </w:r>
      <w:r>
        <w:rPr>
          <w:i/>
          <w:color w:val="231F20"/>
          <w:spacing w:val="-1"/>
          <w:sz w:val="18"/>
        </w:rPr>
        <w:t> </w:t>
      </w:r>
      <w:r>
        <w:rPr>
          <w:i/>
          <w:color w:val="231F20"/>
          <w:sz w:val="18"/>
        </w:rPr>
        <w:t>Report</w:t>
      </w:r>
      <w:r>
        <w:rPr>
          <w:color w:val="231F20"/>
          <w:sz w:val="18"/>
        </w:rPr>
        <w:t>.</w:t>
      </w:r>
    </w:p>
    <w:p>
      <w:pPr>
        <w:pStyle w:val="BodyText"/>
        <w:spacing w:before="9"/>
        <w:rPr>
          <w:sz w:val="23"/>
        </w:rPr>
      </w:pPr>
    </w:p>
    <w:p>
      <w:pPr>
        <w:pStyle w:val="Heading6"/>
        <w:spacing w:line="266" w:lineRule="auto"/>
        <w:ind w:left="174" w:right="480"/>
      </w:pPr>
      <w:r>
        <w:rPr>
          <w:color w:val="009483"/>
        </w:rPr>
        <w:t>Other considerations bearing on the decision this month</w:t>
      </w:r>
    </w:p>
    <w:p>
      <w:pPr>
        <w:pStyle w:val="ListParagraph"/>
        <w:numPr>
          <w:ilvl w:val="0"/>
          <w:numId w:val="45"/>
        </w:numPr>
        <w:tabs>
          <w:tab w:pos="654" w:val="left" w:leader="none"/>
          <w:tab w:pos="655" w:val="left" w:leader="none"/>
        </w:tabs>
        <w:spacing w:line="232" w:lineRule="auto" w:before="101" w:after="0"/>
        <w:ind w:left="174" w:right="220" w:firstLine="0"/>
        <w:jc w:val="left"/>
        <w:rPr>
          <w:sz w:val="18"/>
        </w:rPr>
      </w:pPr>
      <w:r>
        <w:rPr>
          <w:color w:val="231F20"/>
          <w:sz w:val="18"/>
        </w:rPr>
        <w:t>There were a number of reasons for expecting significant news over the next month. A large share of consumer spending happened around the Christmas period, and at the time of the January meeting the official estimate of retail sales in December was not available. But given the difficulty in seasonally adjusting the data at this time of the year, it would be some time before the full picture became clear. The first estimate of Q4 GDP would </w:t>
      </w:r>
      <w:r>
        <w:rPr>
          <w:color w:val="231F20"/>
          <w:spacing w:val="-5"/>
          <w:sz w:val="18"/>
        </w:rPr>
        <w:t>also </w:t>
      </w:r>
      <w:r>
        <w:rPr>
          <w:color w:val="231F20"/>
          <w:sz w:val="18"/>
        </w:rPr>
        <w:t>become available by the time of the February meeting. In addition, it would be possible to observe the first settlements relating to January, which is an important month for pay agreements. Furthermore, it was still early to assess the impact of the introduction of the euro.</w:t>
      </w:r>
    </w:p>
    <w:p>
      <w:pPr>
        <w:spacing w:after="0" w:line="232" w:lineRule="auto"/>
        <w:jc w:val="left"/>
        <w:rPr>
          <w:sz w:val="18"/>
        </w:rPr>
        <w:sectPr>
          <w:type w:val="continuous"/>
          <w:pgSz w:w="11900" w:h="16840"/>
          <w:pgMar w:top="1220" w:bottom="280" w:left="640" w:right="600"/>
          <w:cols w:num="2" w:equalWidth="0">
            <w:col w:w="5124" w:space="266"/>
            <w:col w:w="5270"/>
          </w:cols>
        </w:sectPr>
      </w:pPr>
    </w:p>
    <w:p>
      <w:pPr>
        <w:pStyle w:val="BodyText"/>
        <w:rPr>
          <w:sz w:val="20"/>
        </w:rPr>
      </w:pPr>
    </w:p>
    <w:p>
      <w:pPr>
        <w:spacing w:after="0"/>
        <w:rPr>
          <w:sz w:val="20"/>
        </w:rPr>
        <w:sectPr>
          <w:pgSz w:w="11900" w:h="16840"/>
          <w:pgMar w:header="566" w:footer="597" w:top="760" w:bottom="780" w:left="640" w:right="600"/>
        </w:sectPr>
      </w:pPr>
    </w:p>
    <w:p>
      <w:pPr>
        <w:pStyle w:val="Heading6"/>
        <w:spacing w:before="212"/>
        <w:ind w:left="165"/>
      </w:pPr>
      <w:r>
        <w:rPr>
          <w:color w:val="009483"/>
        </w:rPr>
        <w:t>The immediate policy decision</w:t>
      </w:r>
    </w:p>
    <w:p>
      <w:pPr>
        <w:pStyle w:val="ListParagraph"/>
        <w:numPr>
          <w:ilvl w:val="0"/>
          <w:numId w:val="45"/>
        </w:numPr>
        <w:tabs>
          <w:tab w:pos="645" w:val="left" w:leader="none"/>
          <w:tab w:pos="646" w:val="left" w:leader="none"/>
        </w:tabs>
        <w:spacing w:line="232" w:lineRule="auto" w:before="109" w:after="0"/>
        <w:ind w:left="165" w:right="244" w:firstLine="0"/>
        <w:jc w:val="left"/>
        <w:rPr>
          <w:sz w:val="18"/>
        </w:rPr>
      </w:pPr>
      <w:r>
        <w:rPr>
          <w:color w:val="231F20"/>
          <w:sz w:val="18"/>
        </w:rPr>
        <w:t>The Committee concluded that the prospects for global activity and prices were as bad as expected a month ago, and </w:t>
      </w:r>
      <w:r>
        <w:rPr>
          <w:color w:val="231F20"/>
          <w:spacing w:val="-5"/>
          <w:sz w:val="18"/>
        </w:rPr>
        <w:t>that </w:t>
      </w:r>
      <w:r>
        <w:rPr>
          <w:color w:val="231F20"/>
          <w:sz w:val="18"/>
        </w:rPr>
        <w:t>the risks remained clearly on the downside. Some Committee members thought that these risks had increased somewhat in the past month, and that it seemed likely that the adjustment of the world economy to past demand shocks would prove more prolonged than some forecasts currently assumed.</w:t>
      </w:r>
    </w:p>
    <w:p>
      <w:pPr>
        <w:pStyle w:val="BodyText"/>
        <w:spacing w:before="11"/>
        <w:rPr>
          <w:sz w:val="16"/>
        </w:rPr>
      </w:pPr>
    </w:p>
    <w:p>
      <w:pPr>
        <w:pStyle w:val="ListParagraph"/>
        <w:numPr>
          <w:ilvl w:val="0"/>
          <w:numId w:val="45"/>
        </w:numPr>
        <w:tabs>
          <w:tab w:pos="645" w:val="left" w:leader="none"/>
          <w:tab w:pos="646" w:val="left" w:leader="none"/>
        </w:tabs>
        <w:spacing w:line="232" w:lineRule="auto" w:before="0" w:after="0"/>
        <w:ind w:left="165" w:right="38" w:firstLine="0"/>
        <w:jc w:val="left"/>
        <w:rPr>
          <w:sz w:val="18"/>
        </w:rPr>
      </w:pPr>
      <w:r>
        <w:rPr>
          <w:color w:val="231F20"/>
          <w:sz w:val="18"/>
        </w:rPr>
        <w:t>The main domestic news on the real side of the economy had been the small downward revision to the level of GDP and the change in the composition of GDP growth, especially the downward revision to consumption. On the other hand the recent news on retail sales was mixed, while the data on notes and coin, and world stock markets pointed to a stronger outlook for activity. And some of the surveys were perhaps not as weak as they had been a month ago. Nonetheless, recent indicators suggested that GDP growth in the fourth quarter of 1998 would turn out broadly </w:t>
      </w:r>
      <w:r>
        <w:rPr>
          <w:color w:val="231F20"/>
          <w:spacing w:val="-9"/>
          <w:sz w:val="18"/>
        </w:rPr>
        <w:t>as </w:t>
      </w:r>
      <w:r>
        <w:rPr>
          <w:color w:val="231F20"/>
          <w:sz w:val="18"/>
        </w:rPr>
        <w:t>expected at the time of the November </w:t>
      </w:r>
      <w:r>
        <w:rPr>
          <w:i/>
          <w:color w:val="231F20"/>
          <w:sz w:val="18"/>
        </w:rPr>
        <w:t>Report</w:t>
      </w:r>
      <w:r>
        <w:rPr>
          <w:color w:val="231F20"/>
          <w:sz w:val="18"/>
        </w:rPr>
        <w:t>. The labour market remained tight, but seemed to have reached a turning point.</w:t>
      </w:r>
    </w:p>
    <w:p>
      <w:pPr>
        <w:pStyle w:val="BodyText"/>
        <w:spacing w:before="7"/>
        <w:rPr>
          <w:sz w:val="16"/>
        </w:rPr>
      </w:pPr>
    </w:p>
    <w:p>
      <w:pPr>
        <w:pStyle w:val="ListParagraph"/>
        <w:numPr>
          <w:ilvl w:val="0"/>
          <w:numId w:val="45"/>
        </w:numPr>
        <w:tabs>
          <w:tab w:pos="645" w:val="left" w:leader="none"/>
          <w:tab w:pos="646" w:val="left" w:leader="none"/>
        </w:tabs>
        <w:spacing w:line="232" w:lineRule="auto" w:before="0" w:after="0"/>
        <w:ind w:left="165" w:right="53" w:firstLine="0"/>
        <w:jc w:val="left"/>
        <w:rPr>
          <w:sz w:val="18"/>
        </w:rPr>
      </w:pPr>
      <w:r>
        <w:rPr>
          <w:color w:val="231F20"/>
          <w:sz w:val="18"/>
        </w:rPr>
        <w:t>Given the picture for activity, nominal price and cost developments continued to be more benign than expected at the time of the November projections and, on the view of some members, than expected in December. The fall in the oil price in November had largely persisted through December. Producer </w:t>
      </w:r>
      <w:r>
        <w:rPr>
          <w:color w:val="231F20"/>
          <w:spacing w:val="-4"/>
          <w:sz w:val="18"/>
        </w:rPr>
        <w:t>input </w:t>
      </w:r>
      <w:r>
        <w:rPr>
          <w:color w:val="231F20"/>
          <w:sz w:val="18"/>
        </w:rPr>
        <w:t>prices had continued to fall. Evidence from wage settlements and the Bank’s regional Agents suggested an easing of upward pressures on the rate of increase of pay.</w:t>
      </w:r>
    </w:p>
    <w:p>
      <w:pPr>
        <w:pStyle w:val="BodyText"/>
        <w:spacing w:before="10"/>
        <w:rPr>
          <w:sz w:val="16"/>
        </w:rPr>
      </w:pPr>
    </w:p>
    <w:p>
      <w:pPr>
        <w:pStyle w:val="ListParagraph"/>
        <w:numPr>
          <w:ilvl w:val="0"/>
          <w:numId w:val="45"/>
        </w:numPr>
        <w:tabs>
          <w:tab w:pos="645" w:val="left" w:leader="none"/>
          <w:tab w:pos="646" w:val="left" w:leader="none"/>
        </w:tabs>
        <w:spacing w:line="232" w:lineRule="auto" w:before="0" w:after="0"/>
        <w:ind w:left="165" w:right="64" w:firstLine="0"/>
        <w:jc w:val="left"/>
        <w:rPr>
          <w:sz w:val="18"/>
        </w:rPr>
      </w:pPr>
      <w:r>
        <w:rPr>
          <w:color w:val="231F20"/>
          <w:sz w:val="18"/>
        </w:rPr>
        <w:t>On one view, given that there was not much news on the month, there was merit in waiting to gather another month’s evidence and for the quarterly </w:t>
      </w:r>
      <w:r>
        <w:rPr>
          <w:i/>
          <w:color w:val="231F20"/>
          <w:sz w:val="18"/>
        </w:rPr>
        <w:t>Inflation Report</w:t>
      </w:r>
      <w:r>
        <w:rPr>
          <w:color w:val="231F20"/>
          <w:sz w:val="18"/>
        </w:rPr>
        <w:t>. The coming month would see some important data on Q4 GDP and settlements, and it was possible that the outcome of the Average Earnings Index review would be known. There were just enough signs of continuing demand growth in the recent data for the next month’s data to be important to the policy decision. The quarterly forecasting round would provide an opportunity to reassess the level of interest rates. On balance, there was a case for pausing </w:t>
      </w:r>
      <w:r>
        <w:rPr>
          <w:color w:val="231F20"/>
          <w:spacing w:val="-6"/>
          <w:sz w:val="18"/>
        </w:rPr>
        <w:t>and </w:t>
      </w:r>
      <w:r>
        <w:rPr>
          <w:color w:val="231F20"/>
          <w:sz w:val="18"/>
        </w:rPr>
        <w:t>making no change in interest rates this month. If in the event the evidence warranted it, a larger reduction in rates could be made next month.</w:t>
      </w:r>
    </w:p>
    <w:p>
      <w:pPr>
        <w:pStyle w:val="BodyText"/>
        <w:spacing w:before="6"/>
        <w:rPr>
          <w:sz w:val="16"/>
        </w:rPr>
      </w:pPr>
    </w:p>
    <w:p>
      <w:pPr>
        <w:pStyle w:val="ListParagraph"/>
        <w:numPr>
          <w:ilvl w:val="0"/>
          <w:numId w:val="45"/>
        </w:numPr>
        <w:tabs>
          <w:tab w:pos="645" w:val="left" w:leader="none"/>
          <w:tab w:pos="646" w:val="left" w:leader="none"/>
        </w:tabs>
        <w:spacing w:line="232" w:lineRule="auto" w:before="0" w:after="0"/>
        <w:ind w:left="165" w:right="83" w:firstLine="0"/>
        <w:jc w:val="left"/>
        <w:rPr>
          <w:sz w:val="18"/>
        </w:rPr>
      </w:pPr>
      <w:r>
        <w:rPr>
          <w:color w:val="231F20"/>
          <w:sz w:val="18"/>
        </w:rPr>
        <w:t>Members identified several possible reasons for an immediate reduction in rates. The adjustment in the world economy was likely to prove more prolonged than previously assumed, with external demand for UK goods and services through 2000 correspondingly weaker. If so, there was less need for policy to put downward pressure on domestically generated inflation. In addition, the November </w:t>
      </w:r>
      <w:r>
        <w:rPr>
          <w:i/>
          <w:color w:val="231F20"/>
          <w:sz w:val="18"/>
        </w:rPr>
        <w:t>Inflation Report </w:t>
      </w:r>
      <w:r>
        <w:rPr>
          <w:color w:val="231F20"/>
          <w:sz w:val="18"/>
        </w:rPr>
        <w:t>central projection had </w:t>
      </w:r>
      <w:r>
        <w:rPr>
          <w:color w:val="231F20"/>
          <w:spacing w:val="-4"/>
          <w:sz w:val="18"/>
        </w:rPr>
        <w:t>also </w:t>
      </w:r>
      <w:r>
        <w:rPr>
          <w:color w:val="231F20"/>
          <w:sz w:val="18"/>
        </w:rPr>
        <w:t>assumed robust real earnings growth and consumption. The revisions to the expenditure composition of domestic demand, together with the potential easing in the labour market and the</w:t>
      </w:r>
    </w:p>
    <w:p>
      <w:pPr>
        <w:pStyle w:val="BodyText"/>
        <w:spacing w:before="7"/>
        <w:rPr>
          <w:sz w:val="19"/>
        </w:rPr>
      </w:pPr>
      <w:r>
        <w:rPr/>
        <w:br w:type="column"/>
      </w:r>
      <w:r>
        <w:rPr>
          <w:sz w:val="19"/>
        </w:rPr>
      </w:r>
    </w:p>
    <w:p>
      <w:pPr>
        <w:pStyle w:val="BodyText"/>
        <w:spacing w:line="232" w:lineRule="auto" w:before="1"/>
        <w:ind w:left="165" w:right="296"/>
      </w:pPr>
      <w:r>
        <w:rPr>
          <w:color w:val="231F20"/>
        </w:rPr>
        <w:t>apparent moderation of inflation expectations, suggested that the prospects for inflation looked weaker. A combination of these external and domestic factors suggested that a reduction in rates of 0.25% (or possibly more in the view of some) was now warranted. If a reduction of 0.25% to interest rates were made at the January meeting it was difficult to see that being inappropriate by the time of the February meeting. The probability of a reversal in rates seemed small, and reversals justified by economic news were anyway not problematic.</w:t>
      </w:r>
    </w:p>
    <w:p>
      <w:pPr>
        <w:pStyle w:val="BodyText"/>
        <w:spacing w:before="2"/>
        <w:rPr>
          <w:sz w:val="20"/>
        </w:rPr>
      </w:pPr>
    </w:p>
    <w:p>
      <w:pPr>
        <w:pStyle w:val="ListParagraph"/>
        <w:numPr>
          <w:ilvl w:val="0"/>
          <w:numId w:val="45"/>
        </w:numPr>
        <w:tabs>
          <w:tab w:pos="645" w:val="left" w:leader="none"/>
          <w:tab w:pos="646" w:val="left" w:leader="none"/>
        </w:tabs>
        <w:spacing w:line="232" w:lineRule="auto" w:before="1" w:after="0"/>
        <w:ind w:left="165" w:right="333" w:firstLine="0"/>
        <w:jc w:val="left"/>
        <w:rPr>
          <w:sz w:val="18"/>
        </w:rPr>
      </w:pPr>
      <w:r>
        <w:rPr>
          <w:color w:val="231F20"/>
          <w:sz w:val="18"/>
        </w:rPr>
        <w:t>Another view was that a cut of 0.75% would have been preferable at the time of the December meeting on the basis of the news available then. With little, if any, news during the past month, a reduction of 0.25% was still needed, and should be </w:t>
      </w:r>
      <w:r>
        <w:rPr>
          <w:color w:val="231F20"/>
          <w:spacing w:val="-5"/>
          <w:sz w:val="18"/>
        </w:rPr>
        <w:t>made </w:t>
      </w:r>
      <w:r>
        <w:rPr>
          <w:color w:val="231F20"/>
          <w:sz w:val="18"/>
        </w:rPr>
        <w:t>now.</w:t>
      </w:r>
    </w:p>
    <w:p>
      <w:pPr>
        <w:pStyle w:val="BodyText"/>
        <w:spacing w:before="6"/>
        <w:rPr>
          <w:sz w:val="20"/>
        </w:rPr>
      </w:pPr>
    </w:p>
    <w:p>
      <w:pPr>
        <w:pStyle w:val="ListParagraph"/>
        <w:numPr>
          <w:ilvl w:val="0"/>
          <w:numId w:val="45"/>
        </w:numPr>
        <w:tabs>
          <w:tab w:pos="645" w:val="left" w:leader="none"/>
          <w:tab w:pos="646" w:val="left" w:leader="none"/>
        </w:tabs>
        <w:spacing w:line="232" w:lineRule="auto" w:before="0" w:after="0"/>
        <w:ind w:left="165" w:right="218" w:firstLine="0"/>
        <w:jc w:val="left"/>
        <w:rPr>
          <w:sz w:val="18"/>
        </w:rPr>
      </w:pPr>
      <w:r>
        <w:rPr>
          <w:color w:val="231F20"/>
          <w:sz w:val="18"/>
        </w:rPr>
        <w:t>Another view was that a reduction of 0.25% would still </w:t>
      </w:r>
      <w:r>
        <w:rPr>
          <w:color w:val="231F20"/>
          <w:spacing w:val="-4"/>
          <w:sz w:val="18"/>
        </w:rPr>
        <w:t>leave </w:t>
      </w:r>
      <w:r>
        <w:rPr>
          <w:color w:val="231F20"/>
          <w:sz w:val="18"/>
        </w:rPr>
        <w:t>rates above their neutral level, which was too high in the context of the current conjuncture. So the issue was how fast to reduce rates. There were three reasons for moving in steps rather than in one large reduction. First, a series of reductions might have a greater impact on consumer and business sentiment.  Second, it might allow the Committee to learn more about the way the economy was responding to past shocks and policy changes. Third, it was important not to out-pace significantly the expectations of financial markets, as this could have unwanted consequences for asset prices and the exchange rate. Even though it was appropriate to move in </w:t>
      </w:r>
      <w:r>
        <w:rPr>
          <w:color w:val="231F20"/>
          <w:spacing w:val="-12"/>
          <w:sz w:val="18"/>
        </w:rPr>
        <w:t>a </w:t>
      </w:r>
      <w:r>
        <w:rPr>
          <w:color w:val="231F20"/>
          <w:sz w:val="18"/>
        </w:rPr>
        <w:t>series of steps, the current level of rates was sufficiently above the rate required at this point in the cycle that a reduction of 0.50% was needed now.</w:t>
      </w:r>
    </w:p>
    <w:p>
      <w:pPr>
        <w:pStyle w:val="BodyText"/>
        <w:spacing w:before="10"/>
        <w:rPr>
          <w:sz w:val="19"/>
        </w:rPr>
      </w:pPr>
    </w:p>
    <w:p>
      <w:pPr>
        <w:pStyle w:val="ListParagraph"/>
        <w:numPr>
          <w:ilvl w:val="0"/>
          <w:numId w:val="45"/>
        </w:numPr>
        <w:tabs>
          <w:tab w:pos="645" w:val="left" w:leader="none"/>
          <w:tab w:pos="646" w:val="left" w:leader="none"/>
        </w:tabs>
        <w:spacing w:line="232" w:lineRule="auto" w:before="0" w:after="0"/>
        <w:ind w:left="165" w:right="279" w:firstLine="0"/>
        <w:jc w:val="left"/>
        <w:rPr>
          <w:sz w:val="18"/>
        </w:rPr>
      </w:pPr>
      <w:r>
        <w:rPr>
          <w:color w:val="231F20"/>
          <w:sz w:val="18"/>
        </w:rPr>
        <w:t>The Governor invited members of the Committee to vote on the proposition that the Bank’s repo rate be cut by 0.25% to 6.0%. Seven members of the Committee (the Governor, Mervyn King, David Clementi, Alan Budd, Willem Buiter, Charles Goodhart and John Vickers) voted for the proposition, and two (DeAnne Julius and Ian Plenderleith) voted against. DeAnne Julius preferred an immediate cut of 0.50%, and Ian Plenderleith preferred to </w:t>
      </w:r>
      <w:r>
        <w:rPr>
          <w:color w:val="231F20"/>
          <w:spacing w:val="-3"/>
          <w:sz w:val="18"/>
        </w:rPr>
        <w:t>maintain </w:t>
      </w:r>
      <w:r>
        <w:rPr>
          <w:color w:val="231F20"/>
          <w:sz w:val="18"/>
        </w:rPr>
        <w:t>the Bank’s repo rate at 6.25%.</w:t>
      </w:r>
    </w:p>
    <w:p>
      <w:pPr>
        <w:pStyle w:val="ListParagraph"/>
        <w:numPr>
          <w:ilvl w:val="0"/>
          <w:numId w:val="45"/>
        </w:numPr>
        <w:tabs>
          <w:tab w:pos="645" w:val="left" w:leader="none"/>
          <w:tab w:pos="646" w:val="left" w:leader="none"/>
        </w:tabs>
        <w:spacing w:line="420" w:lineRule="exact" w:before="41" w:after="0"/>
        <w:ind w:left="165" w:right="588" w:firstLine="0"/>
        <w:jc w:val="left"/>
        <w:rPr>
          <w:sz w:val="18"/>
        </w:rPr>
      </w:pPr>
      <w:r>
        <w:rPr>
          <w:color w:val="231F20"/>
          <w:sz w:val="18"/>
        </w:rPr>
        <w:t>The following members of the Committee were </w:t>
      </w:r>
      <w:r>
        <w:rPr>
          <w:color w:val="231F20"/>
          <w:spacing w:val="-3"/>
          <w:sz w:val="18"/>
        </w:rPr>
        <w:t>present: </w:t>
      </w:r>
      <w:r>
        <w:rPr>
          <w:color w:val="231F20"/>
          <w:sz w:val="18"/>
        </w:rPr>
        <w:t>Eddie George, Governor</w:t>
      </w:r>
    </w:p>
    <w:p>
      <w:pPr>
        <w:pStyle w:val="BodyText"/>
        <w:spacing w:line="151" w:lineRule="exact"/>
        <w:ind w:left="165"/>
      </w:pPr>
      <w:r>
        <w:rPr>
          <w:color w:val="231F20"/>
        </w:rPr>
        <w:t>Mervyn King, Deputy Governor responsible for monetary policy</w:t>
      </w:r>
    </w:p>
    <w:p>
      <w:pPr>
        <w:pStyle w:val="BodyText"/>
        <w:spacing w:line="232" w:lineRule="auto" w:before="2"/>
        <w:ind w:left="165" w:right="801"/>
      </w:pPr>
      <w:r>
        <w:rPr>
          <w:color w:val="231F20"/>
        </w:rPr>
        <w:t>David Clementi, Deputy Governor responsible for financial stability</w:t>
      </w:r>
    </w:p>
    <w:p>
      <w:pPr>
        <w:pStyle w:val="BodyText"/>
        <w:spacing w:line="232" w:lineRule="auto"/>
        <w:ind w:left="165" w:right="3820"/>
      </w:pPr>
      <w:r>
        <w:rPr>
          <w:color w:val="231F20"/>
        </w:rPr>
        <w:t>Alan Budd Willem Buiter Charles Goodhart DeAnne Julius Ian Plenderleith John Vickers</w:t>
      </w:r>
    </w:p>
    <w:p>
      <w:pPr>
        <w:pStyle w:val="BodyText"/>
        <w:spacing w:before="4"/>
        <w:rPr>
          <w:sz w:val="16"/>
        </w:rPr>
      </w:pPr>
    </w:p>
    <w:p>
      <w:pPr>
        <w:pStyle w:val="ListParagraph"/>
        <w:numPr>
          <w:ilvl w:val="0"/>
          <w:numId w:val="45"/>
        </w:numPr>
        <w:tabs>
          <w:tab w:pos="645" w:val="left" w:leader="none"/>
          <w:tab w:pos="646" w:val="left" w:leader="none"/>
        </w:tabs>
        <w:spacing w:line="240" w:lineRule="auto" w:before="1" w:after="0"/>
        <w:ind w:left="645" w:right="0" w:hanging="481"/>
        <w:jc w:val="left"/>
        <w:rPr>
          <w:sz w:val="18"/>
        </w:rPr>
      </w:pPr>
      <w:r>
        <w:rPr>
          <w:color w:val="231F20"/>
          <w:sz w:val="18"/>
        </w:rPr>
        <w:t>Gus O’Donnell was present as the Treasury representative.</w:t>
      </w:r>
    </w:p>
    <w:p>
      <w:pPr>
        <w:spacing w:after="0" w:line="240" w:lineRule="auto"/>
        <w:jc w:val="left"/>
        <w:rPr>
          <w:sz w:val="18"/>
        </w:rPr>
        <w:sectPr>
          <w:type w:val="continuous"/>
          <w:pgSz w:w="11900" w:h="16840"/>
          <w:pgMar w:top="1220" w:bottom="280" w:left="640" w:right="600"/>
          <w:cols w:num="2" w:equalWidth="0">
            <w:col w:w="5105" w:space="275"/>
            <w:col w:w="5280"/>
          </w:cols>
        </w:sectPr>
      </w:pPr>
    </w:p>
    <w:p>
      <w:pPr>
        <w:pStyle w:val="BodyText"/>
        <w:rPr>
          <w:sz w:val="20"/>
        </w:rPr>
      </w:pPr>
    </w:p>
    <w:p>
      <w:pPr>
        <w:pStyle w:val="BodyText"/>
        <w:rPr>
          <w:sz w:val="20"/>
        </w:rPr>
      </w:pPr>
    </w:p>
    <w:p>
      <w:pPr>
        <w:pStyle w:val="BodyText"/>
        <w:spacing w:before="1"/>
        <w:rPr>
          <w:sz w:val="16"/>
        </w:rPr>
      </w:pPr>
    </w:p>
    <w:p>
      <w:pPr>
        <w:pStyle w:val="Heading1"/>
      </w:pPr>
      <w:r>
        <w:rPr>
          <w:color w:val="009483"/>
        </w:rPr>
        <w:t>Annex: Summary of data presented by Bank staff</w:t>
      </w:r>
    </w:p>
    <w:p>
      <w:pPr>
        <w:pStyle w:val="BodyText"/>
        <w:rPr>
          <w:b/>
          <w:sz w:val="20"/>
        </w:rPr>
      </w:pPr>
    </w:p>
    <w:p>
      <w:pPr>
        <w:spacing w:after="0"/>
        <w:rPr>
          <w:sz w:val="20"/>
        </w:rPr>
        <w:sectPr>
          <w:pgSz w:w="11900" w:h="16840"/>
          <w:pgMar w:header="566" w:footer="597" w:top="760" w:bottom="780" w:left="640" w:right="600"/>
        </w:sectPr>
      </w:pPr>
    </w:p>
    <w:p>
      <w:pPr>
        <w:pStyle w:val="BodyText"/>
        <w:spacing w:before="7"/>
        <w:rPr>
          <w:b/>
          <w:sz w:val="20"/>
        </w:rPr>
      </w:pPr>
    </w:p>
    <w:p>
      <w:pPr>
        <w:pStyle w:val="ListParagraph"/>
        <w:numPr>
          <w:ilvl w:val="0"/>
          <w:numId w:val="46"/>
        </w:numPr>
        <w:tabs>
          <w:tab w:pos="664" w:val="left" w:leader="none"/>
          <w:tab w:pos="665" w:val="left" w:leader="none"/>
        </w:tabs>
        <w:spacing w:line="232" w:lineRule="auto" w:before="0" w:after="0"/>
        <w:ind w:left="184" w:right="177" w:firstLine="0"/>
        <w:jc w:val="left"/>
        <w:rPr>
          <w:sz w:val="18"/>
        </w:rPr>
      </w:pPr>
      <w:r>
        <w:rPr>
          <w:color w:val="231F20"/>
          <w:sz w:val="18"/>
        </w:rPr>
        <w:t>This Annex summarises the analysis presented by the </w:t>
      </w:r>
      <w:r>
        <w:rPr>
          <w:color w:val="231F20"/>
          <w:spacing w:val="-5"/>
          <w:sz w:val="18"/>
        </w:rPr>
        <w:t>Bank </w:t>
      </w:r>
      <w:r>
        <w:rPr>
          <w:color w:val="231F20"/>
          <w:sz w:val="18"/>
        </w:rPr>
        <w:t>staff to the Monetary Policy Committee on 4 January 1999, in advance of its meeting on 6 January 1999. At the start of the Committee meeting itself, members were made aware of information that had subsequently become available, and that information is included in the Annex.</w:t>
      </w:r>
    </w:p>
    <w:p>
      <w:pPr>
        <w:pStyle w:val="BodyText"/>
        <w:spacing w:before="9"/>
        <w:rPr>
          <w:sz w:val="23"/>
        </w:rPr>
      </w:pPr>
    </w:p>
    <w:p>
      <w:pPr>
        <w:pStyle w:val="Heading6"/>
        <w:numPr>
          <w:ilvl w:val="0"/>
          <w:numId w:val="47"/>
        </w:numPr>
        <w:tabs>
          <w:tab w:pos="664" w:val="left" w:leader="none"/>
          <w:tab w:pos="665" w:val="left" w:leader="none"/>
        </w:tabs>
        <w:spacing w:line="240" w:lineRule="auto" w:before="0" w:after="0"/>
        <w:ind w:left="664" w:right="0" w:hanging="481"/>
        <w:jc w:val="left"/>
      </w:pPr>
      <w:r>
        <w:rPr>
          <w:color w:val="009483"/>
        </w:rPr>
        <w:t>Monetary conditions</w:t>
      </w:r>
    </w:p>
    <w:p>
      <w:pPr>
        <w:pStyle w:val="ListParagraph"/>
        <w:numPr>
          <w:ilvl w:val="0"/>
          <w:numId w:val="46"/>
        </w:numPr>
        <w:tabs>
          <w:tab w:pos="664" w:val="left" w:leader="none"/>
          <w:tab w:pos="665" w:val="left" w:leader="none"/>
        </w:tabs>
        <w:spacing w:line="203" w:lineRule="exact" w:before="104" w:after="0"/>
        <w:ind w:left="664" w:right="0" w:hanging="481"/>
        <w:jc w:val="left"/>
        <w:rPr>
          <w:sz w:val="18"/>
        </w:rPr>
      </w:pPr>
      <w:r>
        <w:rPr>
          <w:color w:val="231F20"/>
          <w:sz w:val="18"/>
        </w:rPr>
        <w:t>Notes and coin had risen in December by 1.2%. The</w:t>
      </w:r>
    </w:p>
    <w:p>
      <w:pPr>
        <w:pStyle w:val="BodyText"/>
        <w:spacing w:line="232" w:lineRule="auto" w:before="2"/>
        <w:ind w:left="184" w:right="31"/>
      </w:pPr>
      <w:r>
        <w:rPr>
          <w:color w:val="231F20"/>
        </w:rPr>
        <w:t>twelve-month growth rate had increased by 0.6 percentage points to 5.7%. Seasonal factors were typically harder to establish in the Christmas period, making the December data especially hard to interpret.</w:t>
      </w:r>
    </w:p>
    <w:p>
      <w:pPr>
        <w:pStyle w:val="BodyText"/>
        <w:spacing w:before="9"/>
      </w:pPr>
    </w:p>
    <w:p>
      <w:pPr>
        <w:pStyle w:val="ListParagraph"/>
        <w:numPr>
          <w:ilvl w:val="0"/>
          <w:numId w:val="46"/>
        </w:numPr>
        <w:tabs>
          <w:tab w:pos="664" w:val="left" w:leader="none"/>
          <w:tab w:pos="665" w:val="left" w:leader="none"/>
        </w:tabs>
        <w:spacing w:line="232" w:lineRule="auto" w:before="1" w:after="0"/>
        <w:ind w:left="184" w:right="45" w:firstLine="0"/>
        <w:jc w:val="left"/>
        <w:rPr>
          <w:sz w:val="18"/>
        </w:rPr>
      </w:pPr>
      <w:r>
        <w:rPr>
          <w:color w:val="231F20"/>
          <w:sz w:val="18"/>
        </w:rPr>
        <w:t>The monthly flow of M4 in November, at £2.1 billion, was well below the average over the rest of 1998, and the twelve-month growth rate had fallen to 8.3%, the lowest since July 1995. This was largely accounted for by a £0.7 billion decline in Other Financial Corporations’ (OFCs’) balances in November and a slightly lower rate of increase of Household sector deposits. The deposits of Private Non-Financial Corporations (P</w:t>
      </w:r>
      <w:r>
        <w:rPr>
          <w:color w:val="231F20"/>
          <w:sz w:val="14"/>
        </w:rPr>
        <w:t>NFC</w:t>
      </w:r>
      <w:r>
        <w:rPr>
          <w:color w:val="231F20"/>
          <w:sz w:val="18"/>
        </w:rPr>
        <w:t>s) had risen strongly in November, following a small fall in October.  Taking the two months together, P</w:t>
      </w:r>
      <w:r>
        <w:rPr>
          <w:color w:val="231F20"/>
          <w:sz w:val="14"/>
        </w:rPr>
        <w:t>NFC</w:t>
      </w:r>
      <w:r>
        <w:rPr>
          <w:color w:val="231F20"/>
          <w:sz w:val="18"/>
        </w:rPr>
        <w:t>s’ deposits in October and November were in line with the 1998 average.</w:t>
      </w:r>
    </w:p>
    <w:p>
      <w:pPr>
        <w:pStyle w:val="BodyText"/>
        <w:spacing w:before="5"/>
      </w:pPr>
    </w:p>
    <w:p>
      <w:pPr>
        <w:pStyle w:val="ListParagraph"/>
        <w:numPr>
          <w:ilvl w:val="0"/>
          <w:numId w:val="46"/>
        </w:numPr>
        <w:tabs>
          <w:tab w:pos="664" w:val="left" w:leader="none"/>
          <w:tab w:pos="665" w:val="left" w:leader="none"/>
        </w:tabs>
        <w:spacing w:line="232" w:lineRule="auto" w:before="0" w:after="0"/>
        <w:ind w:left="184" w:right="38" w:firstLine="0"/>
        <w:jc w:val="left"/>
        <w:rPr>
          <w:sz w:val="18"/>
        </w:rPr>
      </w:pPr>
      <w:r>
        <w:rPr>
          <w:color w:val="231F20"/>
          <w:sz w:val="18"/>
        </w:rPr>
        <w:t>The increase of £1.8 billion in M4 lending in November was the lowest since December 1996. The sectoral pattern largely mirrored that on the deposits side: OFCs had made a net repayment of £4.0 billion in November while P</w:t>
      </w:r>
      <w:r>
        <w:rPr>
          <w:color w:val="231F20"/>
          <w:sz w:val="14"/>
        </w:rPr>
        <w:t>NFC</w:t>
      </w:r>
      <w:r>
        <w:rPr>
          <w:color w:val="231F20"/>
          <w:sz w:val="18"/>
        </w:rPr>
        <w:t>s borrowing had increased quite sharply, to £1.9 billion.  Anecdotal evidence suggested that the OFC sector may have chosen to shrink balance sheets by more than has been typical ahead of the year-end. Major British Banks’ lending to securities dealers had fallen by £1.5 billion in November, consistent with that interpretation.</w:t>
      </w:r>
    </w:p>
    <w:p>
      <w:pPr>
        <w:pStyle w:val="BodyText"/>
        <w:spacing w:before="1"/>
      </w:pPr>
    </w:p>
    <w:p>
      <w:pPr>
        <w:pStyle w:val="ListParagraph"/>
        <w:numPr>
          <w:ilvl w:val="0"/>
          <w:numId w:val="46"/>
        </w:numPr>
        <w:tabs>
          <w:tab w:pos="664" w:val="left" w:leader="none"/>
          <w:tab w:pos="665" w:val="left" w:leader="none"/>
        </w:tabs>
        <w:spacing w:line="203" w:lineRule="exact" w:before="0" w:after="0"/>
        <w:ind w:left="664" w:right="0" w:hanging="481"/>
        <w:jc w:val="left"/>
        <w:rPr>
          <w:sz w:val="18"/>
        </w:rPr>
      </w:pPr>
      <w:r>
        <w:rPr>
          <w:color w:val="231F20"/>
          <w:sz w:val="18"/>
        </w:rPr>
        <w:t>Households’ borrowing had remained steady in November at</w:t>
      </w:r>
    </w:p>
    <w:p>
      <w:pPr>
        <w:pStyle w:val="BodyText"/>
        <w:spacing w:line="232" w:lineRule="auto" w:before="1"/>
        <w:ind w:left="184" w:right="31"/>
      </w:pPr>
      <w:r>
        <w:rPr>
          <w:color w:val="231F20"/>
        </w:rPr>
        <w:t>£3.0 billion, and the twelve-month growth rate was still 7.4%, around 0.5 percentage points higher than at the start of 1998. There had been no slowdown on the month in secured borrowing or the number of loan approvals for house purchase. Unsecured credit growth had remained strong: the comprehensive measure of unsecured credit, which includes lending by non-M4 institutions, had increased by 17.3% on a year earlier.</w:t>
      </w:r>
    </w:p>
    <w:p>
      <w:pPr>
        <w:pStyle w:val="BodyText"/>
        <w:spacing w:before="6"/>
        <w:rPr>
          <w:sz w:val="16"/>
        </w:rPr>
      </w:pPr>
    </w:p>
    <w:p>
      <w:pPr>
        <w:pStyle w:val="ListParagraph"/>
        <w:numPr>
          <w:ilvl w:val="0"/>
          <w:numId w:val="46"/>
        </w:numPr>
        <w:tabs>
          <w:tab w:pos="664" w:val="left" w:leader="none"/>
          <w:tab w:pos="665" w:val="left" w:leader="none"/>
        </w:tabs>
        <w:spacing w:line="204" w:lineRule="exact" w:before="0" w:after="0"/>
        <w:ind w:left="664" w:right="0" w:hanging="481"/>
        <w:jc w:val="left"/>
        <w:rPr>
          <w:sz w:val="18"/>
        </w:rPr>
      </w:pPr>
      <w:r>
        <w:rPr>
          <w:color w:val="231F20"/>
          <w:sz w:val="18"/>
        </w:rPr>
        <w:t>Net external finance raised by P</w:t>
      </w:r>
      <w:r>
        <w:rPr>
          <w:color w:val="231F20"/>
          <w:sz w:val="14"/>
        </w:rPr>
        <w:t>NFC</w:t>
      </w:r>
      <w:r>
        <w:rPr>
          <w:color w:val="231F20"/>
          <w:sz w:val="18"/>
        </w:rPr>
        <w:t>s had risen</w:t>
      </w:r>
      <w:r>
        <w:rPr>
          <w:color w:val="231F20"/>
          <w:spacing w:val="-1"/>
          <w:sz w:val="18"/>
        </w:rPr>
        <w:t> </w:t>
      </w:r>
      <w:r>
        <w:rPr>
          <w:color w:val="231F20"/>
          <w:sz w:val="18"/>
        </w:rPr>
        <w:t>by</w:t>
      </w:r>
    </w:p>
    <w:p>
      <w:pPr>
        <w:pStyle w:val="BodyText"/>
        <w:spacing w:line="232" w:lineRule="auto" w:before="2"/>
        <w:ind w:left="184" w:right="73"/>
      </w:pPr>
      <w:r>
        <w:rPr>
          <w:color w:val="231F20"/>
        </w:rPr>
        <w:t>£1.4 billion to £4.4 billion in November. This included an increase in P</w:t>
      </w:r>
      <w:r>
        <w:rPr>
          <w:color w:val="231F20"/>
          <w:sz w:val="14"/>
        </w:rPr>
        <w:t>NFC</w:t>
      </w:r>
      <w:r>
        <w:rPr>
          <w:color w:val="231F20"/>
        </w:rPr>
        <w:t>s net recourse to banks and a reduction in net capital issues. As for capital market conditions, the spread between swaps and government debt, and between corporate bonds and government debt, had both been broadly constant during December. These spreads remained high by historic standards but were below the peaks observed in the autumn.</w:t>
      </w:r>
    </w:p>
    <w:p>
      <w:pPr>
        <w:pStyle w:val="BodyText"/>
        <w:spacing w:before="10"/>
        <w:rPr>
          <w:sz w:val="16"/>
        </w:rPr>
      </w:pPr>
    </w:p>
    <w:p>
      <w:pPr>
        <w:pStyle w:val="ListParagraph"/>
        <w:numPr>
          <w:ilvl w:val="0"/>
          <w:numId w:val="46"/>
        </w:numPr>
        <w:tabs>
          <w:tab w:pos="664" w:val="left" w:leader="none"/>
          <w:tab w:pos="665" w:val="left" w:leader="none"/>
        </w:tabs>
        <w:spacing w:line="232" w:lineRule="auto" w:before="0" w:after="0"/>
        <w:ind w:left="184" w:right="283" w:firstLine="0"/>
        <w:jc w:val="left"/>
        <w:rPr>
          <w:sz w:val="18"/>
        </w:rPr>
      </w:pPr>
      <w:r>
        <w:rPr>
          <w:color w:val="231F20"/>
          <w:sz w:val="18"/>
        </w:rPr>
        <w:t>Turning to price indicators of monetary conditions, the  50 basis point cut in official rates in November had already</w:t>
      </w:r>
      <w:r>
        <w:rPr>
          <w:color w:val="231F20"/>
          <w:spacing w:val="2"/>
          <w:sz w:val="18"/>
        </w:rPr>
        <w:t> </w:t>
      </w:r>
      <w:r>
        <w:rPr>
          <w:color w:val="231F20"/>
          <w:spacing w:val="-5"/>
          <w:sz w:val="18"/>
        </w:rPr>
        <w:t>been</w:t>
      </w:r>
    </w:p>
    <w:p>
      <w:pPr>
        <w:pStyle w:val="BodyText"/>
        <w:spacing w:line="232" w:lineRule="auto"/>
        <w:ind w:left="184" w:right="41"/>
      </w:pPr>
      <w:r>
        <w:rPr>
          <w:color w:val="231F20"/>
        </w:rPr>
        <w:t>fully passed through to variable-rate mortgages advertised by banks and building societies; announcements had been made by lenders that the 50 basis point cut in official rates in December would soon be passed on.</w:t>
      </w:r>
    </w:p>
    <w:p>
      <w:pPr>
        <w:pStyle w:val="BodyText"/>
        <w:rPr>
          <w:sz w:val="17"/>
        </w:rPr>
      </w:pPr>
    </w:p>
    <w:p>
      <w:pPr>
        <w:pStyle w:val="ListParagraph"/>
        <w:numPr>
          <w:ilvl w:val="0"/>
          <w:numId w:val="46"/>
        </w:numPr>
        <w:tabs>
          <w:tab w:pos="664" w:val="left" w:leader="none"/>
          <w:tab w:pos="665" w:val="left" w:leader="none"/>
        </w:tabs>
        <w:spacing w:line="232" w:lineRule="auto" w:before="0" w:after="0"/>
        <w:ind w:left="184" w:right="232" w:firstLine="0"/>
        <w:jc w:val="left"/>
        <w:rPr>
          <w:sz w:val="18"/>
        </w:rPr>
      </w:pPr>
      <w:r>
        <w:rPr>
          <w:color w:val="231F20"/>
          <w:sz w:val="18"/>
        </w:rPr>
        <w:t>Survey measures of short-run inflation expectations had fallen by between 10 and 20 basis points during November, </w:t>
      </w:r>
      <w:r>
        <w:rPr>
          <w:color w:val="231F20"/>
          <w:spacing w:val="-4"/>
          <w:sz w:val="18"/>
        </w:rPr>
        <w:t>lying </w:t>
      </w:r>
      <w:r>
        <w:rPr>
          <w:color w:val="231F20"/>
          <w:sz w:val="18"/>
        </w:rPr>
        <w:t>largely in a range between 2.2%–2.3%. These surveys had predominantly been undertaken before the reduction in official interest rates on 10 December. Measures of professionals’</w:t>
      </w:r>
    </w:p>
    <w:p>
      <w:pPr>
        <w:pStyle w:val="BodyText"/>
        <w:spacing w:before="7"/>
        <w:rPr>
          <w:sz w:val="20"/>
        </w:rPr>
      </w:pPr>
      <w:r>
        <w:rPr/>
        <w:br w:type="column"/>
      </w:r>
      <w:r>
        <w:rPr>
          <w:sz w:val="20"/>
        </w:rPr>
      </w:r>
    </w:p>
    <w:p>
      <w:pPr>
        <w:pStyle w:val="BodyText"/>
        <w:spacing w:line="232" w:lineRule="auto"/>
        <w:ind w:left="184" w:right="317"/>
      </w:pPr>
      <w:r>
        <w:rPr>
          <w:color w:val="231F20"/>
        </w:rPr>
        <w:t>expectations of average annual inflation over the next two years, derived from Consensus Economics and Basix surveys, had fallen by between 25 and 50 basis points on a quarter earlier. Estimates of short real interest rates could be made by subtracting survey measures of inflation expectations from a corresponding maturity wholesale money market rate. These calculations suggested that short real rates had fallen again during November, by around</w:t>
      </w:r>
    </w:p>
    <w:p>
      <w:pPr>
        <w:pStyle w:val="BodyText"/>
        <w:spacing w:line="232" w:lineRule="auto"/>
        <w:ind w:left="184" w:right="189"/>
      </w:pPr>
      <w:r>
        <w:rPr>
          <w:color w:val="231F20"/>
        </w:rPr>
        <w:t>20 basis points. Estimates of average real interest rates over the next two years derived from the Consensus survey enabled international comparisons to be made; they suggested that over Q4 real rates had fallen by substantially more in the United Kingdom (around 60 basis points) compared with either the United States (around 15 basis point fall) or Germany (around 30 basis point</w:t>
      </w:r>
      <w:r>
        <w:rPr>
          <w:color w:val="231F20"/>
          <w:spacing w:val="1"/>
        </w:rPr>
        <w:t> </w:t>
      </w:r>
      <w:r>
        <w:rPr>
          <w:color w:val="231F20"/>
          <w:spacing w:val="-3"/>
        </w:rPr>
        <w:t>fall).</w:t>
      </w:r>
    </w:p>
    <w:p>
      <w:pPr>
        <w:pStyle w:val="BodyText"/>
        <w:spacing w:before="3"/>
      </w:pPr>
    </w:p>
    <w:p>
      <w:pPr>
        <w:pStyle w:val="ListParagraph"/>
        <w:numPr>
          <w:ilvl w:val="0"/>
          <w:numId w:val="48"/>
        </w:numPr>
        <w:tabs>
          <w:tab w:pos="664" w:val="left" w:leader="none"/>
          <w:tab w:pos="665" w:val="left" w:leader="none"/>
        </w:tabs>
        <w:spacing w:line="232" w:lineRule="auto" w:before="0" w:after="0"/>
        <w:ind w:left="184" w:right="199" w:firstLine="0"/>
        <w:jc w:val="left"/>
        <w:rPr>
          <w:sz w:val="18"/>
        </w:rPr>
      </w:pPr>
      <w:r>
        <w:rPr>
          <w:color w:val="231F20"/>
          <w:sz w:val="18"/>
        </w:rPr>
        <w:t>The Basix general public’s inflation expectations for the </w:t>
      </w:r>
      <w:r>
        <w:rPr>
          <w:color w:val="231F20"/>
          <w:spacing w:val="-5"/>
          <w:sz w:val="18"/>
        </w:rPr>
        <w:t>next </w:t>
      </w:r>
      <w:r>
        <w:rPr>
          <w:color w:val="231F20"/>
          <w:sz w:val="18"/>
        </w:rPr>
        <w:t>two years had also fallen markedly over Q4. The mean inflation expectations for one year ahead had fallen from 4.5% to 4.2% over the quarter. Expected inflation two years ahead had fallen from 5.1% to 4.7% over the quarter. There had also been a shift in the distribution of inflation expectations away from 4% or above, to 3% or below. The expectations of inflation formed by the general public still remained well above other measures.</w:t>
      </w:r>
    </w:p>
    <w:p>
      <w:pPr>
        <w:pStyle w:val="BodyText"/>
        <w:spacing w:before="7"/>
        <w:rPr>
          <w:sz w:val="23"/>
        </w:rPr>
      </w:pPr>
    </w:p>
    <w:p>
      <w:pPr>
        <w:pStyle w:val="Heading6"/>
        <w:numPr>
          <w:ilvl w:val="0"/>
          <w:numId w:val="47"/>
        </w:numPr>
        <w:tabs>
          <w:tab w:pos="664" w:val="left" w:leader="none"/>
          <w:tab w:pos="665" w:val="left" w:leader="none"/>
        </w:tabs>
        <w:spacing w:line="240" w:lineRule="auto" w:before="0" w:after="0"/>
        <w:ind w:left="664" w:right="0" w:hanging="481"/>
        <w:jc w:val="left"/>
      </w:pPr>
      <w:r>
        <w:rPr>
          <w:color w:val="009483"/>
        </w:rPr>
        <w:t>Demand and output</w:t>
      </w:r>
    </w:p>
    <w:p>
      <w:pPr>
        <w:pStyle w:val="ListParagraph"/>
        <w:numPr>
          <w:ilvl w:val="0"/>
          <w:numId w:val="48"/>
        </w:numPr>
        <w:tabs>
          <w:tab w:pos="664" w:val="left" w:leader="none"/>
          <w:tab w:pos="665" w:val="left" w:leader="none"/>
        </w:tabs>
        <w:spacing w:line="232" w:lineRule="auto" w:before="130" w:after="0"/>
        <w:ind w:left="184" w:right="294" w:firstLine="0"/>
        <w:jc w:val="left"/>
        <w:rPr>
          <w:sz w:val="18"/>
        </w:rPr>
      </w:pPr>
      <w:r>
        <w:rPr>
          <w:color w:val="231F20"/>
          <w:sz w:val="18"/>
        </w:rPr>
        <w:t>According to the National Accounts release, GDP at </w:t>
      </w:r>
      <w:r>
        <w:rPr>
          <w:color w:val="231F20"/>
          <w:spacing w:val="-3"/>
          <w:sz w:val="18"/>
        </w:rPr>
        <w:t>market </w:t>
      </w:r>
      <w:r>
        <w:rPr>
          <w:color w:val="231F20"/>
          <w:sz w:val="18"/>
        </w:rPr>
        <w:t>prices had grown by an unrevised 0.4% in 1998 Q3 on a quarter earlier, and by 2.3% at an annual rate. But downward revisions to growth in 1997 and the first half of 1998 had reduced the level of GDP by around £350 million (or 0.2%). There had been revisions to the expenditure composition of growth in Q3, with a slightly stronger contribution from net trade offsetting weaker domestic demand. And the divergence between the output and expenditure measures of GDP had widened markedly to £865 million, compared with almost zero in 1997 Q3.</w:t>
      </w:r>
    </w:p>
    <w:p>
      <w:pPr>
        <w:pStyle w:val="BodyText"/>
        <w:spacing w:before="5"/>
      </w:pPr>
    </w:p>
    <w:p>
      <w:pPr>
        <w:pStyle w:val="ListParagraph"/>
        <w:numPr>
          <w:ilvl w:val="0"/>
          <w:numId w:val="48"/>
        </w:numPr>
        <w:tabs>
          <w:tab w:pos="664" w:val="left" w:leader="none"/>
          <w:tab w:pos="665" w:val="left" w:leader="none"/>
        </w:tabs>
        <w:spacing w:line="232" w:lineRule="auto" w:before="0" w:after="0"/>
        <w:ind w:left="184" w:right="254" w:firstLine="0"/>
        <w:jc w:val="left"/>
        <w:rPr>
          <w:sz w:val="18"/>
        </w:rPr>
      </w:pPr>
      <w:r>
        <w:rPr>
          <w:color w:val="231F20"/>
          <w:sz w:val="18"/>
        </w:rPr>
        <w:t>Household consumption growth in Q3 had been revised down from 0.4% to 0.3%. Within this, service sector spending </w:t>
      </w:r>
      <w:r>
        <w:rPr>
          <w:color w:val="231F20"/>
          <w:spacing w:val="-6"/>
          <w:sz w:val="18"/>
        </w:rPr>
        <w:t>had </w:t>
      </w:r>
      <w:r>
        <w:rPr>
          <w:color w:val="231F20"/>
          <w:sz w:val="18"/>
        </w:rPr>
        <w:t>grown by 1.4%, but expenditure on both non-durable and durable goods had fallen. Analysis by Bank staff suggested that part of the recent decline in durables spending might reflect the unwinding of unusually high spending in 1997 and the start of 1998. This high spending had perhaps been caused by building society windfalls, though this effect appeared to have been rather smaller than expected and had been contrasted with a marked weakening in the growth of consumption of non-durables since 1996.</w:t>
      </w:r>
    </w:p>
    <w:p>
      <w:pPr>
        <w:pStyle w:val="BodyText"/>
        <w:spacing w:before="8"/>
        <w:rPr>
          <w:sz w:val="16"/>
        </w:rPr>
      </w:pPr>
    </w:p>
    <w:p>
      <w:pPr>
        <w:pStyle w:val="ListParagraph"/>
        <w:numPr>
          <w:ilvl w:val="0"/>
          <w:numId w:val="48"/>
        </w:numPr>
        <w:tabs>
          <w:tab w:pos="664" w:val="left" w:leader="none"/>
          <w:tab w:pos="665" w:val="left" w:leader="none"/>
        </w:tabs>
        <w:spacing w:line="232" w:lineRule="auto" w:before="0" w:after="0"/>
        <w:ind w:left="184" w:right="265" w:firstLine="0"/>
        <w:jc w:val="left"/>
        <w:rPr>
          <w:sz w:val="18"/>
        </w:rPr>
      </w:pPr>
      <w:r>
        <w:rPr>
          <w:color w:val="231F20"/>
          <w:sz w:val="18"/>
        </w:rPr>
        <w:t>Investment growth in Q3 had been revised down from 2.5% to 1.1%, but the level of investment had been revised up by 0.6%, reflecting new information about investment in previous quarters. (Business investment had been revised up by 2.8%). These upwards revisions had been concentrated in the private services sectors, and mainly reflected increased spending on machinery </w:t>
      </w:r>
      <w:r>
        <w:rPr>
          <w:color w:val="231F20"/>
          <w:spacing w:val="-6"/>
          <w:sz w:val="18"/>
        </w:rPr>
        <w:t>and </w:t>
      </w:r>
      <w:r>
        <w:rPr>
          <w:color w:val="231F20"/>
          <w:sz w:val="18"/>
        </w:rPr>
        <w:t>equipment.</w:t>
      </w:r>
    </w:p>
    <w:p>
      <w:pPr>
        <w:pStyle w:val="BodyText"/>
        <w:spacing w:before="10"/>
        <w:rPr>
          <w:sz w:val="16"/>
        </w:rPr>
      </w:pPr>
    </w:p>
    <w:p>
      <w:pPr>
        <w:pStyle w:val="ListParagraph"/>
        <w:numPr>
          <w:ilvl w:val="0"/>
          <w:numId w:val="48"/>
        </w:numPr>
        <w:tabs>
          <w:tab w:pos="664" w:val="left" w:leader="none"/>
          <w:tab w:pos="665" w:val="left" w:leader="none"/>
        </w:tabs>
        <w:spacing w:line="232" w:lineRule="auto" w:before="1" w:after="0"/>
        <w:ind w:left="184" w:right="200" w:firstLine="0"/>
        <w:jc w:val="left"/>
        <w:rPr>
          <w:sz w:val="18"/>
        </w:rPr>
      </w:pPr>
      <w:r>
        <w:rPr>
          <w:color w:val="231F20"/>
          <w:sz w:val="18"/>
        </w:rPr>
        <w:t>A rise in inventories—most marked in the manufacturing and retail sectors—had contributed 0.2% to GDP growth in Q3.  But the cumulative increase in stocks through 1998 as a whole had been revised down by around £1.8 billion.  It was possible that there was now less of an overhang in stocks than previously thought. But interpretation was complicated by the fact that the reduction had largely reflected a reallocation out of the alignment adjustment and into the statistical discrepancy. Evidence from the Confederation of British Industry (CBI) monthly Industrial Trends survey suggested that manufacturers’ stocks had risen further </w:t>
      </w:r>
      <w:r>
        <w:rPr>
          <w:color w:val="231F20"/>
          <w:spacing w:val="-4"/>
          <w:sz w:val="18"/>
        </w:rPr>
        <w:t>above </w:t>
      </w:r>
      <w:r>
        <w:rPr>
          <w:color w:val="231F20"/>
          <w:sz w:val="18"/>
        </w:rPr>
        <w:t>desired levels in Q4.</w:t>
      </w:r>
    </w:p>
    <w:p>
      <w:pPr>
        <w:spacing w:after="0" w:line="232" w:lineRule="auto"/>
        <w:jc w:val="left"/>
        <w:rPr>
          <w:sz w:val="18"/>
        </w:rPr>
        <w:sectPr>
          <w:type w:val="continuous"/>
          <w:pgSz w:w="11900" w:h="16840"/>
          <w:pgMar w:top="1220" w:bottom="280" w:left="640" w:right="600"/>
          <w:cols w:num="2" w:equalWidth="0">
            <w:col w:w="5124" w:space="261"/>
            <w:col w:w="5275"/>
          </w:cols>
        </w:sectPr>
      </w:pPr>
    </w:p>
    <w:p>
      <w:pPr>
        <w:pStyle w:val="BodyText"/>
        <w:rPr>
          <w:sz w:val="20"/>
        </w:rPr>
      </w:pPr>
    </w:p>
    <w:p>
      <w:pPr>
        <w:spacing w:after="0"/>
        <w:rPr>
          <w:sz w:val="20"/>
        </w:rPr>
        <w:sectPr>
          <w:pgSz w:w="11900" w:h="16840"/>
          <w:pgMar w:header="566" w:footer="597" w:top="760" w:bottom="780" w:left="640" w:right="600"/>
        </w:sectPr>
      </w:pPr>
    </w:p>
    <w:p>
      <w:pPr>
        <w:pStyle w:val="BodyText"/>
        <w:spacing w:before="2"/>
        <w:rPr>
          <w:sz w:val="19"/>
        </w:rPr>
      </w:pPr>
    </w:p>
    <w:p>
      <w:pPr>
        <w:pStyle w:val="ListParagraph"/>
        <w:numPr>
          <w:ilvl w:val="0"/>
          <w:numId w:val="48"/>
        </w:numPr>
        <w:tabs>
          <w:tab w:pos="625" w:val="left" w:leader="none"/>
          <w:tab w:pos="626" w:val="left" w:leader="none"/>
        </w:tabs>
        <w:spacing w:line="203" w:lineRule="exact" w:before="1" w:after="0"/>
        <w:ind w:left="625" w:right="0" w:hanging="481"/>
        <w:jc w:val="left"/>
        <w:rPr>
          <w:sz w:val="18"/>
        </w:rPr>
      </w:pPr>
      <w:r>
        <w:rPr>
          <w:color w:val="231F20"/>
          <w:sz w:val="18"/>
        </w:rPr>
        <w:t>Government consumption growth had been revised down by</w:t>
      </w:r>
    </w:p>
    <w:p>
      <w:pPr>
        <w:pStyle w:val="BodyText"/>
        <w:spacing w:line="232" w:lineRule="auto" w:before="1"/>
        <w:ind w:left="145" w:right="46"/>
      </w:pPr>
      <w:r>
        <w:rPr>
          <w:color w:val="231F20"/>
        </w:rPr>
        <w:t>0.4 percentage points in Q3 to 0.2% and by 0.5 percentage points in Q2 to 0.4%.</w:t>
      </w:r>
    </w:p>
    <w:p>
      <w:pPr>
        <w:pStyle w:val="BodyText"/>
        <w:spacing w:before="8"/>
        <w:rPr>
          <w:sz w:val="20"/>
        </w:rPr>
      </w:pPr>
    </w:p>
    <w:p>
      <w:pPr>
        <w:pStyle w:val="ListParagraph"/>
        <w:numPr>
          <w:ilvl w:val="0"/>
          <w:numId w:val="48"/>
        </w:numPr>
        <w:tabs>
          <w:tab w:pos="625" w:val="left" w:leader="none"/>
          <w:tab w:pos="626" w:val="left" w:leader="none"/>
        </w:tabs>
        <w:spacing w:line="232" w:lineRule="auto" w:before="1" w:after="0"/>
        <w:ind w:left="145" w:right="38" w:firstLine="0"/>
        <w:jc w:val="left"/>
        <w:rPr>
          <w:sz w:val="18"/>
        </w:rPr>
      </w:pPr>
      <w:r>
        <w:rPr>
          <w:color w:val="231F20"/>
          <w:sz w:val="18"/>
        </w:rPr>
        <w:t>The current account had been in surplus by £2.3 billion in Q3, but this was accounted for by a large surplus on investment income, reflecting losses on overseas investments by </w:t>
      </w:r>
      <w:r>
        <w:rPr>
          <w:color w:val="231F20"/>
          <w:spacing w:val="-2"/>
          <w:sz w:val="18"/>
        </w:rPr>
        <w:t>foreign-owned </w:t>
      </w:r>
      <w:r>
        <w:rPr>
          <w:color w:val="231F20"/>
          <w:sz w:val="18"/>
        </w:rPr>
        <w:t>financial institutions based in the United Kingdom. Net trade had continued to deteriorate, making a -0.5 percentage point contribution to GDP growth in Q3 (revised up slightly from</w:t>
      </w:r>
    </w:p>
    <w:p>
      <w:pPr>
        <w:pStyle w:val="BodyText"/>
        <w:spacing w:line="232" w:lineRule="auto"/>
        <w:ind w:left="145" w:right="73"/>
      </w:pPr>
      <w:r>
        <w:rPr>
          <w:color w:val="231F20"/>
        </w:rPr>
        <w:t>-0.6 percentage points). This fourth consecutive quarterly negative contribution had reflected a rise in the deficit on trade in goods to the highest level since 1990 Q2. Trade in services had continued to provide a small positive contribution to GDP growth, despite a fall in services exports, as lower spending abroad by UK residents had reduced services imports. Net trade in goods appeared to have weakened further in Q4: exports to the non-EU had fallen by 1.9% in November and imports had risen by 2.2%. But the deficit with the EU had remained broadly stable.</w:t>
      </w:r>
    </w:p>
    <w:p>
      <w:pPr>
        <w:pStyle w:val="BodyText"/>
        <w:spacing w:before="9"/>
        <w:rPr>
          <w:sz w:val="19"/>
        </w:rPr>
      </w:pPr>
    </w:p>
    <w:p>
      <w:pPr>
        <w:pStyle w:val="ListParagraph"/>
        <w:numPr>
          <w:ilvl w:val="0"/>
          <w:numId w:val="48"/>
        </w:numPr>
        <w:tabs>
          <w:tab w:pos="625" w:val="left" w:leader="none"/>
          <w:tab w:pos="626" w:val="left" w:leader="none"/>
        </w:tabs>
        <w:spacing w:line="232" w:lineRule="auto" w:before="1" w:after="0"/>
        <w:ind w:left="145" w:right="173" w:firstLine="0"/>
        <w:jc w:val="left"/>
        <w:rPr>
          <w:sz w:val="18"/>
        </w:rPr>
      </w:pPr>
      <w:r>
        <w:rPr>
          <w:color w:val="231F20"/>
          <w:sz w:val="18"/>
        </w:rPr>
        <w:t>Retail sales had risen by 0.8% in November, in contrast to the British Retail Consortium (BRC) and CBI Distributive Trades surveys which had indicated a continuing decline. Part of the difference might be explained by the broader sample used by the ONS. On an annual basis, comparing the three months to November with the same period a year ago, retail sales had grown by 2.6%, closer to the BRC’s total sales volume measure, but still rather stronger than the CBI survey. Consumer confidence had remained weak: the GfK index had fallen back in December</w:t>
      </w:r>
      <w:r>
        <w:rPr>
          <w:color w:val="231F20"/>
          <w:spacing w:val="3"/>
          <w:sz w:val="18"/>
        </w:rPr>
        <w:t> </w:t>
      </w:r>
      <w:r>
        <w:rPr>
          <w:color w:val="231F20"/>
          <w:spacing w:val="-5"/>
          <w:sz w:val="18"/>
        </w:rPr>
        <w:t>from</w:t>
      </w:r>
    </w:p>
    <w:p>
      <w:pPr>
        <w:pStyle w:val="BodyText"/>
        <w:spacing w:line="232" w:lineRule="auto"/>
        <w:ind w:left="145" w:right="73"/>
      </w:pPr>
      <w:r>
        <w:rPr>
          <w:color w:val="231F20"/>
        </w:rPr>
        <w:t>-5.8% to -6.9%, and the M</w:t>
      </w:r>
      <w:r>
        <w:rPr>
          <w:color w:val="231F20"/>
          <w:sz w:val="14"/>
        </w:rPr>
        <w:t>ORI </w:t>
      </w:r>
      <w:r>
        <w:rPr>
          <w:color w:val="231F20"/>
        </w:rPr>
        <w:t>balance had been -30 in November. Most indicators had suggested a continued moderation in the housing market. Compared with a year earlier, the Nationwide house price index had grown by 7% in December; and the Halifax index had grown by 4.6%; particulars delivered had fallen to 103,000 in November—the lowest for over two years—and the House Builders Federation survey of new house building had remained weak.</w:t>
      </w:r>
    </w:p>
    <w:p>
      <w:pPr>
        <w:pStyle w:val="BodyText"/>
        <w:spacing w:before="8"/>
        <w:rPr>
          <w:sz w:val="19"/>
        </w:rPr>
      </w:pPr>
    </w:p>
    <w:p>
      <w:pPr>
        <w:pStyle w:val="ListParagraph"/>
        <w:numPr>
          <w:ilvl w:val="0"/>
          <w:numId w:val="48"/>
        </w:numPr>
        <w:tabs>
          <w:tab w:pos="625" w:val="left" w:leader="none"/>
          <w:tab w:pos="626" w:val="left" w:leader="none"/>
        </w:tabs>
        <w:spacing w:line="232" w:lineRule="auto" w:before="0" w:after="0"/>
        <w:ind w:left="145" w:right="45" w:firstLine="0"/>
        <w:jc w:val="left"/>
        <w:rPr>
          <w:sz w:val="18"/>
        </w:rPr>
      </w:pPr>
      <w:r>
        <w:rPr>
          <w:color w:val="231F20"/>
          <w:sz w:val="18"/>
        </w:rPr>
        <w:t>Manufacturing output had fallen by 0.4% in October, the third consecutive monthly fall. Lower demand in domestic markets had appeared to be the main reason for lower car production and engineering new orders. Both the CBI and British Chambers of Commerce (BCC) surveys had pointed to a fall in manufacturing output in Q4 as a whole. But there was some evidence from the CBI and Chartered Institute of Purchasing Supply (C</w:t>
      </w:r>
      <w:r>
        <w:rPr>
          <w:color w:val="231F20"/>
          <w:sz w:val="14"/>
        </w:rPr>
        <w:t>IPS</w:t>
      </w:r>
      <w:r>
        <w:rPr>
          <w:color w:val="231F20"/>
          <w:sz w:val="18"/>
        </w:rPr>
        <w:t>) surveys that the pace of decline had bottomed out. Growth rates derived from the BCC survey for Q3 suggested that service sector output had grown at around trend in Q4, but the C</w:t>
      </w:r>
      <w:r>
        <w:rPr>
          <w:color w:val="231F20"/>
          <w:sz w:val="14"/>
        </w:rPr>
        <w:t>IPS </w:t>
      </w:r>
      <w:r>
        <w:rPr>
          <w:color w:val="231F20"/>
          <w:sz w:val="18"/>
        </w:rPr>
        <w:t>survey had pointed </w:t>
      </w:r>
      <w:r>
        <w:rPr>
          <w:color w:val="231F20"/>
          <w:spacing w:val="-9"/>
          <w:sz w:val="18"/>
        </w:rPr>
        <w:t>to </w:t>
      </w:r>
      <w:r>
        <w:rPr>
          <w:color w:val="231F20"/>
          <w:sz w:val="18"/>
        </w:rPr>
        <w:t>a fall in service sector activity in December for the second consecutive month.</w:t>
      </w:r>
    </w:p>
    <w:p>
      <w:pPr>
        <w:pStyle w:val="BodyText"/>
        <w:spacing w:before="4"/>
        <w:rPr>
          <w:sz w:val="23"/>
        </w:rPr>
      </w:pPr>
    </w:p>
    <w:p>
      <w:pPr>
        <w:pStyle w:val="Heading6"/>
        <w:numPr>
          <w:ilvl w:val="0"/>
          <w:numId w:val="47"/>
        </w:numPr>
        <w:tabs>
          <w:tab w:pos="625" w:val="left" w:leader="none"/>
          <w:tab w:pos="626" w:val="left" w:leader="none"/>
        </w:tabs>
        <w:spacing w:line="240" w:lineRule="auto" w:before="0" w:after="0"/>
        <w:ind w:left="625" w:right="0" w:hanging="481"/>
        <w:jc w:val="left"/>
      </w:pPr>
      <w:r>
        <w:rPr>
          <w:color w:val="009483"/>
        </w:rPr>
        <w:t>The labour</w:t>
      </w:r>
      <w:r>
        <w:rPr>
          <w:color w:val="009483"/>
          <w:spacing w:val="-1"/>
        </w:rPr>
        <w:t> </w:t>
      </w:r>
      <w:r>
        <w:rPr>
          <w:color w:val="009483"/>
        </w:rPr>
        <w:t>market</w:t>
      </w:r>
    </w:p>
    <w:p>
      <w:pPr>
        <w:pStyle w:val="ListParagraph"/>
        <w:numPr>
          <w:ilvl w:val="0"/>
          <w:numId w:val="48"/>
        </w:numPr>
        <w:tabs>
          <w:tab w:pos="625" w:val="left" w:leader="none"/>
          <w:tab w:pos="626" w:val="left" w:leader="none"/>
        </w:tabs>
        <w:spacing w:line="232" w:lineRule="auto" w:before="149" w:after="0"/>
        <w:ind w:left="145" w:right="137" w:firstLine="0"/>
        <w:jc w:val="left"/>
        <w:rPr>
          <w:sz w:val="18"/>
        </w:rPr>
      </w:pPr>
      <w:r>
        <w:rPr>
          <w:color w:val="231F20"/>
          <w:sz w:val="18"/>
        </w:rPr>
        <w:t>Both of the ONS measures of employment had increased according to the latest data. LFS employment had increased by 80,000 (0.3%) in the three months to October compared with the previous three months, while the Workforce jobs measure had bounced back in Q3, rising by 97,000 (0.4%) after a fall in Q2. The two measures were consistent in showing employment </w:t>
      </w:r>
      <w:r>
        <w:rPr>
          <w:color w:val="231F20"/>
          <w:spacing w:val="-3"/>
          <w:sz w:val="18"/>
        </w:rPr>
        <w:t>growth </w:t>
      </w:r>
      <w:r>
        <w:rPr>
          <w:color w:val="231F20"/>
          <w:sz w:val="18"/>
        </w:rPr>
        <w:t>of around 1% over the past year. And, as over the previous year, the rise in Workforce jobs in Q3 was accounted for by a strong rise in employees, partly offset by a fall in the number of</w:t>
      </w:r>
    </w:p>
    <w:p>
      <w:pPr>
        <w:pStyle w:val="BodyText"/>
        <w:spacing w:line="232" w:lineRule="auto"/>
        <w:ind w:left="145" w:right="206"/>
      </w:pPr>
      <w:r>
        <w:rPr>
          <w:color w:val="231F20"/>
        </w:rPr>
        <w:t>self-employed. By industry, the recent rise in employee jobs had been in the services and construction sectors, partly offset by </w:t>
      </w:r>
      <w:r>
        <w:rPr>
          <w:color w:val="231F20"/>
          <w:spacing w:val="-4"/>
        </w:rPr>
        <w:t>falls </w:t>
      </w:r>
      <w:r>
        <w:rPr>
          <w:color w:val="231F20"/>
        </w:rPr>
        <w:t>in manufacturing and in the other sectors. Within services, industries which had experienced strong employment growth over the past year included distribution, hotels and restaurants; finance; and transport and communications. Within</w:t>
      </w:r>
    </w:p>
    <w:p>
      <w:pPr>
        <w:pStyle w:val="BodyText"/>
        <w:spacing w:line="232" w:lineRule="auto"/>
        <w:ind w:left="145" w:right="36"/>
      </w:pPr>
      <w:r>
        <w:rPr>
          <w:color w:val="231F20"/>
        </w:rPr>
        <w:t>manufacturing, more than half the net loss in jobs over the past year had been in textiles, although recent falls in employment had been more evenly spread.</w:t>
      </w:r>
    </w:p>
    <w:p>
      <w:pPr>
        <w:pStyle w:val="BodyText"/>
        <w:spacing w:before="7"/>
        <w:rPr>
          <w:sz w:val="19"/>
        </w:rPr>
      </w:pPr>
      <w:r>
        <w:rPr/>
        <w:br w:type="column"/>
      </w:r>
      <w:r>
        <w:rPr>
          <w:sz w:val="19"/>
        </w:rPr>
      </w:r>
    </w:p>
    <w:p>
      <w:pPr>
        <w:pStyle w:val="ListParagraph"/>
        <w:numPr>
          <w:ilvl w:val="0"/>
          <w:numId w:val="48"/>
        </w:numPr>
        <w:tabs>
          <w:tab w:pos="625" w:val="left" w:leader="none"/>
          <w:tab w:pos="626" w:val="left" w:leader="none"/>
        </w:tabs>
        <w:spacing w:line="232" w:lineRule="auto" w:before="1" w:after="0"/>
        <w:ind w:left="145" w:right="243" w:firstLine="0"/>
        <w:jc w:val="left"/>
        <w:rPr>
          <w:sz w:val="18"/>
        </w:rPr>
      </w:pPr>
      <w:r>
        <w:rPr>
          <w:color w:val="231F20"/>
          <w:sz w:val="18"/>
        </w:rPr>
        <w:t>Revisions to the Workforce jobs data in the latest release </w:t>
      </w:r>
      <w:r>
        <w:rPr>
          <w:color w:val="231F20"/>
          <w:spacing w:val="-6"/>
          <w:sz w:val="18"/>
        </w:rPr>
        <w:t>had </w:t>
      </w:r>
      <w:r>
        <w:rPr>
          <w:color w:val="231F20"/>
          <w:sz w:val="18"/>
        </w:rPr>
        <w:t>increased the level of employee jobs by around 430,000 in September 1997, and had increased the rate of employment growth during 1997. These changes, along with GDP revisions, had reduced productivity growth since 1997. Productivity had grown by 1.6% over the year to 1998 Q3.</w:t>
      </w:r>
    </w:p>
    <w:p>
      <w:pPr>
        <w:pStyle w:val="BodyText"/>
        <w:spacing w:before="5"/>
        <w:rPr>
          <w:sz w:val="20"/>
        </w:rPr>
      </w:pPr>
    </w:p>
    <w:p>
      <w:pPr>
        <w:pStyle w:val="ListParagraph"/>
        <w:numPr>
          <w:ilvl w:val="0"/>
          <w:numId w:val="48"/>
        </w:numPr>
        <w:tabs>
          <w:tab w:pos="625" w:val="left" w:leader="none"/>
          <w:tab w:pos="626" w:val="left" w:leader="none"/>
        </w:tabs>
        <w:spacing w:line="232" w:lineRule="auto" w:before="0" w:after="0"/>
        <w:ind w:left="145" w:right="228" w:firstLine="0"/>
        <w:jc w:val="left"/>
        <w:rPr>
          <w:sz w:val="18"/>
        </w:rPr>
      </w:pPr>
      <w:r>
        <w:rPr>
          <w:color w:val="231F20"/>
          <w:sz w:val="18"/>
        </w:rPr>
        <w:t>Turning to other measures of employment demand, LFS </w:t>
      </w:r>
      <w:r>
        <w:rPr>
          <w:color w:val="231F20"/>
          <w:spacing w:val="-4"/>
          <w:sz w:val="18"/>
        </w:rPr>
        <w:t>total </w:t>
      </w:r>
      <w:r>
        <w:rPr>
          <w:color w:val="231F20"/>
          <w:sz w:val="18"/>
        </w:rPr>
        <w:t>hours worked had increased by 0.3% in August-October, although there had been no change in average hours per worker. The C</w:t>
      </w:r>
      <w:r>
        <w:rPr>
          <w:color w:val="231F20"/>
          <w:sz w:val="14"/>
        </w:rPr>
        <w:t>IPS </w:t>
      </w:r>
      <w:r>
        <w:rPr>
          <w:color w:val="231F20"/>
          <w:sz w:val="18"/>
        </w:rPr>
        <w:t>employment surveys had reported sharp falls in employment in both construction and manufacturing in December. Service sector employment had edged down for the first time since the survey began in 1996. The Manpower survey of employment intentions had shown a sharp deterioration looking ahead to 1999 Q1. The </w:t>
      </w:r>
      <w:r>
        <w:rPr>
          <w:color w:val="231F20"/>
          <w:spacing w:val="-6"/>
          <w:sz w:val="18"/>
        </w:rPr>
        <w:t>net </w:t>
      </w:r>
      <w:r>
        <w:rPr>
          <w:color w:val="231F20"/>
          <w:sz w:val="18"/>
        </w:rPr>
        <w:t>balance was at its lowest for 5 years, though after seasonal adjustment by Bank staff it remained around its historical average since 1981.</w:t>
      </w:r>
    </w:p>
    <w:p>
      <w:pPr>
        <w:pStyle w:val="BodyText"/>
        <w:spacing w:before="1"/>
        <w:rPr>
          <w:sz w:val="20"/>
        </w:rPr>
      </w:pPr>
    </w:p>
    <w:p>
      <w:pPr>
        <w:pStyle w:val="ListParagraph"/>
        <w:numPr>
          <w:ilvl w:val="0"/>
          <w:numId w:val="48"/>
        </w:numPr>
        <w:tabs>
          <w:tab w:pos="625" w:val="left" w:leader="none"/>
          <w:tab w:pos="626" w:val="left" w:leader="none"/>
        </w:tabs>
        <w:spacing w:line="232" w:lineRule="auto" w:before="0" w:after="0"/>
        <w:ind w:left="145" w:right="303" w:firstLine="0"/>
        <w:jc w:val="left"/>
        <w:rPr>
          <w:sz w:val="18"/>
        </w:rPr>
      </w:pPr>
      <w:r>
        <w:rPr>
          <w:color w:val="231F20"/>
          <w:sz w:val="18"/>
        </w:rPr>
        <w:t>Notifications of new vacancies had fallen by 13,000 in November, although they remained high. The stock of unfilled vacancies had increased by 4,000 to a new record. But press advertising had shown a slightly weaker picture, with National Press Recruitment Advertising index beginning to turn down, according to the Federation of Recruitment and Employment Services survey. And reports from the Bank’s regional Agents suggested that there had been a downturn in local press advertising in recent months.</w:t>
      </w:r>
    </w:p>
    <w:p>
      <w:pPr>
        <w:pStyle w:val="BodyText"/>
        <w:spacing w:before="3"/>
        <w:rPr>
          <w:sz w:val="20"/>
        </w:rPr>
      </w:pPr>
    </w:p>
    <w:p>
      <w:pPr>
        <w:pStyle w:val="ListParagraph"/>
        <w:numPr>
          <w:ilvl w:val="0"/>
          <w:numId w:val="48"/>
        </w:numPr>
        <w:tabs>
          <w:tab w:pos="625" w:val="left" w:leader="none"/>
          <w:tab w:pos="626" w:val="left" w:leader="none"/>
        </w:tabs>
        <w:spacing w:line="232" w:lineRule="auto" w:before="1" w:after="0"/>
        <w:ind w:left="145" w:right="223" w:firstLine="0"/>
        <w:jc w:val="left"/>
        <w:rPr>
          <w:sz w:val="18"/>
        </w:rPr>
      </w:pPr>
      <w:r>
        <w:rPr>
          <w:color w:val="231F20"/>
          <w:sz w:val="18"/>
        </w:rPr>
        <w:t>Both LFS unemployment and claimant unemployment had started to rise according to the latest data. LFS unemployment increased by 16,000, though the rate remained unchanged at 6.2%. Within that rise, the number unemployed for less than one year had risen by 38,000, partly offset by a 21,000 fall in the long-term unemployed. Claimant unemployment had risen by 6,000 in November, and unlike October’s data, there were no special factors to explain the rise. The rises in claimant unemployment had </w:t>
      </w:r>
      <w:r>
        <w:rPr>
          <w:color w:val="231F20"/>
          <w:spacing w:val="-3"/>
          <w:sz w:val="18"/>
        </w:rPr>
        <w:t>mainly </w:t>
      </w:r>
      <w:r>
        <w:rPr>
          <w:color w:val="231F20"/>
          <w:sz w:val="18"/>
        </w:rPr>
        <w:t>been in the regions with higher unemployment rates. Inflows into the claimant count had increased by 9,000 in November, although they remained low by historical standards.</w:t>
      </w:r>
    </w:p>
    <w:p>
      <w:pPr>
        <w:pStyle w:val="BodyText"/>
        <w:spacing w:before="1"/>
        <w:rPr>
          <w:sz w:val="20"/>
        </w:rPr>
      </w:pPr>
    </w:p>
    <w:p>
      <w:pPr>
        <w:pStyle w:val="ListParagraph"/>
        <w:numPr>
          <w:ilvl w:val="0"/>
          <w:numId w:val="48"/>
        </w:numPr>
        <w:tabs>
          <w:tab w:pos="625" w:val="left" w:leader="none"/>
          <w:tab w:pos="626" w:val="left" w:leader="none"/>
        </w:tabs>
        <w:spacing w:line="232" w:lineRule="auto" w:before="0" w:after="0"/>
        <w:ind w:left="145" w:right="248" w:firstLine="0"/>
        <w:jc w:val="left"/>
        <w:rPr>
          <w:sz w:val="18"/>
        </w:rPr>
      </w:pPr>
      <w:r>
        <w:rPr>
          <w:color w:val="231F20"/>
          <w:sz w:val="18"/>
        </w:rPr>
        <w:t>The rise in both LFS employment and unemployment was reconciled by a fall in inactivity.  This fall was concentrated entirely among those not wanting a job, suggesting a slight </w:t>
      </w:r>
      <w:r>
        <w:rPr>
          <w:color w:val="231F20"/>
          <w:spacing w:val="-3"/>
          <w:sz w:val="18"/>
        </w:rPr>
        <w:t>increase </w:t>
      </w:r>
      <w:r>
        <w:rPr>
          <w:color w:val="231F20"/>
          <w:sz w:val="18"/>
        </w:rPr>
        <w:t>in labour market attachment.</w:t>
      </w:r>
    </w:p>
    <w:p>
      <w:pPr>
        <w:pStyle w:val="BodyText"/>
        <w:spacing w:before="10"/>
      </w:pPr>
    </w:p>
    <w:p>
      <w:pPr>
        <w:pStyle w:val="ListParagraph"/>
        <w:numPr>
          <w:ilvl w:val="0"/>
          <w:numId w:val="48"/>
        </w:numPr>
        <w:tabs>
          <w:tab w:pos="625" w:val="left" w:leader="none"/>
          <w:tab w:pos="626" w:val="left" w:leader="none"/>
        </w:tabs>
        <w:spacing w:line="232" w:lineRule="auto" w:before="0" w:after="0"/>
        <w:ind w:left="145" w:right="303" w:firstLine="0"/>
        <w:jc w:val="left"/>
        <w:rPr>
          <w:sz w:val="18"/>
        </w:rPr>
      </w:pPr>
      <w:r>
        <w:rPr>
          <w:color w:val="231F20"/>
          <w:sz w:val="18"/>
        </w:rPr>
        <w:t>There were no new ONS earnings data, the Average Earnings Index having been suspended in November. The </w:t>
      </w:r>
      <w:r>
        <w:rPr>
          <w:color w:val="231F20"/>
          <w:spacing w:val="-3"/>
          <w:sz w:val="18"/>
        </w:rPr>
        <w:t>Reward </w:t>
      </w:r>
      <w:r>
        <w:rPr>
          <w:color w:val="231F20"/>
          <w:sz w:val="18"/>
        </w:rPr>
        <w:t>index suggested that earnings growth had slowed a little in November to 4.9%.</w:t>
      </w:r>
    </w:p>
    <w:p>
      <w:pPr>
        <w:pStyle w:val="BodyText"/>
        <w:spacing w:before="5"/>
      </w:pPr>
    </w:p>
    <w:p>
      <w:pPr>
        <w:pStyle w:val="ListParagraph"/>
        <w:numPr>
          <w:ilvl w:val="0"/>
          <w:numId w:val="48"/>
        </w:numPr>
        <w:tabs>
          <w:tab w:pos="625" w:val="left" w:leader="none"/>
          <w:tab w:pos="626" w:val="left" w:leader="none"/>
        </w:tabs>
        <w:spacing w:line="203" w:lineRule="exact" w:before="0" w:after="0"/>
        <w:ind w:left="625" w:right="0" w:hanging="481"/>
        <w:jc w:val="left"/>
        <w:rPr>
          <w:sz w:val="18"/>
        </w:rPr>
      </w:pPr>
      <w:r>
        <w:rPr>
          <w:color w:val="231F20"/>
          <w:sz w:val="18"/>
        </w:rPr>
        <w:t>Turning to settlements, the Bank’s measure of the</w:t>
      </w:r>
    </w:p>
    <w:p>
      <w:pPr>
        <w:pStyle w:val="BodyText"/>
        <w:spacing w:line="232" w:lineRule="auto" w:before="1"/>
        <w:ind w:left="145" w:right="213"/>
      </w:pPr>
      <w:r>
        <w:rPr>
          <w:color w:val="231F20"/>
        </w:rPr>
        <w:t>twelve-month employment weighted mean wage settlement had remained at 3.7% for the seventh successive month in November. But most settlements were concentrated between January and April, so the twelve-month measure tended to be relatively stable during other periods.  Private and public sector settlements were unchanged at 4.0% and 3.3% respectively. The three-month employment-weighted mean settlement increased from 3.7% to 3.9%, while the median was unchanged at 4.0%. Using a matched sample (ie only including firms where data were available for both years) suggested that settlements had been higher in the five </w:t>
      </w:r>
      <w:r>
        <w:rPr>
          <w:color w:val="231F20"/>
          <w:spacing w:val="-3"/>
        </w:rPr>
        <w:t>months </w:t>
      </w:r>
      <w:r>
        <w:rPr>
          <w:color w:val="231F20"/>
        </w:rPr>
        <w:t>to November 1998 than in the previous year. 74% of employees covered by the Bank’s database (and 55% of firms) awarded higher settlements in 1998 than in 1997. On a sectoral basis, 77% of service sector employees had received higher settlements in 1998, compared with just 43% in the production sector.</w:t>
      </w:r>
    </w:p>
    <w:p>
      <w:pPr>
        <w:pStyle w:val="BodyText"/>
        <w:spacing w:before="5"/>
        <w:rPr>
          <w:sz w:val="16"/>
        </w:rPr>
      </w:pPr>
    </w:p>
    <w:p>
      <w:pPr>
        <w:pStyle w:val="ListParagraph"/>
        <w:numPr>
          <w:ilvl w:val="0"/>
          <w:numId w:val="48"/>
        </w:numPr>
        <w:tabs>
          <w:tab w:pos="626" w:val="left" w:leader="none"/>
        </w:tabs>
        <w:spacing w:line="232" w:lineRule="auto" w:before="0" w:after="0"/>
        <w:ind w:left="145" w:right="408" w:firstLine="0"/>
        <w:jc w:val="both"/>
        <w:rPr>
          <w:sz w:val="18"/>
        </w:rPr>
      </w:pPr>
      <w:r>
        <w:rPr>
          <w:color w:val="231F20"/>
          <w:sz w:val="18"/>
        </w:rPr>
        <w:t>In the absence of average earnings data, the ONS had used other sources of data to estimate the growth in wages and </w:t>
      </w:r>
      <w:r>
        <w:rPr>
          <w:color w:val="231F20"/>
          <w:spacing w:val="-3"/>
          <w:sz w:val="18"/>
        </w:rPr>
        <w:t>salaries </w:t>
      </w:r>
      <w:r>
        <w:rPr>
          <w:color w:val="231F20"/>
          <w:sz w:val="18"/>
        </w:rPr>
        <w:t>for the National Accounts. The ONS suggested that wages and</w:t>
      </w:r>
    </w:p>
    <w:p>
      <w:pPr>
        <w:spacing w:after="0" w:line="232" w:lineRule="auto"/>
        <w:jc w:val="both"/>
        <w:rPr>
          <w:sz w:val="18"/>
        </w:rPr>
        <w:sectPr>
          <w:type w:val="continuous"/>
          <w:pgSz w:w="11900" w:h="16840"/>
          <w:pgMar w:top="1220" w:bottom="280" w:left="640" w:right="600"/>
          <w:cols w:num="2" w:equalWidth="0">
            <w:col w:w="5095" w:space="295"/>
            <w:col w:w="5270"/>
          </w:cols>
        </w:sectPr>
      </w:pPr>
    </w:p>
    <w:p>
      <w:pPr>
        <w:pStyle w:val="BodyText"/>
        <w:rPr>
          <w:sz w:val="20"/>
        </w:rPr>
      </w:pPr>
    </w:p>
    <w:p>
      <w:pPr>
        <w:spacing w:after="0"/>
        <w:rPr>
          <w:sz w:val="20"/>
        </w:rPr>
        <w:sectPr>
          <w:pgSz w:w="11900" w:h="16840"/>
          <w:pgMar w:header="566" w:footer="597" w:top="760" w:bottom="780" w:left="640" w:right="600"/>
        </w:sectPr>
      </w:pPr>
    </w:p>
    <w:p>
      <w:pPr>
        <w:pStyle w:val="BodyText"/>
        <w:spacing w:before="7"/>
        <w:rPr>
          <w:sz w:val="19"/>
        </w:rPr>
      </w:pPr>
    </w:p>
    <w:p>
      <w:pPr>
        <w:pStyle w:val="BodyText"/>
        <w:spacing w:line="232" w:lineRule="auto" w:before="1"/>
        <w:ind w:left="164" w:right="147"/>
      </w:pPr>
      <w:r>
        <w:rPr>
          <w:color w:val="231F20"/>
        </w:rPr>
        <w:t>salaries per head had increased by 4.4% in Q3, and growth in Q2 was revised down from 5.6% to 5.1%.  Despite this, unit wage cost growth was revised up in the year to 1998 Q1 because of changes to the productivity data. The ONS estimated that unit wage costs had risen by 3.5% in the year to Q2 and by 2.8% in </w:t>
      </w:r>
      <w:r>
        <w:rPr>
          <w:color w:val="231F20"/>
          <w:spacing w:val="-6"/>
        </w:rPr>
        <w:t>the </w:t>
      </w:r>
      <w:r>
        <w:rPr>
          <w:color w:val="231F20"/>
        </w:rPr>
        <w:t>year to Q3.</w:t>
      </w:r>
    </w:p>
    <w:p>
      <w:pPr>
        <w:pStyle w:val="BodyText"/>
        <w:spacing w:before="11"/>
        <w:rPr>
          <w:sz w:val="16"/>
        </w:rPr>
      </w:pPr>
    </w:p>
    <w:p>
      <w:pPr>
        <w:pStyle w:val="ListParagraph"/>
        <w:numPr>
          <w:ilvl w:val="0"/>
          <w:numId w:val="48"/>
        </w:numPr>
        <w:tabs>
          <w:tab w:pos="644" w:val="left" w:leader="none"/>
          <w:tab w:pos="645" w:val="left" w:leader="none"/>
        </w:tabs>
        <w:spacing w:line="232" w:lineRule="auto" w:before="0" w:after="0"/>
        <w:ind w:left="164" w:right="77" w:firstLine="0"/>
        <w:jc w:val="left"/>
        <w:rPr>
          <w:sz w:val="18"/>
        </w:rPr>
      </w:pPr>
      <w:r>
        <w:rPr>
          <w:color w:val="231F20"/>
          <w:sz w:val="18"/>
        </w:rPr>
        <w:t>Real consumption wages had grown by 1% in the year to </w:t>
      </w:r>
      <w:r>
        <w:rPr>
          <w:color w:val="231F20"/>
          <w:spacing w:val="-9"/>
          <w:sz w:val="18"/>
        </w:rPr>
        <w:t>Q3 </w:t>
      </w:r>
      <w:r>
        <w:rPr>
          <w:color w:val="231F20"/>
          <w:sz w:val="18"/>
        </w:rPr>
        <w:t>because the taxes and prices index (TPI) had risen by over 3%. Real product wages, on the other hand, had grown more strongly, by 3.4%. Real product wages are deflated by the GDP deflator (at basic prices), which had grown less strongly than the TPI, explaining the large difference.</w:t>
      </w:r>
    </w:p>
    <w:p>
      <w:pPr>
        <w:pStyle w:val="BodyText"/>
        <w:spacing w:before="3"/>
        <w:rPr>
          <w:sz w:val="20"/>
        </w:rPr>
      </w:pPr>
    </w:p>
    <w:p>
      <w:pPr>
        <w:pStyle w:val="Heading6"/>
        <w:numPr>
          <w:ilvl w:val="0"/>
          <w:numId w:val="47"/>
        </w:numPr>
        <w:tabs>
          <w:tab w:pos="644" w:val="left" w:leader="none"/>
          <w:tab w:pos="645" w:val="left" w:leader="none"/>
        </w:tabs>
        <w:spacing w:line="240" w:lineRule="auto" w:before="0" w:after="0"/>
        <w:ind w:left="644" w:right="0" w:hanging="481"/>
        <w:jc w:val="left"/>
      </w:pPr>
      <w:r>
        <w:rPr>
          <w:color w:val="009483"/>
        </w:rPr>
        <w:t>Agents’ national summary</w:t>
      </w:r>
    </w:p>
    <w:p>
      <w:pPr>
        <w:pStyle w:val="ListParagraph"/>
        <w:numPr>
          <w:ilvl w:val="0"/>
          <w:numId w:val="48"/>
        </w:numPr>
        <w:tabs>
          <w:tab w:pos="644" w:val="left" w:leader="none"/>
          <w:tab w:pos="645" w:val="left" w:leader="none"/>
        </w:tabs>
        <w:spacing w:line="232" w:lineRule="auto" w:before="109" w:after="0"/>
        <w:ind w:left="164" w:right="67" w:firstLine="0"/>
        <w:jc w:val="left"/>
        <w:rPr>
          <w:sz w:val="18"/>
        </w:rPr>
      </w:pPr>
      <w:r>
        <w:rPr>
          <w:color w:val="231F20"/>
          <w:sz w:val="18"/>
        </w:rPr>
        <w:t>The Bank’s regional Agents reported on their assessment of the economy drawn from their discussions with contacts over the past month. The slowdown in activity had become more widespread. The fall in manufacturing output and orders had persisted; domestic demand in particular had weakened and </w:t>
      </w:r>
      <w:r>
        <w:rPr>
          <w:color w:val="231F20"/>
          <w:spacing w:val="-3"/>
          <w:sz w:val="18"/>
        </w:rPr>
        <w:t>import </w:t>
      </w:r>
      <w:r>
        <w:rPr>
          <w:color w:val="231F20"/>
          <w:sz w:val="18"/>
        </w:rPr>
        <w:t>competition had strengthened. But the decline in export demand had begun to ease somewhat. Service sector growth had continued to slow, with a significant fall in demand from manufacturers. Consumer demand had weakened: inward tourism demand in </w:t>
      </w:r>
      <w:r>
        <w:rPr>
          <w:color w:val="231F20"/>
          <w:spacing w:val="-5"/>
          <w:sz w:val="18"/>
        </w:rPr>
        <w:t>1999 </w:t>
      </w:r>
      <w:r>
        <w:rPr>
          <w:color w:val="231F20"/>
          <w:sz w:val="18"/>
        </w:rPr>
        <w:t>was expected to be below that of 1998. However, telecoms and IT firms had reported strong growth and warehouse activity reflected the high stock levels. Manufacturers had reported high levels of unwanted stocks of finished goods and some had extended their Christmas stoppages to help unwind that position. The growth in the official retail sales data in November contrasted with reports from Agents’ retailing contacts, which suggested that there had been sluggish sales growth, more in line with the CBI Distributive Trades survey. Sales growth in the first half of December had also been weak but there had been a noticeable pick-up in the week before Christmas. Price discounting in December had been greater than in 1997.</w:t>
      </w:r>
    </w:p>
    <w:p>
      <w:pPr>
        <w:pStyle w:val="BodyText"/>
        <w:rPr>
          <w:sz w:val="16"/>
        </w:rPr>
      </w:pPr>
    </w:p>
    <w:p>
      <w:pPr>
        <w:pStyle w:val="ListParagraph"/>
        <w:numPr>
          <w:ilvl w:val="0"/>
          <w:numId w:val="48"/>
        </w:numPr>
        <w:tabs>
          <w:tab w:pos="644" w:val="left" w:leader="none"/>
          <w:tab w:pos="645" w:val="left" w:leader="none"/>
        </w:tabs>
        <w:spacing w:line="232" w:lineRule="auto" w:before="0" w:after="0"/>
        <w:ind w:left="164" w:right="147" w:firstLine="0"/>
        <w:jc w:val="left"/>
        <w:rPr>
          <w:sz w:val="18"/>
        </w:rPr>
      </w:pPr>
      <w:r>
        <w:rPr>
          <w:color w:val="231F20"/>
          <w:sz w:val="18"/>
        </w:rPr>
        <w:t>Upward pressure on wages had continued to ease. Even sectors of previously intense pressure (such as IT) had reported some easing. An increasing emphasis on job security had </w:t>
      </w:r>
      <w:r>
        <w:rPr>
          <w:color w:val="231F20"/>
          <w:spacing w:val="-3"/>
          <w:sz w:val="18"/>
        </w:rPr>
        <w:t>lowered </w:t>
      </w:r>
      <w:r>
        <w:rPr>
          <w:color w:val="231F20"/>
          <w:sz w:val="18"/>
        </w:rPr>
        <w:t>wage expectations. The Working Time Directive would increase firms’ costs not only through increased paid holiday provision </w:t>
      </w:r>
      <w:r>
        <w:rPr>
          <w:color w:val="231F20"/>
          <w:spacing w:val="-6"/>
          <w:sz w:val="18"/>
        </w:rPr>
        <w:t>and </w:t>
      </w:r>
      <w:r>
        <w:rPr>
          <w:color w:val="231F20"/>
          <w:sz w:val="18"/>
        </w:rPr>
        <w:t>lost shift flexibility, but also via increased administration and monitoring. A number of contacts had sought opt-out agreements with their staff. Employment growth had continued, albeit more slowly, in the service sector, which contrasted with the decline in the November C</w:t>
      </w:r>
      <w:r>
        <w:rPr>
          <w:color w:val="231F20"/>
          <w:sz w:val="14"/>
        </w:rPr>
        <w:t>IPS </w:t>
      </w:r>
      <w:r>
        <w:rPr>
          <w:color w:val="231F20"/>
          <w:sz w:val="18"/>
        </w:rPr>
        <w:t>survey. Nonetheless, overall unemployment was expected to rise in 1999 as service sector growth would no longer balance job losses in manufacturing.</w:t>
      </w:r>
    </w:p>
    <w:p>
      <w:pPr>
        <w:pStyle w:val="BodyText"/>
        <w:spacing w:before="10"/>
        <w:rPr>
          <w:sz w:val="19"/>
        </w:rPr>
      </w:pPr>
    </w:p>
    <w:p>
      <w:pPr>
        <w:pStyle w:val="Heading6"/>
        <w:numPr>
          <w:ilvl w:val="0"/>
          <w:numId w:val="47"/>
        </w:numPr>
        <w:tabs>
          <w:tab w:pos="644" w:val="left" w:leader="none"/>
          <w:tab w:pos="645" w:val="left" w:leader="none"/>
        </w:tabs>
        <w:spacing w:line="240" w:lineRule="auto" w:before="0" w:after="0"/>
        <w:ind w:left="644" w:right="0" w:hanging="481"/>
        <w:jc w:val="left"/>
      </w:pPr>
      <w:r>
        <w:rPr>
          <w:color w:val="009483"/>
        </w:rPr>
        <w:t>International</w:t>
      </w:r>
      <w:r>
        <w:rPr>
          <w:color w:val="009483"/>
          <w:spacing w:val="-1"/>
        </w:rPr>
        <w:t> </w:t>
      </w:r>
      <w:r>
        <w:rPr>
          <w:color w:val="009483"/>
        </w:rPr>
        <w:t>environment</w:t>
      </w:r>
    </w:p>
    <w:p>
      <w:pPr>
        <w:pStyle w:val="ListParagraph"/>
        <w:numPr>
          <w:ilvl w:val="0"/>
          <w:numId w:val="48"/>
        </w:numPr>
        <w:tabs>
          <w:tab w:pos="644" w:val="left" w:leader="none"/>
          <w:tab w:pos="645" w:val="left" w:leader="none"/>
        </w:tabs>
        <w:spacing w:line="232" w:lineRule="auto" w:before="109" w:after="0"/>
        <w:ind w:left="164" w:right="38" w:firstLine="0"/>
        <w:jc w:val="left"/>
        <w:rPr>
          <w:sz w:val="18"/>
        </w:rPr>
      </w:pPr>
      <w:r>
        <w:rPr>
          <w:color w:val="231F20"/>
          <w:sz w:val="18"/>
        </w:rPr>
        <w:t>Evidence from the United States had remained mixed. GDP growth in Q3 had been revised down slightly, to +0.9%, reflecting weaker net exports. Industrial production had continued to </w:t>
      </w:r>
      <w:r>
        <w:rPr>
          <w:color w:val="231F20"/>
          <w:spacing w:val="-3"/>
          <w:sz w:val="18"/>
        </w:rPr>
        <w:t>weaken, </w:t>
      </w:r>
      <w:r>
        <w:rPr>
          <w:color w:val="231F20"/>
          <w:sz w:val="18"/>
        </w:rPr>
        <w:t>growing by 1.5% in the year to November. Consumer confidence had remained strong in November, but optimism about future employment and incomes had fallen. Non-farm payrolls had also continued to grow strongly in November, but this was due to seasonal effects, and the annual growth rate had been slowing since August. Nominal retail sales had grown by 0.6% in November, but real personal consumption had remained unchanged. M2 increased 8.8% in the year to November.</w:t>
      </w:r>
    </w:p>
    <w:p>
      <w:pPr>
        <w:pStyle w:val="BodyText"/>
        <w:spacing w:before="8"/>
        <w:rPr>
          <w:sz w:val="16"/>
        </w:rPr>
      </w:pPr>
    </w:p>
    <w:p>
      <w:pPr>
        <w:pStyle w:val="ListParagraph"/>
        <w:numPr>
          <w:ilvl w:val="0"/>
          <w:numId w:val="48"/>
        </w:numPr>
        <w:tabs>
          <w:tab w:pos="644" w:val="left" w:leader="none"/>
          <w:tab w:pos="645" w:val="left" w:leader="none"/>
        </w:tabs>
        <w:spacing w:line="232" w:lineRule="auto" w:before="0" w:after="0"/>
        <w:ind w:left="164" w:right="48" w:firstLine="0"/>
        <w:jc w:val="left"/>
        <w:rPr>
          <w:sz w:val="18"/>
        </w:rPr>
      </w:pPr>
      <w:r>
        <w:rPr>
          <w:color w:val="231F20"/>
          <w:sz w:val="18"/>
        </w:rPr>
        <w:t>There were few signs that activity had bottomed-out in Japan. The December Tankan survey had been weak: the balance for large manufacturers had been recorded at -56 and was now </w:t>
      </w:r>
      <w:r>
        <w:rPr>
          <w:color w:val="231F20"/>
          <w:spacing w:val="-5"/>
          <w:sz w:val="18"/>
        </w:rPr>
        <w:t>back </w:t>
      </w:r>
      <w:r>
        <w:rPr>
          <w:color w:val="231F20"/>
          <w:sz w:val="18"/>
        </w:rPr>
        <w:t>to February 1994’s low point. The balance of firms with</w:t>
      </w:r>
    </w:p>
    <w:p>
      <w:pPr>
        <w:pStyle w:val="BodyText"/>
        <w:spacing w:line="232" w:lineRule="auto"/>
        <w:ind w:left="164" w:right="165"/>
      </w:pPr>
      <w:r>
        <w:rPr>
          <w:color w:val="231F20"/>
        </w:rPr>
        <w:t>above-desired levels of employees continued to increase. The average propensity to consume had fallen in November, and retail sales had fallen 1.5% on a year earlier (the seventh consecutive</w:t>
      </w:r>
    </w:p>
    <w:p>
      <w:pPr>
        <w:pStyle w:val="BodyText"/>
        <w:spacing w:before="7"/>
        <w:rPr>
          <w:sz w:val="19"/>
        </w:rPr>
      </w:pPr>
      <w:r>
        <w:rPr/>
        <w:br w:type="column"/>
      </w:r>
      <w:r>
        <w:rPr>
          <w:sz w:val="19"/>
        </w:rPr>
      </w:r>
    </w:p>
    <w:p>
      <w:pPr>
        <w:pStyle w:val="BodyText"/>
        <w:spacing w:line="232" w:lineRule="auto" w:before="1"/>
        <w:ind w:left="164" w:right="225"/>
      </w:pPr>
      <w:r>
        <w:rPr>
          <w:color w:val="231F20"/>
        </w:rPr>
        <w:t>month of annual decline). The Tankan survey showed that corporate financial conditions had continued to deteriorate and that banks remained unwilling to lend (confirmed by official data </w:t>
      </w:r>
      <w:r>
        <w:rPr>
          <w:color w:val="231F20"/>
          <w:spacing w:val="-4"/>
        </w:rPr>
        <w:t>which </w:t>
      </w:r>
      <w:r>
        <w:rPr>
          <w:color w:val="231F20"/>
        </w:rPr>
        <w:t>showed that bank lending had fallen 4.0% on a year earlier in November, although this may have been overstated as a result of debt write-offs). There was little evidence of fiscal policy supporting public construction orders—these had fallen 14.7% on a year earlier.</w:t>
      </w:r>
    </w:p>
    <w:p>
      <w:pPr>
        <w:pStyle w:val="BodyText"/>
        <w:spacing w:before="9"/>
        <w:rPr>
          <w:sz w:val="16"/>
        </w:rPr>
      </w:pPr>
    </w:p>
    <w:p>
      <w:pPr>
        <w:pStyle w:val="ListParagraph"/>
        <w:numPr>
          <w:ilvl w:val="0"/>
          <w:numId w:val="48"/>
        </w:numPr>
        <w:tabs>
          <w:tab w:pos="644" w:val="left" w:leader="none"/>
          <w:tab w:pos="645" w:val="left" w:leader="none"/>
        </w:tabs>
        <w:spacing w:line="232" w:lineRule="auto" w:before="0" w:after="0"/>
        <w:ind w:left="164" w:right="285" w:firstLine="0"/>
        <w:jc w:val="left"/>
        <w:rPr>
          <w:sz w:val="18"/>
        </w:rPr>
      </w:pPr>
      <w:r>
        <w:rPr>
          <w:color w:val="231F20"/>
          <w:sz w:val="18"/>
        </w:rPr>
        <w:t>The quarterly growth rate of the EU5 (France, Germany, Italy, the Netherlands and Spain) had remained broadly unchanged in Q3. Private consumption had held up in Germany, France and Italy. While net trade had contributed positively to GDP growth, largely reflecting weaker import growth, this had been offset by weaker stockbuilding. In Q4, industrial confidence had continued to weaken, the annual rate of industrial production growth had continued to slow, and euro area capacity utilisation had fallen</w:t>
      </w:r>
    </w:p>
    <w:p>
      <w:pPr>
        <w:pStyle w:val="BodyText"/>
        <w:spacing w:line="232" w:lineRule="auto"/>
        <w:ind w:left="164" w:right="245"/>
      </w:pPr>
      <w:r>
        <w:rPr>
          <w:color w:val="231F20"/>
        </w:rPr>
        <w:t>for the first time since 1997 Q1.  Against this, consumer confidence had continued to strengthen in November. Inflation </w:t>
      </w:r>
      <w:r>
        <w:rPr>
          <w:color w:val="231F20"/>
          <w:spacing w:val="-6"/>
        </w:rPr>
        <w:t>had </w:t>
      </w:r>
      <w:r>
        <w:rPr>
          <w:color w:val="231F20"/>
        </w:rPr>
        <w:t>remained weak (0.9% on the harmonised measure), and growth of the ECB’s new euro area M3 measure had been close to the reference rate.</w:t>
      </w:r>
    </w:p>
    <w:p>
      <w:pPr>
        <w:pStyle w:val="BodyText"/>
        <w:spacing w:before="6"/>
        <w:rPr>
          <w:sz w:val="16"/>
        </w:rPr>
      </w:pPr>
    </w:p>
    <w:p>
      <w:pPr>
        <w:pStyle w:val="ListParagraph"/>
        <w:numPr>
          <w:ilvl w:val="0"/>
          <w:numId w:val="48"/>
        </w:numPr>
        <w:tabs>
          <w:tab w:pos="644" w:val="left" w:leader="none"/>
          <w:tab w:pos="645" w:val="left" w:leader="none"/>
        </w:tabs>
        <w:spacing w:line="232" w:lineRule="auto" w:before="0" w:after="0"/>
        <w:ind w:left="164" w:right="359" w:firstLine="0"/>
        <w:jc w:val="left"/>
        <w:rPr>
          <w:sz w:val="18"/>
        </w:rPr>
      </w:pPr>
      <w:r>
        <w:rPr>
          <w:color w:val="231F20"/>
          <w:sz w:val="18"/>
        </w:rPr>
        <w:t>December Consensus Economics forecasts for 1999, were stronger for the United States, unchanged for Japan, and had </w:t>
      </w:r>
      <w:r>
        <w:rPr>
          <w:color w:val="231F20"/>
          <w:spacing w:val="-5"/>
          <w:sz w:val="18"/>
        </w:rPr>
        <w:t>been </w:t>
      </w:r>
      <w:r>
        <w:rPr>
          <w:color w:val="231F20"/>
          <w:sz w:val="18"/>
        </w:rPr>
        <w:t>revised down for Germany, France and Italy.</w:t>
      </w:r>
    </w:p>
    <w:p>
      <w:pPr>
        <w:pStyle w:val="BodyText"/>
        <w:spacing w:before="2"/>
        <w:rPr>
          <w:sz w:val="17"/>
        </w:rPr>
      </w:pPr>
    </w:p>
    <w:p>
      <w:pPr>
        <w:pStyle w:val="ListParagraph"/>
        <w:numPr>
          <w:ilvl w:val="0"/>
          <w:numId w:val="48"/>
        </w:numPr>
        <w:tabs>
          <w:tab w:pos="644" w:val="left" w:leader="none"/>
          <w:tab w:pos="645" w:val="left" w:leader="none"/>
        </w:tabs>
        <w:spacing w:line="232" w:lineRule="auto" w:before="1" w:after="0"/>
        <w:ind w:left="164" w:right="285" w:firstLine="0"/>
        <w:jc w:val="left"/>
        <w:rPr>
          <w:sz w:val="18"/>
        </w:rPr>
      </w:pPr>
      <w:r>
        <w:rPr>
          <w:color w:val="231F20"/>
          <w:sz w:val="18"/>
        </w:rPr>
        <w:t>Between October and December, the IMF had revised </w:t>
      </w:r>
      <w:r>
        <w:rPr>
          <w:color w:val="231F20"/>
          <w:spacing w:val="-5"/>
          <w:sz w:val="18"/>
        </w:rPr>
        <w:t>down </w:t>
      </w:r>
      <w:r>
        <w:rPr>
          <w:color w:val="231F20"/>
          <w:sz w:val="18"/>
        </w:rPr>
        <w:t>its 1999 GDP forecasts, most significantly for Japan. World trade forecasts had also been revised down slightly.</w:t>
      </w:r>
    </w:p>
    <w:p>
      <w:pPr>
        <w:pStyle w:val="BodyText"/>
        <w:spacing w:before="5"/>
        <w:rPr>
          <w:sz w:val="20"/>
        </w:rPr>
      </w:pPr>
    </w:p>
    <w:p>
      <w:pPr>
        <w:pStyle w:val="Heading6"/>
        <w:numPr>
          <w:ilvl w:val="0"/>
          <w:numId w:val="47"/>
        </w:numPr>
        <w:tabs>
          <w:tab w:pos="644" w:val="left" w:leader="none"/>
          <w:tab w:pos="645" w:val="left" w:leader="none"/>
        </w:tabs>
        <w:spacing w:line="240" w:lineRule="auto" w:before="0" w:after="0"/>
        <w:ind w:left="644" w:right="0" w:hanging="481"/>
        <w:jc w:val="left"/>
      </w:pPr>
      <w:r>
        <w:rPr>
          <w:color w:val="009483"/>
        </w:rPr>
        <w:t>Prices</w:t>
      </w:r>
    </w:p>
    <w:p>
      <w:pPr>
        <w:pStyle w:val="ListParagraph"/>
        <w:numPr>
          <w:ilvl w:val="0"/>
          <w:numId w:val="48"/>
        </w:numPr>
        <w:tabs>
          <w:tab w:pos="644" w:val="left" w:leader="none"/>
          <w:tab w:pos="645" w:val="left" w:leader="none"/>
        </w:tabs>
        <w:spacing w:line="232" w:lineRule="auto" w:before="109" w:after="0"/>
        <w:ind w:left="164" w:right="281" w:firstLine="0"/>
        <w:jc w:val="left"/>
        <w:rPr>
          <w:sz w:val="18"/>
        </w:rPr>
      </w:pPr>
      <w:r>
        <w:rPr>
          <w:color w:val="231F20"/>
          <w:sz w:val="18"/>
        </w:rPr>
        <w:t>The Bank’s index of commodity prices excluding oil had risen by 0.8% in November, the biggest monthly rise since June 1997. The annual rate of inflation had risen to -6.7% in </w:t>
      </w:r>
      <w:r>
        <w:rPr>
          <w:color w:val="231F20"/>
          <w:spacing w:val="-3"/>
          <w:sz w:val="18"/>
        </w:rPr>
        <w:t>November </w:t>
      </w:r>
      <w:r>
        <w:rPr>
          <w:color w:val="231F20"/>
          <w:sz w:val="18"/>
        </w:rPr>
        <w:t>from -9.2%. But the suggestion that non-oil commodity price deflation had started to abate had not been supported by the most recent three-month-on-three-month data: at -3.2% the rate of deflation had been the strongest since January. And commodity prices including oil continued to fall, by 1.1% in November according to the Bank’s index.</w:t>
      </w:r>
    </w:p>
    <w:p>
      <w:pPr>
        <w:pStyle w:val="BodyText"/>
        <w:spacing w:before="9"/>
        <w:rPr>
          <w:sz w:val="16"/>
        </w:rPr>
      </w:pPr>
    </w:p>
    <w:p>
      <w:pPr>
        <w:pStyle w:val="ListParagraph"/>
        <w:numPr>
          <w:ilvl w:val="0"/>
          <w:numId w:val="48"/>
        </w:numPr>
        <w:tabs>
          <w:tab w:pos="644" w:val="left" w:leader="none"/>
          <w:tab w:pos="645" w:val="left" w:leader="none"/>
        </w:tabs>
        <w:spacing w:line="232" w:lineRule="auto" w:before="0" w:after="0"/>
        <w:ind w:left="164" w:right="184" w:firstLine="0"/>
        <w:jc w:val="left"/>
        <w:rPr>
          <w:sz w:val="18"/>
        </w:rPr>
      </w:pPr>
      <w:r>
        <w:rPr>
          <w:color w:val="231F20"/>
          <w:sz w:val="18"/>
        </w:rPr>
        <w:t>Oil prices had stabilised in December following the sharp </w:t>
      </w:r>
      <w:r>
        <w:rPr>
          <w:color w:val="231F20"/>
          <w:spacing w:val="-5"/>
          <w:sz w:val="18"/>
        </w:rPr>
        <w:t>fall </w:t>
      </w:r>
      <w:r>
        <w:rPr>
          <w:color w:val="231F20"/>
          <w:sz w:val="18"/>
        </w:rPr>
        <w:t>during November. Despite a brief increase at the beginning of the air strikes against Iraq, the one-month future price of Brent crude oil had risen to $10.53 by the end of December from $10.46 at the beginning.  The effect on the UK real economy of low oil prices was likely to be small relative to the mid 1980s as oil’s share of output, profits and net exports had declined significantly. And the effect on retail prices inflation had continued to be more than offset by taxes and excise duties. The rate of fuel price inflation in the United Kingdom had been the highest of any EU country in October.</w:t>
      </w:r>
    </w:p>
    <w:p>
      <w:pPr>
        <w:pStyle w:val="BodyText"/>
        <w:spacing w:before="8"/>
        <w:rPr>
          <w:sz w:val="16"/>
        </w:rPr>
      </w:pPr>
    </w:p>
    <w:p>
      <w:pPr>
        <w:pStyle w:val="ListParagraph"/>
        <w:numPr>
          <w:ilvl w:val="0"/>
          <w:numId w:val="48"/>
        </w:numPr>
        <w:tabs>
          <w:tab w:pos="644" w:val="left" w:leader="none"/>
          <w:tab w:pos="645" w:val="left" w:leader="none"/>
        </w:tabs>
        <w:spacing w:line="232" w:lineRule="auto" w:before="0" w:after="0"/>
        <w:ind w:left="164" w:right="326" w:firstLine="0"/>
        <w:jc w:val="left"/>
        <w:rPr>
          <w:sz w:val="18"/>
        </w:rPr>
      </w:pPr>
      <w:r>
        <w:rPr>
          <w:color w:val="231F20"/>
          <w:sz w:val="18"/>
        </w:rPr>
        <w:t>Producer prices had fallen again in November: input </w:t>
      </w:r>
      <w:r>
        <w:rPr>
          <w:color w:val="231F20"/>
          <w:spacing w:val="-4"/>
          <w:sz w:val="18"/>
        </w:rPr>
        <w:t>prices </w:t>
      </w:r>
      <w:r>
        <w:rPr>
          <w:color w:val="231F20"/>
          <w:sz w:val="18"/>
        </w:rPr>
        <w:t>had fallen by 0.6%, as in October, and output prices (excluding excise duties) had fallen by 0.1%. The C</w:t>
      </w:r>
      <w:r>
        <w:rPr>
          <w:color w:val="231F20"/>
          <w:sz w:val="14"/>
        </w:rPr>
        <w:t>IPS </w:t>
      </w:r>
      <w:r>
        <w:rPr>
          <w:color w:val="231F20"/>
          <w:sz w:val="18"/>
        </w:rPr>
        <w:t>and CBI surveys had suggested further falls in December.</w:t>
      </w:r>
    </w:p>
    <w:p>
      <w:pPr>
        <w:pStyle w:val="BodyText"/>
        <w:spacing w:before="1"/>
        <w:rPr>
          <w:sz w:val="17"/>
        </w:rPr>
      </w:pPr>
    </w:p>
    <w:p>
      <w:pPr>
        <w:pStyle w:val="ListParagraph"/>
        <w:numPr>
          <w:ilvl w:val="0"/>
          <w:numId w:val="48"/>
        </w:numPr>
        <w:tabs>
          <w:tab w:pos="644" w:val="left" w:leader="none"/>
          <w:tab w:pos="645" w:val="left" w:leader="none"/>
        </w:tabs>
        <w:spacing w:line="232" w:lineRule="auto" w:before="0" w:after="0"/>
        <w:ind w:left="164" w:right="274" w:firstLine="0"/>
        <w:jc w:val="left"/>
        <w:rPr>
          <w:sz w:val="18"/>
        </w:rPr>
      </w:pPr>
      <w:r>
        <w:rPr>
          <w:color w:val="231F20"/>
          <w:sz w:val="18"/>
        </w:rPr>
        <w:t>Other measures of inflation had remained almost unchanged since the December MPC meeting. Annual retail sales deflator inflation had remained at 0.9% in November. The GDP at market prices deflator had increased by 1.8% in the year to the third quarter.</w:t>
      </w:r>
    </w:p>
    <w:p>
      <w:pPr>
        <w:pStyle w:val="BodyText"/>
        <w:spacing w:before="1"/>
        <w:rPr>
          <w:sz w:val="17"/>
        </w:rPr>
      </w:pPr>
    </w:p>
    <w:p>
      <w:pPr>
        <w:pStyle w:val="ListParagraph"/>
        <w:numPr>
          <w:ilvl w:val="0"/>
          <w:numId w:val="48"/>
        </w:numPr>
        <w:tabs>
          <w:tab w:pos="644" w:val="left" w:leader="none"/>
          <w:tab w:pos="645" w:val="left" w:leader="none"/>
        </w:tabs>
        <w:spacing w:line="232" w:lineRule="auto" w:before="0" w:after="0"/>
        <w:ind w:left="164" w:right="189" w:firstLine="0"/>
        <w:jc w:val="left"/>
        <w:rPr>
          <w:sz w:val="18"/>
        </w:rPr>
      </w:pPr>
      <w:r>
        <w:rPr>
          <w:color w:val="231F20"/>
          <w:sz w:val="18"/>
        </w:rPr>
        <w:t>RPIX inflation had remained equal to the target for the </w:t>
      </w:r>
      <w:r>
        <w:rPr>
          <w:color w:val="231F20"/>
          <w:spacing w:val="-3"/>
          <w:sz w:val="18"/>
        </w:rPr>
        <w:t>fourth </w:t>
      </w:r>
      <w:r>
        <w:rPr>
          <w:color w:val="231F20"/>
          <w:sz w:val="18"/>
        </w:rPr>
        <w:t>consecutive month in November; RPIY inflation had remained at 1.8%. RPI inflation had fallen by 0.1 percentage points since October, to 3.0%. Goods price inflation had remained much lower than that in services:  RPIY goods inflation had remained just below zero in November.</w:t>
      </w:r>
    </w:p>
    <w:p>
      <w:pPr>
        <w:spacing w:after="0" w:line="232" w:lineRule="auto"/>
        <w:jc w:val="left"/>
        <w:rPr>
          <w:sz w:val="18"/>
        </w:rPr>
        <w:sectPr>
          <w:type w:val="continuous"/>
          <w:pgSz w:w="11900" w:h="16840"/>
          <w:pgMar w:top="1220" w:bottom="280" w:left="640" w:right="600"/>
          <w:cols w:num="2" w:equalWidth="0">
            <w:col w:w="5098" w:space="297"/>
            <w:col w:w="5265"/>
          </w:cols>
        </w:sectPr>
      </w:pPr>
    </w:p>
    <w:p>
      <w:pPr>
        <w:pStyle w:val="BodyText"/>
        <w:rPr>
          <w:sz w:val="20"/>
        </w:rPr>
      </w:pPr>
    </w:p>
    <w:p>
      <w:pPr>
        <w:spacing w:after="0"/>
        <w:rPr>
          <w:sz w:val="20"/>
        </w:rPr>
        <w:sectPr>
          <w:pgSz w:w="11900" w:h="16840"/>
          <w:pgMar w:header="566" w:footer="597" w:top="760" w:bottom="780" w:left="640" w:right="600"/>
        </w:sectPr>
      </w:pPr>
    </w:p>
    <w:p>
      <w:pPr>
        <w:pStyle w:val="Heading6"/>
        <w:numPr>
          <w:ilvl w:val="0"/>
          <w:numId w:val="47"/>
        </w:numPr>
        <w:tabs>
          <w:tab w:pos="626" w:val="left" w:leader="none"/>
        </w:tabs>
        <w:spacing w:line="240" w:lineRule="auto" w:before="212" w:after="0"/>
        <w:ind w:left="625" w:right="0" w:hanging="481"/>
        <w:jc w:val="left"/>
      </w:pPr>
      <w:r>
        <w:rPr>
          <w:color w:val="009483"/>
        </w:rPr>
        <w:t>Information from financial</w:t>
      </w:r>
      <w:r>
        <w:rPr>
          <w:color w:val="009483"/>
          <w:spacing w:val="-3"/>
        </w:rPr>
        <w:t> </w:t>
      </w:r>
      <w:r>
        <w:rPr>
          <w:color w:val="009483"/>
        </w:rPr>
        <w:t>markets</w:t>
      </w:r>
    </w:p>
    <w:p>
      <w:pPr>
        <w:spacing w:before="124"/>
        <w:ind w:left="145" w:right="0" w:firstLine="0"/>
        <w:jc w:val="left"/>
        <w:rPr>
          <w:i/>
          <w:sz w:val="18"/>
        </w:rPr>
      </w:pPr>
      <w:r>
        <w:rPr>
          <w:i/>
          <w:color w:val="009483"/>
          <w:sz w:val="18"/>
        </w:rPr>
        <w:t>Foreign exchange</w:t>
      </w:r>
    </w:p>
    <w:p>
      <w:pPr>
        <w:pStyle w:val="ListParagraph"/>
        <w:numPr>
          <w:ilvl w:val="0"/>
          <w:numId w:val="48"/>
        </w:numPr>
        <w:tabs>
          <w:tab w:pos="625" w:val="left" w:leader="none"/>
          <w:tab w:pos="626" w:val="left" w:leader="none"/>
        </w:tabs>
        <w:spacing w:line="232" w:lineRule="auto" w:before="138" w:after="0"/>
        <w:ind w:left="145" w:right="143" w:firstLine="0"/>
        <w:jc w:val="left"/>
        <w:rPr>
          <w:sz w:val="18"/>
        </w:rPr>
      </w:pPr>
      <w:r>
        <w:rPr>
          <w:color w:val="231F20"/>
          <w:sz w:val="18"/>
        </w:rPr>
        <w:t>Since the previous MPC meeting, the dollar had weakened by about 4.4% against the yen. The dollar had remained fairly constant against the Deutsche Mark, with a temporary weakness within the month around the time of developments in the Clinton impeachment case. Contrary to market expectations sterling had initially moved higher against both the dollar and the Deutsche Mark before falling back in the last few days. Since 29 </w:t>
      </w:r>
      <w:r>
        <w:rPr>
          <w:color w:val="231F20"/>
          <w:spacing w:val="-3"/>
          <w:sz w:val="18"/>
        </w:rPr>
        <w:t>December </w:t>
      </w:r>
      <w:r>
        <w:rPr>
          <w:color w:val="231F20"/>
          <w:sz w:val="18"/>
        </w:rPr>
        <w:t>the sterling ERI had fallen by around 2%, returning it to the levels prevailing at the previous MPC meeting.</w:t>
      </w:r>
    </w:p>
    <w:p>
      <w:pPr>
        <w:pStyle w:val="BodyText"/>
        <w:spacing w:before="6"/>
      </w:pPr>
    </w:p>
    <w:p>
      <w:pPr>
        <w:pStyle w:val="ListParagraph"/>
        <w:numPr>
          <w:ilvl w:val="0"/>
          <w:numId w:val="48"/>
        </w:numPr>
        <w:tabs>
          <w:tab w:pos="625" w:val="left" w:leader="none"/>
          <w:tab w:pos="626" w:val="left" w:leader="none"/>
        </w:tabs>
        <w:spacing w:line="232" w:lineRule="auto" w:before="0" w:after="0"/>
        <w:ind w:left="145" w:right="292" w:firstLine="0"/>
        <w:jc w:val="left"/>
        <w:rPr>
          <w:sz w:val="18"/>
        </w:rPr>
      </w:pPr>
      <w:r>
        <w:rPr>
          <w:color w:val="231F20"/>
          <w:sz w:val="18"/>
        </w:rPr>
        <w:t>The transition to the euro had been smooth. In its first </w:t>
      </w:r>
      <w:r>
        <w:rPr>
          <w:color w:val="231F20"/>
          <w:spacing w:val="-9"/>
          <w:sz w:val="18"/>
        </w:rPr>
        <w:t>24 </w:t>
      </w:r>
      <w:r>
        <w:rPr>
          <w:color w:val="231F20"/>
          <w:sz w:val="18"/>
        </w:rPr>
        <w:t>hours of trading, the euro had appreciated against most other currencies, including sterling.</w:t>
      </w:r>
    </w:p>
    <w:p>
      <w:pPr>
        <w:pStyle w:val="BodyText"/>
        <w:spacing w:before="6"/>
      </w:pPr>
    </w:p>
    <w:p>
      <w:pPr>
        <w:spacing w:before="0"/>
        <w:ind w:left="145" w:right="0" w:firstLine="0"/>
        <w:jc w:val="left"/>
        <w:rPr>
          <w:i/>
          <w:sz w:val="18"/>
        </w:rPr>
      </w:pPr>
      <w:r>
        <w:rPr>
          <w:i/>
          <w:color w:val="009483"/>
          <w:sz w:val="18"/>
        </w:rPr>
        <w:t>Government bond and money markets</w:t>
      </w:r>
    </w:p>
    <w:p>
      <w:pPr>
        <w:pStyle w:val="ListParagraph"/>
        <w:numPr>
          <w:ilvl w:val="0"/>
          <w:numId w:val="48"/>
        </w:numPr>
        <w:tabs>
          <w:tab w:pos="625" w:val="left" w:leader="none"/>
          <w:tab w:pos="626" w:val="left" w:leader="none"/>
        </w:tabs>
        <w:spacing w:line="232" w:lineRule="auto" w:before="138" w:after="0"/>
        <w:ind w:left="145" w:right="42" w:firstLine="0"/>
        <w:jc w:val="left"/>
        <w:rPr>
          <w:sz w:val="18"/>
        </w:rPr>
      </w:pPr>
      <w:r>
        <w:rPr>
          <w:color w:val="231F20"/>
          <w:sz w:val="18"/>
        </w:rPr>
        <w:t>Since the previous MPC meeting, the short-term interest rates implied by short sterling futures contracts had fallen further, and indicated that the current interest rate cycle was expected to bottom out in June 2000. New economic data had had little impact on expectations. The implied two-week repo rate two weeks forward was 14 basis points below the prevailing two-week repo rate. This was consistent with anecdotes suggesting that the </w:t>
      </w:r>
      <w:r>
        <w:rPr>
          <w:color w:val="231F20"/>
          <w:spacing w:val="-3"/>
          <w:sz w:val="18"/>
        </w:rPr>
        <w:t>market </w:t>
      </w:r>
      <w:r>
        <w:rPr>
          <w:color w:val="231F20"/>
          <w:sz w:val="18"/>
        </w:rPr>
        <w:t>believed there was an evens chance of a 25 basis point cut in rates this month.</w:t>
      </w:r>
    </w:p>
    <w:p>
      <w:pPr>
        <w:pStyle w:val="BodyText"/>
        <w:spacing w:before="9"/>
        <w:rPr>
          <w:sz w:val="16"/>
        </w:rPr>
      </w:pPr>
    </w:p>
    <w:p>
      <w:pPr>
        <w:pStyle w:val="ListParagraph"/>
        <w:numPr>
          <w:ilvl w:val="0"/>
          <w:numId w:val="48"/>
        </w:numPr>
        <w:tabs>
          <w:tab w:pos="625" w:val="left" w:leader="none"/>
          <w:tab w:pos="626" w:val="left" w:leader="none"/>
        </w:tabs>
        <w:spacing w:line="232" w:lineRule="auto" w:before="0" w:after="0"/>
        <w:ind w:left="145" w:right="38" w:firstLine="0"/>
        <w:jc w:val="left"/>
        <w:rPr>
          <w:sz w:val="18"/>
        </w:rPr>
      </w:pPr>
      <w:r>
        <w:rPr>
          <w:color w:val="231F20"/>
          <w:sz w:val="18"/>
        </w:rPr>
        <w:t>Euro-area rates had fallen, while United States rates had mainly risen. United Kingdom rates were close to short dollar </w:t>
      </w:r>
      <w:r>
        <w:rPr>
          <w:color w:val="231F20"/>
          <w:spacing w:val="-4"/>
          <w:sz w:val="18"/>
        </w:rPr>
        <w:t>rates </w:t>
      </w:r>
      <w:r>
        <w:rPr>
          <w:color w:val="231F20"/>
          <w:sz w:val="18"/>
        </w:rPr>
        <w:t>from December 2000 onwards.</w:t>
      </w:r>
    </w:p>
    <w:p>
      <w:pPr>
        <w:pStyle w:val="BodyText"/>
        <w:spacing w:before="2"/>
        <w:rPr>
          <w:sz w:val="17"/>
        </w:rPr>
      </w:pPr>
    </w:p>
    <w:p>
      <w:pPr>
        <w:pStyle w:val="ListParagraph"/>
        <w:numPr>
          <w:ilvl w:val="0"/>
          <w:numId w:val="48"/>
        </w:numPr>
        <w:tabs>
          <w:tab w:pos="625" w:val="left" w:leader="none"/>
          <w:tab w:pos="626" w:val="left" w:leader="none"/>
        </w:tabs>
        <w:spacing w:line="232" w:lineRule="auto" w:before="0" w:after="0"/>
        <w:ind w:left="145" w:right="142" w:firstLine="0"/>
        <w:jc w:val="left"/>
        <w:rPr>
          <w:sz w:val="18"/>
        </w:rPr>
      </w:pPr>
      <w:r>
        <w:rPr>
          <w:color w:val="231F20"/>
          <w:sz w:val="18"/>
        </w:rPr>
        <w:t>There had been a large rise in Japanese bond yields of around 80 basis points over the month. Market commentators </w:t>
      </w:r>
      <w:r>
        <w:rPr>
          <w:color w:val="231F20"/>
          <w:spacing w:val="-6"/>
          <w:sz w:val="18"/>
        </w:rPr>
        <w:t>had </w:t>
      </w:r>
      <w:r>
        <w:rPr>
          <w:color w:val="231F20"/>
          <w:sz w:val="18"/>
        </w:rPr>
        <w:t>suggested that this was associated with an announcement that government trust funds would not buy a material amount of </w:t>
      </w:r>
      <w:r>
        <w:rPr>
          <w:color w:val="231F20"/>
          <w:spacing w:val="-3"/>
          <w:sz w:val="18"/>
        </w:rPr>
        <w:t>bonds </w:t>
      </w:r>
      <w:r>
        <w:rPr>
          <w:color w:val="231F20"/>
          <w:sz w:val="18"/>
        </w:rPr>
        <w:t>in the current year, when bond issuance is set to rise.</w:t>
      </w:r>
    </w:p>
    <w:p>
      <w:pPr>
        <w:pStyle w:val="BodyText"/>
        <w:spacing w:before="7"/>
        <w:rPr>
          <w:sz w:val="19"/>
        </w:rPr>
      </w:pPr>
      <w:r>
        <w:rPr/>
        <w:br w:type="column"/>
      </w:r>
      <w:r>
        <w:rPr>
          <w:sz w:val="19"/>
        </w:rPr>
      </w:r>
    </w:p>
    <w:p>
      <w:pPr>
        <w:pStyle w:val="ListParagraph"/>
        <w:numPr>
          <w:ilvl w:val="0"/>
          <w:numId w:val="48"/>
        </w:numPr>
        <w:tabs>
          <w:tab w:pos="625" w:val="left" w:leader="none"/>
          <w:tab w:pos="626" w:val="left" w:leader="none"/>
        </w:tabs>
        <w:spacing w:line="232" w:lineRule="auto" w:before="1" w:after="0"/>
        <w:ind w:left="145" w:right="277" w:firstLine="0"/>
        <w:jc w:val="left"/>
        <w:rPr>
          <w:sz w:val="18"/>
        </w:rPr>
      </w:pPr>
      <w:r>
        <w:rPr>
          <w:color w:val="231F20"/>
          <w:sz w:val="18"/>
        </w:rPr>
        <w:t>United Kingdom yields at medium maturities were around 45 basis points below those in the United States, and some 60 </w:t>
      </w:r>
      <w:r>
        <w:rPr>
          <w:color w:val="231F20"/>
          <w:spacing w:val="-4"/>
          <w:sz w:val="18"/>
        </w:rPr>
        <w:t>basis </w:t>
      </w:r>
      <w:r>
        <w:rPr>
          <w:color w:val="231F20"/>
          <w:sz w:val="18"/>
        </w:rPr>
        <w:t>points above those in Germany and France. In forward rate terms, this meant that United Kingdom yields beyond 5 years were now below German levels.</w:t>
      </w:r>
    </w:p>
    <w:p>
      <w:pPr>
        <w:pStyle w:val="BodyText"/>
        <w:spacing w:before="6"/>
        <w:rPr>
          <w:sz w:val="16"/>
        </w:rPr>
      </w:pPr>
    </w:p>
    <w:p>
      <w:pPr>
        <w:pStyle w:val="ListParagraph"/>
        <w:numPr>
          <w:ilvl w:val="0"/>
          <w:numId w:val="48"/>
        </w:numPr>
        <w:tabs>
          <w:tab w:pos="625" w:val="left" w:leader="none"/>
          <w:tab w:pos="626" w:val="left" w:leader="none"/>
        </w:tabs>
        <w:spacing w:line="203" w:lineRule="exact" w:before="1" w:after="0"/>
        <w:ind w:left="625" w:right="0" w:hanging="481"/>
        <w:jc w:val="left"/>
        <w:rPr>
          <w:sz w:val="18"/>
        </w:rPr>
      </w:pPr>
      <w:r>
        <w:rPr>
          <w:color w:val="231F20"/>
          <w:sz w:val="18"/>
        </w:rPr>
        <w:t>The United Kingdom had experienced a decline in</w:t>
      </w:r>
    </w:p>
    <w:p>
      <w:pPr>
        <w:pStyle w:val="BodyText"/>
        <w:spacing w:line="232" w:lineRule="auto" w:before="1"/>
        <w:ind w:left="145" w:right="251"/>
      </w:pPr>
      <w:r>
        <w:rPr>
          <w:color w:val="231F20"/>
        </w:rPr>
        <w:t>index-linked government bond yields that had not been shared with other countries. This was sufficient to explain the fall in nominal yields, especially at the long end, but was not itself easily explained.</w:t>
      </w:r>
    </w:p>
    <w:p>
      <w:pPr>
        <w:pStyle w:val="BodyText"/>
        <w:spacing w:before="8"/>
        <w:rPr>
          <w:sz w:val="16"/>
        </w:rPr>
      </w:pPr>
    </w:p>
    <w:p>
      <w:pPr>
        <w:spacing w:before="0"/>
        <w:ind w:left="145" w:right="0" w:firstLine="0"/>
        <w:jc w:val="left"/>
        <w:rPr>
          <w:i/>
          <w:sz w:val="18"/>
        </w:rPr>
      </w:pPr>
      <w:r>
        <w:rPr>
          <w:i/>
          <w:color w:val="009483"/>
          <w:sz w:val="18"/>
        </w:rPr>
        <w:t>Equity and corporate debt markets</w:t>
      </w:r>
    </w:p>
    <w:p>
      <w:pPr>
        <w:pStyle w:val="ListParagraph"/>
        <w:numPr>
          <w:ilvl w:val="0"/>
          <w:numId w:val="48"/>
        </w:numPr>
        <w:tabs>
          <w:tab w:pos="625" w:val="left" w:leader="none"/>
          <w:tab w:pos="626" w:val="left" w:leader="none"/>
        </w:tabs>
        <w:spacing w:line="232" w:lineRule="auto" w:before="118" w:after="0"/>
        <w:ind w:left="145" w:right="372" w:firstLine="0"/>
        <w:jc w:val="left"/>
        <w:rPr>
          <w:sz w:val="18"/>
        </w:rPr>
      </w:pPr>
      <w:r>
        <w:rPr>
          <w:color w:val="231F20"/>
          <w:sz w:val="18"/>
        </w:rPr>
        <w:t>Most equity markets had risen since the last MPC. The </w:t>
      </w:r>
      <w:r>
        <w:rPr>
          <w:color w:val="231F20"/>
          <w:spacing w:val="-9"/>
          <w:sz w:val="18"/>
        </w:rPr>
        <w:t>US </w:t>
      </w:r>
      <w:r>
        <w:rPr>
          <w:color w:val="231F20"/>
          <w:sz w:val="18"/>
        </w:rPr>
        <w:t>market was 7% above the July pre-crisis peak. The Japanese market had fallen a further 10%. The rise in the UK market had been broadly based, possibly reflecting lower real interest rates.</w:t>
      </w:r>
    </w:p>
    <w:p>
      <w:pPr>
        <w:pStyle w:val="BodyText"/>
        <w:spacing w:before="1"/>
        <w:rPr>
          <w:sz w:val="17"/>
        </w:rPr>
      </w:pPr>
    </w:p>
    <w:p>
      <w:pPr>
        <w:pStyle w:val="ListParagraph"/>
        <w:numPr>
          <w:ilvl w:val="0"/>
          <w:numId w:val="48"/>
        </w:numPr>
        <w:tabs>
          <w:tab w:pos="625" w:val="left" w:leader="none"/>
          <w:tab w:pos="626" w:val="left" w:leader="none"/>
        </w:tabs>
        <w:spacing w:line="232" w:lineRule="auto" w:before="1" w:after="0"/>
        <w:ind w:left="145" w:right="248" w:firstLine="0"/>
        <w:jc w:val="left"/>
        <w:rPr>
          <w:sz w:val="18"/>
        </w:rPr>
      </w:pPr>
      <w:r>
        <w:rPr>
          <w:color w:val="231F20"/>
          <w:sz w:val="18"/>
        </w:rPr>
        <w:t>Analysts’ forecasts of the growth in earnings per share for F</w:t>
      </w:r>
      <w:r>
        <w:rPr>
          <w:color w:val="231F20"/>
          <w:sz w:val="14"/>
        </w:rPr>
        <w:t>T-SE </w:t>
      </w:r>
      <w:r>
        <w:rPr>
          <w:color w:val="231F20"/>
          <w:sz w:val="18"/>
        </w:rPr>
        <w:t>100 companies for the current financial year had continued </w:t>
      </w:r>
      <w:r>
        <w:rPr>
          <w:color w:val="231F20"/>
          <w:spacing w:val="-8"/>
          <w:sz w:val="18"/>
        </w:rPr>
        <w:t>to </w:t>
      </w:r>
      <w:r>
        <w:rPr>
          <w:color w:val="231F20"/>
          <w:sz w:val="18"/>
        </w:rPr>
        <w:t>be revised downwards, and the median forecast had become</w:t>
      </w:r>
    </w:p>
    <w:p>
      <w:pPr>
        <w:pStyle w:val="BodyText"/>
        <w:spacing w:line="232" w:lineRule="auto"/>
        <w:ind w:left="145"/>
      </w:pPr>
      <w:r>
        <w:rPr>
          <w:color w:val="231F20"/>
        </w:rPr>
        <w:t>negative. The path of revisions seen during 1998 was much sharper than since 1992.</w:t>
      </w:r>
    </w:p>
    <w:p>
      <w:pPr>
        <w:pStyle w:val="BodyText"/>
        <w:rPr>
          <w:sz w:val="17"/>
        </w:rPr>
      </w:pPr>
    </w:p>
    <w:p>
      <w:pPr>
        <w:pStyle w:val="ListParagraph"/>
        <w:numPr>
          <w:ilvl w:val="0"/>
          <w:numId w:val="48"/>
        </w:numPr>
        <w:tabs>
          <w:tab w:pos="625" w:val="left" w:leader="none"/>
          <w:tab w:pos="626" w:val="left" w:leader="none"/>
        </w:tabs>
        <w:spacing w:line="232" w:lineRule="auto" w:before="0" w:after="0"/>
        <w:ind w:left="145" w:right="279" w:firstLine="0"/>
        <w:jc w:val="left"/>
        <w:rPr>
          <w:sz w:val="18"/>
        </w:rPr>
      </w:pPr>
      <w:r>
        <w:rPr>
          <w:color w:val="231F20"/>
          <w:sz w:val="18"/>
        </w:rPr>
        <w:t>The number of profit warnings was running at a higher level than last year. Fewer companies were citing the level of sterling </w:t>
      </w:r>
      <w:r>
        <w:rPr>
          <w:color w:val="231F20"/>
          <w:spacing w:val="-9"/>
          <w:sz w:val="18"/>
        </w:rPr>
        <w:t>as </w:t>
      </w:r>
      <w:r>
        <w:rPr>
          <w:color w:val="231F20"/>
          <w:sz w:val="18"/>
        </w:rPr>
        <w:t>a cause of the lower profits, but more were citing weak domestic demand.</w:t>
      </w:r>
    </w:p>
    <w:p>
      <w:pPr>
        <w:pStyle w:val="BodyText"/>
        <w:spacing w:before="2"/>
        <w:rPr>
          <w:sz w:val="17"/>
        </w:rPr>
      </w:pPr>
    </w:p>
    <w:p>
      <w:pPr>
        <w:pStyle w:val="ListParagraph"/>
        <w:numPr>
          <w:ilvl w:val="0"/>
          <w:numId w:val="48"/>
        </w:numPr>
        <w:tabs>
          <w:tab w:pos="626" w:val="left" w:leader="none"/>
        </w:tabs>
        <w:spacing w:line="232" w:lineRule="auto" w:before="0" w:after="0"/>
        <w:ind w:left="145" w:right="618" w:firstLine="0"/>
        <w:jc w:val="both"/>
        <w:rPr>
          <w:sz w:val="18"/>
        </w:rPr>
      </w:pPr>
      <w:r>
        <w:rPr>
          <w:color w:val="231F20"/>
          <w:sz w:val="18"/>
        </w:rPr>
        <w:t>The level of equity market uncertainty, as measured by implied volatility, was slightly down since the previous MPC meeting, but was still higher than before the recent</w:t>
      </w:r>
      <w:r>
        <w:rPr>
          <w:color w:val="231F20"/>
          <w:spacing w:val="-16"/>
          <w:sz w:val="18"/>
        </w:rPr>
        <w:t> </w:t>
      </w:r>
      <w:r>
        <w:rPr>
          <w:color w:val="231F20"/>
          <w:sz w:val="18"/>
        </w:rPr>
        <w:t>turbulence.</w:t>
      </w:r>
    </w:p>
    <w:p>
      <w:pPr>
        <w:pStyle w:val="ListParagraph"/>
        <w:numPr>
          <w:ilvl w:val="0"/>
          <w:numId w:val="48"/>
        </w:numPr>
        <w:tabs>
          <w:tab w:pos="625" w:val="left" w:leader="none"/>
          <w:tab w:pos="626" w:val="left" w:leader="none"/>
        </w:tabs>
        <w:spacing w:line="232" w:lineRule="auto" w:before="177" w:after="0"/>
        <w:ind w:left="145" w:right="248" w:firstLine="0"/>
        <w:jc w:val="left"/>
        <w:rPr>
          <w:sz w:val="18"/>
        </w:rPr>
      </w:pPr>
      <w:r>
        <w:rPr>
          <w:color w:val="231F20"/>
          <w:sz w:val="18"/>
        </w:rPr>
        <w:t>There had been little movement in credit spreads in the United Kingdom or the United States. The yield spread of an </w:t>
      </w:r>
      <w:r>
        <w:rPr>
          <w:color w:val="231F20"/>
          <w:spacing w:val="-4"/>
          <w:sz w:val="18"/>
        </w:rPr>
        <w:t>index </w:t>
      </w:r>
      <w:r>
        <w:rPr>
          <w:color w:val="231F20"/>
          <w:sz w:val="18"/>
        </w:rPr>
        <w:t>of UK bank bonds over high-rated corporates had remained at a high level, possibly reflecting greater uncertainty over the outlook for banks since the Russian crisis.</w:t>
      </w:r>
    </w:p>
    <w:p>
      <w:pPr>
        <w:spacing w:after="0" w:line="232" w:lineRule="auto"/>
        <w:jc w:val="left"/>
        <w:rPr>
          <w:sz w:val="18"/>
        </w:rPr>
        <w:sectPr>
          <w:type w:val="continuous"/>
          <w:pgSz w:w="11900" w:h="16840"/>
          <w:pgMar w:top="1220" w:bottom="280" w:left="640" w:right="600"/>
          <w:cols w:num="2" w:equalWidth="0">
            <w:col w:w="5065" w:space="325"/>
            <w:col w:w="5270"/>
          </w:cols>
        </w:sectPr>
      </w:pPr>
    </w:p>
    <w:p>
      <w:pPr>
        <w:pStyle w:val="BodyText"/>
        <w:rPr>
          <w:sz w:val="20"/>
        </w:rPr>
      </w:pPr>
    </w:p>
    <w:p>
      <w:pPr>
        <w:spacing w:line="357" w:lineRule="auto" w:before="218"/>
        <w:ind w:left="170" w:right="3244" w:firstLine="0"/>
        <w:jc w:val="left"/>
        <w:rPr>
          <w:b/>
          <w:sz w:val="28"/>
        </w:rPr>
      </w:pPr>
      <w:bookmarkStart w:name="January press notice" w:id="95"/>
      <w:bookmarkEnd w:id="95"/>
      <w:r>
        <w:rPr/>
      </w:r>
      <w:bookmarkStart w:name="February press notice" w:id="96"/>
      <w:bookmarkEnd w:id="96"/>
      <w:r>
        <w:rPr/>
      </w:r>
      <w:bookmarkStart w:name="_bookmark40" w:id="97"/>
      <w:bookmarkEnd w:id="97"/>
      <w:r>
        <w:rPr/>
      </w:r>
      <w:r>
        <w:rPr>
          <w:b/>
          <w:color w:val="009483"/>
          <w:sz w:val="28"/>
        </w:rPr>
        <w:t>Text of Bank of England press notice of 7 January 1999 Bank of England reduces interest rates by 0.25% to 6%</w:t>
      </w:r>
    </w:p>
    <w:p>
      <w:pPr>
        <w:pStyle w:val="BodyText"/>
        <w:spacing w:before="244"/>
        <w:ind w:left="174"/>
      </w:pPr>
      <w:r>
        <w:rPr>
          <w:color w:val="231F20"/>
        </w:rPr>
        <w:t>The Bank of England’s Monetary Policy Committee today voted to reduce the Bank’s repo rate by 0.25% to 6.0%.</w:t>
      </w:r>
    </w:p>
    <w:p>
      <w:pPr>
        <w:pStyle w:val="BodyText"/>
        <w:spacing w:before="2"/>
        <w:rPr>
          <w:sz w:val="17"/>
        </w:rPr>
      </w:pPr>
    </w:p>
    <w:p>
      <w:pPr>
        <w:pStyle w:val="BodyText"/>
        <w:spacing w:line="232" w:lineRule="auto"/>
        <w:ind w:left="174" w:right="153"/>
      </w:pPr>
      <w:r>
        <w:rPr>
          <w:color w:val="231F20"/>
        </w:rPr>
        <w:t>Since the Committee’s December meeting, domestic data and survey evidence have, on balance, shown a continuing slowdown in the UK economy. The labour market remains tight but it seems to have reached a turning point. Evidence from wage settlements and the Bank’s regional Agents suggest an easing of upward pressures on growth in pay. The risks from the international environment remain clearly on the downside. In these circumstances the Committee judged that a further reduction in interest rates of 0.25% to 6.0% was appropriate in order to maintain a path for inflation consistent with the target.</w:t>
      </w:r>
    </w:p>
    <w:p>
      <w:pPr>
        <w:pStyle w:val="BodyText"/>
        <w:spacing w:before="7"/>
        <w:rPr>
          <w:sz w:val="16"/>
        </w:rPr>
      </w:pPr>
    </w:p>
    <w:p>
      <w:pPr>
        <w:pStyle w:val="BodyText"/>
        <w:ind w:left="174"/>
      </w:pPr>
      <w:r>
        <w:rPr>
          <w:color w:val="231F20"/>
        </w:rPr>
        <w:t>The minutes of the meeting will be published at 9.30 am on Wednesday 20 January.</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17"/>
        </w:rPr>
      </w:pPr>
    </w:p>
    <w:p>
      <w:pPr>
        <w:pStyle w:val="Heading2"/>
        <w:spacing w:line="357" w:lineRule="auto" w:before="89"/>
        <w:ind w:left="179" w:right="3244"/>
        <w:rPr>
          <w:u w:val="none"/>
        </w:rPr>
      </w:pPr>
      <w:r>
        <w:rPr>
          <w:color w:val="009483"/>
          <w:u w:val="none"/>
        </w:rPr>
        <w:t>Text of Bank of England press notice of 5 February 1999 Bank of England reduces interest rates by 0.5% to 5.5%</w:t>
      </w:r>
    </w:p>
    <w:p>
      <w:pPr>
        <w:pStyle w:val="BodyText"/>
        <w:rPr>
          <w:b/>
          <w:sz w:val="14"/>
        </w:rPr>
      </w:pPr>
    </w:p>
    <w:p>
      <w:pPr>
        <w:pStyle w:val="BodyText"/>
        <w:spacing w:before="93"/>
        <w:ind w:left="185"/>
      </w:pPr>
      <w:r>
        <w:rPr>
          <w:color w:val="231F20"/>
        </w:rPr>
        <w:t>The Bank of England’s Monetary Policy Committee today voted to reduce the Bank’s repo rate by 0.5% to 5.5%.</w:t>
      </w:r>
    </w:p>
    <w:p>
      <w:pPr>
        <w:pStyle w:val="BodyText"/>
        <w:spacing w:before="2"/>
        <w:rPr>
          <w:sz w:val="17"/>
        </w:rPr>
      </w:pPr>
    </w:p>
    <w:p>
      <w:pPr>
        <w:pStyle w:val="BodyText"/>
        <w:spacing w:line="232" w:lineRule="auto"/>
        <w:ind w:left="185" w:right="288"/>
      </w:pPr>
      <w:r>
        <w:rPr>
          <w:color w:val="231F20"/>
        </w:rPr>
        <w:t>Taking account, in particular, of the prospects for international activity and prices, domestic costs and consumer demand, the Committee’s latest inflation projections implied that a further reduction in interest rates was necessary to keep inflation on a path consistent with the target of 2</w:t>
      </w:r>
      <w:r>
        <w:rPr>
          <w:color w:val="231F20"/>
          <w:position w:val="6"/>
          <w:sz w:val="9"/>
        </w:rPr>
        <w:t>1</w:t>
      </w:r>
      <w:r>
        <w:rPr>
          <w:color w:val="231F20"/>
        </w:rPr>
        <w:t>/</w:t>
      </w:r>
      <w:r>
        <w:rPr>
          <w:color w:val="231F20"/>
          <w:sz w:val="9"/>
        </w:rPr>
        <w:t>2</w:t>
      </w:r>
      <w:r>
        <w:rPr>
          <w:color w:val="231F20"/>
        </w:rPr>
        <w:t>%. The latest projections and analysis will appear in the </w:t>
      </w:r>
      <w:r>
        <w:rPr>
          <w:i/>
          <w:color w:val="231F20"/>
        </w:rPr>
        <w:t>Inflation Report </w:t>
      </w:r>
      <w:r>
        <w:rPr>
          <w:color w:val="231F20"/>
        </w:rPr>
        <w:t>to be published on Wednesday 10 February.</w:t>
      </w:r>
    </w:p>
    <w:p>
      <w:pPr>
        <w:pStyle w:val="BodyText"/>
        <w:spacing w:before="9"/>
        <w:rPr>
          <w:sz w:val="16"/>
        </w:rPr>
      </w:pPr>
    </w:p>
    <w:p>
      <w:pPr>
        <w:pStyle w:val="BodyText"/>
        <w:ind w:left="185"/>
      </w:pPr>
      <w:r>
        <w:rPr>
          <w:color w:val="231F20"/>
        </w:rPr>
        <w:t>The minutes of the meeting will be published at 9.30 am on Wednesday 17 February.</w:t>
      </w:r>
    </w:p>
    <w:p>
      <w:pPr>
        <w:spacing w:after="0"/>
        <w:sectPr>
          <w:pgSz w:w="11900" w:h="16840"/>
          <w:pgMar w:header="566" w:footer="597" w:top="760" w:bottom="780" w:left="640" w:right="600"/>
        </w:sectPr>
      </w:pPr>
    </w:p>
    <w:p>
      <w:pPr>
        <w:pStyle w:val="Heading2"/>
        <w:spacing w:before="61"/>
        <w:ind w:left="569"/>
        <w:rPr>
          <w:u w:val="none"/>
        </w:rPr>
      </w:pPr>
      <w:bookmarkStart w:name="Glossary and other information" w:id="98"/>
      <w:bookmarkEnd w:id="98"/>
      <w:r>
        <w:rPr>
          <w:b w:val="0"/>
          <w:u w:val="none"/>
        </w:rPr>
      </w:r>
      <w:bookmarkStart w:name="_bookmark41" w:id="99"/>
      <w:bookmarkEnd w:id="99"/>
      <w:r>
        <w:rPr>
          <w:b w:val="0"/>
          <w:u w:val="none"/>
        </w:rPr>
      </w:r>
      <w:r>
        <w:rPr>
          <w:color w:val="009483"/>
          <w:u w:val="none"/>
        </w:rPr>
        <w:t>Glossary and other information</w:t>
      </w:r>
    </w:p>
    <w:p>
      <w:pPr>
        <w:pStyle w:val="BodyText"/>
        <w:spacing w:before="8"/>
        <w:rPr>
          <w:b/>
          <w:sz w:val="25"/>
        </w:rPr>
      </w:pPr>
    </w:p>
    <w:p>
      <w:pPr>
        <w:pStyle w:val="Heading3"/>
      </w:pPr>
      <w:r>
        <w:rPr>
          <w:color w:val="0093C1"/>
        </w:rPr>
        <w:t>Glossary of selected data</w:t>
      </w:r>
    </w:p>
    <w:p>
      <w:pPr>
        <w:spacing w:before="122"/>
        <w:ind w:left="569" w:right="0" w:firstLine="0"/>
        <w:jc w:val="left"/>
        <w:rPr>
          <w:sz w:val="20"/>
        </w:rPr>
      </w:pPr>
      <w:r>
        <w:rPr>
          <w:b/>
          <w:color w:val="231F20"/>
          <w:sz w:val="20"/>
        </w:rPr>
        <w:t>AEI:  </w:t>
      </w:r>
      <w:r>
        <w:rPr>
          <w:color w:val="231F20"/>
          <w:sz w:val="20"/>
        </w:rPr>
        <w:t>Average Earnings</w:t>
      </w:r>
      <w:r>
        <w:rPr>
          <w:color w:val="231F20"/>
          <w:spacing w:val="-1"/>
          <w:sz w:val="20"/>
        </w:rPr>
        <w:t> </w:t>
      </w:r>
      <w:r>
        <w:rPr>
          <w:color w:val="231F20"/>
          <w:sz w:val="20"/>
        </w:rPr>
        <w:t>Index.</w:t>
      </w:r>
    </w:p>
    <w:p>
      <w:pPr>
        <w:pStyle w:val="Heading8"/>
      </w:pPr>
      <w:r>
        <w:rPr>
          <w:b/>
          <w:color w:val="231F20"/>
        </w:rPr>
        <w:t>DGI: </w:t>
      </w:r>
      <w:r>
        <w:rPr>
          <w:color w:val="231F20"/>
        </w:rPr>
        <w:t>domestically generated inflation.</w:t>
      </w:r>
    </w:p>
    <w:p>
      <w:pPr>
        <w:spacing w:line="249" w:lineRule="auto" w:before="10"/>
        <w:ind w:left="789" w:right="261" w:hanging="220"/>
        <w:jc w:val="left"/>
        <w:rPr>
          <w:sz w:val="20"/>
        </w:rPr>
      </w:pPr>
      <w:r>
        <w:rPr>
          <w:b/>
          <w:color w:val="231F20"/>
          <w:sz w:val="20"/>
        </w:rPr>
        <w:t>Divisia money</w:t>
      </w:r>
      <w:r>
        <w:rPr>
          <w:color w:val="231F20"/>
          <w:sz w:val="20"/>
        </w:rPr>
        <w:t>: a measure of the money stock in which each component is weighted according to an estimate of its likely use for transactions.</w:t>
      </w:r>
    </w:p>
    <w:p>
      <w:pPr>
        <w:spacing w:before="1"/>
        <w:ind w:left="569" w:right="0" w:firstLine="0"/>
        <w:jc w:val="left"/>
        <w:rPr>
          <w:sz w:val="20"/>
        </w:rPr>
      </w:pPr>
      <w:r>
        <w:rPr>
          <w:b/>
          <w:color w:val="231F20"/>
          <w:sz w:val="20"/>
        </w:rPr>
        <w:t>ERI: </w:t>
      </w:r>
      <w:r>
        <w:rPr>
          <w:color w:val="231F20"/>
          <w:sz w:val="20"/>
        </w:rPr>
        <w:t>Exchange rate index.</w:t>
      </w:r>
    </w:p>
    <w:p>
      <w:pPr>
        <w:spacing w:before="10"/>
        <w:ind w:left="569" w:right="0" w:firstLine="0"/>
        <w:jc w:val="left"/>
        <w:rPr>
          <w:sz w:val="20"/>
        </w:rPr>
      </w:pPr>
      <w:r>
        <w:rPr>
          <w:b/>
          <w:color w:val="231F20"/>
          <w:sz w:val="20"/>
        </w:rPr>
        <w:t>HICP: </w:t>
      </w:r>
      <w:r>
        <w:rPr>
          <w:color w:val="231F20"/>
          <w:sz w:val="20"/>
        </w:rPr>
        <w:t>Harmonised Index of Consumer Prices.</w:t>
      </w:r>
    </w:p>
    <w:p>
      <w:pPr>
        <w:spacing w:before="10"/>
        <w:ind w:left="569" w:right="0" w:firstLine="0"/>
        <w:jc w:val="left"/>
        <w:rPr>
          <w:sz w:val="20"/>
        </w:rPr>
      </w:pPr>
      <w:r>
        <w:rPr>
          <w:b/>
          <w:color w:val="231F20"/>
          <w:sz w:val="20"/>
        </w:rPr>
        <w:t>M0</w:t>
      </w:r>
      <w:r>
        <w:rPr>
          <w:color w:val="231F20"/>
          <w:sz w:val="20"/>
        </w:rPr>
        <w:t>: notes and coin in circulation outside the Bank of England and bankers’ operational deposits at the Bank.</w:t>
      </w:r>
    </w:p>
    <w:p>
      <w:pPr>
        <w:spacing w:line="249" w:lineRule="auto" w:before="10"/>
        <w:ind w:left="789" w:right="264" w:hanging="220"/>
        <w:jc w:val="left"/>
        <w:rPr>
          <w:sz w:val="20"/>
        </w:rPr>
      </w:pPr>
      <w:r>
        <w:rPr>
          <w:b/>
          <w:color w:val="231F20"/>
          <w:sz w:val="20"/>
        </w:rPr>
        <w:t>M4</w:t>
      </w:r>
      <w:r>
        <w:rPr>
          <w:color w:val="231F20"/>
          <w:sz w:val="20"/>
        </w:rPr>
        <w:t>: UK non-bank, non building society private sector’s holdings of notes and coin, together with all sterling deposits (including certificates of deposit) held at UK banks and building societies by the non-bank, non building society private sector.</w:t>
      </w:r>
    </w:p>
    <w:p>
      <w:pPr>
        <w:spacing w:before="3"/>
        <w:ind w:left="569" w:right="0" w:firstLine="0"/>
        <w:jc w:val="left"/>
        <w:rPr>
          <w:sz w:val="20"/>
        </w:rPr>
      </w:pPr>
      <w:r>
        <w:rPr>
          <w:b/>
          <w:color w:val="231F20"/>
          <w:sz w:val="20"/>
        </w:rPr>
        <w:t>PPI: </w:t>
      </w:r>
      <w:r>
        <w:rPr>
          <w:color w:val="231F20"/>
          <w:sz w:val="20"/>
        </w:rPr>
        <w:t>Producer Prices Index.</w:t>
      </w:r>
    </w:p>
    <w:p>
      <w:pPr>
        <w:spacing w:before="10"/>
        <w:ind w:left="569" w:right="0" w:firstLine="0"/>
        <w:jc w:val="left"/>
        <w:rPr>
          <w:sz w:val="20"/>
        </w:rPr>
      </w:pPr>
      <w:r>
        <w:rPr>
          <w:b/>
          <w:color w:val="231F20"/>
          <w:sz w:val="20"/>
        </w:rPr>
        <w:t>PPIY: </w:t>
      </w:r>
      <w:r>
        <w:rPr>
          <w:color w:val="231F20"/>
          <w:sz w:val="20"/>
        </w:rPr>
        <w:t>Producer Prices Index excluding excise duties.</w:t>
      </w:r>
    </w:p>
    <w:p>
      <w:pPr>
        <w:spacing w:before="10"/>
        <w:ind w:left="569" w:right="0" w:firstLine="0"/>
        <w:jc w:val="left"/>
        <w:rPr>
          <w:sz w:val="20"/>
        </w:rPr>
      </w:pPr>
      <w:r>
        <w:rPr>
          <w:b/>
          <w:color w:val="231F20"/>
          <w:sz w:val="20"/>
        </w:rPr>
        <w:t>RPI inflation</w:t>
      </w:r>
      <w:r>
        <w:rPr>
          <w:color w:val="231F20"/>
          <w:sz w:val="20"/>
        </w:rPr>
        <w:t>: inflation measured by the retail price index.</w:t>
      </w:r>
    </w:p>
    <w:p>
      <w:pPr>
        <w:pStyle w:val="Heading8"/>
      </w:pPr>
      <w:r>
        <w:rPr>
          <w:b/>
          <w:color w:val="231F20"/>
        </w:rPr>
        <w:t>RPIX inflation</w:t>
      </w:r>
      <w:r>
        <w:rPr>
          <w:color w:val="231F20"/>
        </w:rPr>
        <w:t>: inflation measured by the RPI excluding mortgage interest payments.</w:t>
      </w:r>
    </w:p>
    <w:p>
      <w:pPr>
        <w:spacing w:line="249" w:lineRule="auto" w:before="10"/>
        <w:ind w:left="789" w:right="261" w:hanging="220"/>
        <w:jc w:val="left"/>
        <w:rPr>
          <w:sz w:val="20"/>
        </w:rPr>
      </w:pPr>
      <w:r>
        <w:rPr>
          <w:b/>
          <w:color w:val="231F20"/>
          <w:sz w:val="20"/>
        </w:rPr>
        <w:t>RPIY inflation</w:t>
      </w:r>
      <w:r>
        <w:rPr>
          <w:color w:val="231F20"/>
          <w:sz w:val="20"/>
        </w:rPr>
        <w:t>: inflation measured by the RPI excluding mortgage interest payments and the following indirect taxes: council tax, VAT, duties, car purchase tax and vehicle excise duty, insurance tax and airport tax.</w:t>
      </w:r>
    </w:p>
    <w:p>
      <w:pPr>
        <w:spacing w:before="2"/>
        <w:ind w:left="569" w:right="0" w:firstLine="0"/>
        <w:jc w:val="left"/>
        <w:rPr>
          <w:sz w:val="20"/>
        </w:rPr>
      </w:pPr>
      <w:r>
        <w:rPr>
          <w:b/>
          <w:color w:val="231F20"/>
          <w:sz w:val="20"/>
        </w:rPr>
        <w:t>TPI: </w:t>
      </w:r>
      <w:r>
        <w:rPr>
          <w:color w:val="231F20"/>
          <w:sz w:val="20"/>
        </w:rPr>
        <w:t>Tax and Price Index.</w:t>
      </w:r>
    </w:p>
    <w:p>
      <w:pPr>
        <w:spacing w:before="150"/>
        <w:ind w:left="569" w:right="0" w:firstLine="0"/>
        <w:jc w:val="left"/>
        <w:rPr>
          <w:sz w:val="20"/>
        </w:rPr>
      </w:pPr>
      <w:r>
        <w:rPr>
          <w:b/>
          <w:color w:val="231F20"/>
          <w:sz w:val="20"/>
        </w:rPr>
        <w:t>Three-month annualised</w:t>
      </w:r>
      <w:r>
        <w:rPr>
          <w:color w:val="231F20"/>
          <w:sz w:val="20"/>
        </w:rPr>
        <w:t>: the percentage change in a series over three months, expressed as an annual rate.</w:t>
      </w:r>
    </w:p>
    <w:p>
      <w:pPr>
        <w:pStyle w:val="BodyText"/>
        <w:spacing w:before="5"/>
      </w:pPr>
    </w:p>
    <w:p>
      <w:pPr>
        <w:pStyle w:val="Heading3"/>
      </w:pPr>
      <w:r>
        <w:rPr>
          <w:color w:val="0093C1"/>
        </w:rPr>
        <w:t>Abbreviations</w:t>
      </w:r>
    </w:p>
    <w:p>
      <w:pPr>
        <w:pStyle w:val="Heading8"/>
        <w:spacing w:before="142"/>
      </w:pPr>
      <w:r>
        <w:rPr>
          <w:b/>
          <w:color w:val="231F20"/>
        </w:rPr>
        <w:t>BCC: </w:t>
      </w:r>
      <w:r>
        <w:rPr>
          <w:color w:val="231F20"/>
        </w:rPr>
        <w:t>British Chambers of Commerce.</w:t>
      </w:r>
    </w:p>
    <w:p>
      <w:pPr>
        <w:spacing w:before="10"/>
        <w:ind w:left="569" w:right="0" w:firstLine="0"/>
        <w:jc w:val="left"/>
        <w:rPr>
          <w:sz w:val="20"/>
        </w:rPr>
      </w:pPr>
      <w:r>
        <w:rPr>
          <w:b/>
          <w:color w:val="231F20"/>
          <w:sz w:val="20"/>
        </w:rPr>
        <w:t>BRC: </w:t>
      </w:r>
      <w:r>
        <w:rPr>
          <w:color w:val="231F20"/>
          <w:sz w:val="20"/>
        </w:rPr>
        <w:t>British Retail Consortium.</w:t>
      </w:r>
    </w:p>
    <w:p>
      <w:pPr>
        <w:spacing w:before="10"/>
        <w:ind w:left="569" w:right="0" w:firstLine="0"/>
        <w:jc w:val="left"/>
        <w:rPr>
          <w:sz w:val="20"/>
        </w:rPr>
      </w:pPr>
      <w:r>
        <w:rPr>
          <w:b/>
          <w:color w:val="231F20"/>
          <w:sz w:val="20"/>
        </w:rPr>
        <w:t>CBI: </w:t>
      </w:r>
      <w:r>
        <w:rPr>
          <w:color w:val="231F20"/>
          <w:sz w:val="20"/>
        </w:rPr>
        <w:t>Confederation of British Industry.</w:t>
      </w:r>
    </w:p>
    <w:p>
      <w:pPr>
        <w:spacing w:before="10"/>
        <w:ind w:left="569" w:right="0" w:firstLine="0"/>
        <w:jc w:val="left"/>
        <w:rPr>
          <w:sz w:val="20"/>
        </w:rPr>
      </w:pPr>
      <w:r>
        <w:rPr>
          <w:b/>
          <w:color w:val="231F20"/>
          <w:sz w:val="20"/>
        </w:rPr>
        <w:t>C</w:t>
      </w:r>
      <w:r>
        <w:rPr>
          <w:b/>
          <w:color w:val="231F20"/>
          <w:sz w:val="16"/>
        </w:rPr>
        <w:t>IPS</w:t>
      </w:r>
      <w:r>
        <w:rPr>
          <w:b/>
          <w:color w:val="231F20"/>
          <w:sz w:val="20"/>
        </w:rPr>
        <w:t>: </w:t>
      </w:r>
      <w:r>
        <w:rPr>
          <w:color w:val="231F20"/>
          <w:sz w:val="20"/>
        </w:rPr>
        <w:t>Chartered Institute of Purchasing and Supply.</w:t>
      </w:r>
    </w:p>
    <w:p>
      <w:pPr>
        <w:spacing w:before="10"/>
        <w:ind w:left="569" w:right="0" w:firstLine="0"/>
        <w:jc w:val="left"/>
        <w:rPr>
          <w:sz w:val="20"/>
        </w:rPr>
      </w:pPr>
      <w:r>
        <w:rPr>
          <w:b/>
          <w:color w:val="231F20"/>
          <w:sz w:val="20"/>
        </w:rPr>
        <w:t>E</w:t>
      </w:r>
      <w:r>
        <w:rPr>
          <w:b/>
          <w:color w:val="231F20"/>
          <w:sz w:val="16"/>
        </w:rPr>
        <w:t>FSR</w:t>
      </w:r>
      <w:r>
        <w:rPr>
          <w:b/>
          <w:color w:val="231F20"/>
          <w:sz w:val="20"/>
        </w:rPr>
        <w:t>: </w:t>
      </w:r>
      <w:r>
        <w:rPr>
          <w:color w:val="231F20"/>
          <w:sz w:val="20"/>
        </w:rPr>
        <w:t>Economic and Fiscal Strategy Report.</w:t>
      </w:r>
    </w:p>
    <w:p>
      <w:pPr>
        <w:spacing w:before="10"/>
        <w:ind w:left="569" w:right="0" w:firstLine="0"/>
        <w:jc w:val="left"/>
        <w:rPr>
          <w:sz w:val="20"/>
        </w:rPr>
      </w:pPr>
      <w:r>
        <w:rPr>
          <w:b/>
          <w:color w:val="231F20"/>
          <w:sz w:val="20"/>
        </w:rPr>
        <w:t>EMU: </w:t>
      </w:r>
      <w:r>
        <w:rPr>
          <w:color w:val="231F20"/>
          <w:sz w:val="20"/>
        </w:rPr>
        <w:t>Economic and Monetary Union.</w:t>
      </w:r>
    </w:p>
    <w:p>
      <w:pPr>
        <w:spacing w:before="10"/>
        <w:ind w:left="569" w:right="0" w:firstLine="0"/>
        <w:jc w:val="left"/>
        <w:rPr>
          <w:sz w:val="20"/>
        </w:rPr>
      </w:pPr>
      <w:r>
        <w:rPr>
          <w:b/>
          <w:color w:val="231F20"/>
          <w:sz w:val="20"/>
        </w:rPr>
        <w:t>ERM: </w:t>
      </w:r>
      <w:r>
        <w:rPr>
          <w:color w:val="231F20"/>
          <w:sz w:val="20"/>
        </w:rPr>
        <w:t>Exchange rate mechanism.</w:t>
      </w:r>
    </w:p>
    <w:p>
      <w:pPr>
        <w:spacing w:before="10"/>
        <w:ind w:left="569" w:right="0" w:firstLine="0"/>
        <w:jc w:val="left"/>
        <w:rPr>
          <w:sz w:val="20"/>
        </w:rPr>
      </w:pPr>
      <w:r>
        <w:rPr>
          <w:b/>
          <w:color w:val="231F20"/>
          <w:sz w:val="20"/>
        </w:rPr>
        <w:t>ESA: </w:t>
      </w:r>
      <w:r>
        <w:rPr>
          <w:color w:val="231F20"/>
          <w:sz w:val="20"/>
        </w:rPr>
        <w:t>European System of Accounts.</w:t>
      </w:r>
    </w:p>
    <w:p>
      <w:pPr>
        <w:spacing w:before="10"/>
        <w:ind w:left="569" w:right="0" w:firstLine="0"/>
        <w:jc w:val="left"/>
        <w:rPr>
          <w:sz w:val="20"/>
        </w:rPr>
      </w:pPr>
      <w:r>
        <w:rPr>
          <w:b/>
          <w:color w:val="231F20"/>
          <w:sz w:val="20"/>
        </w:rPr>
        <w:t>F</w:t>
      </w:r>
      <w:r>
        <w:rPr>
          <w:b/>
          <w:color w:val="231F20"/>
          <w:sz w:val="16"/>
        </w:rPr>
        <w:t>T-SE: </w:t>
      </w:r>
      <w:r>
        <w:rPr>
          <w:color w:val="231F20"/>
          <w:sz w:val="20"/>
        </w:rPr>
        <w:t>Financial Times Stock Exchange.</w:t>
      </w:r>
    </w:p>
    <w:p>
      <w:pPr>
        <w:spacing w:line="249" w:lineRule="auto" w:before="10"/>
        <w:ind w:left="569" w:right="6017" w:firstLine="0"/>
        <w:jc w:val="both"/>
        <w:rPr>
          <w:sz w:val="20"/>
        </w:rPr>
      </w:pPr>
      <w:r>
        <w:rPr>
          <w:b/>
          <w:color w:val="231F20"/>
          <w:sz w:val="20"/>
        </w:rPr>
        <w:t>GfK: </w:t>
      </w:r>
      <w:r>
        <w:rPr>
          <w:color w:val="231F20"/>
          <w:sz w:val="20"/>
        </w:rPr>
        <w:t>Gesellschaft für Konsum, Great Britain Ltd. </w:t>
      </w:r>
      <w:r>
        <w:rPr>
          <w:b/>
          <w:color w:val="231F20"/>
          <w:sz w:val="20"/>
        </w:rPr>
        <w:t>I</w:t>
      </w:r>
      <w:r>
        <w:rPr>
          <w:b/>
          <w:color w:val="231F20"/>
          <w:sz w:val="16"/>
        </w:rPr>
        <w:t>CPF</w:t>
      </w:r>
      <w:r>
        <w:rPr>
          <w:b/>
          <w:color w:val="231F20"/>
          <w:sz w:val="20"/>
        </w:rPr>
        <w:t>s: </w:t>
      </w:r>
      <w:r>
        <w:rPr>
          <w:color w:val="231F20"/>
          <w:sz w:val="20"/>
        </w:rPr>
        <w:t>Insurance corporations and pension funds. </w:t>
      </w:r>
      <w:r>
        <w:rPr>
          <w:b/>
          <w:color w:val="231F20"/>
          <w:sz w:val="20"/>
        </w:rPr>
        <w:t>I</w:t>
      </w:r>
      <w:r>
        <w:rPr>
          <w:b/>
          <w:color w:val="231F20"/>
          <w:sz w:val="16"/>
        </w:rPr>
        <w:t>DBR</w:t>
      </w:r>
      <w:r>
        <w:rPr>
          <w:b/>
          <w:color w:val="231F20"/>
          <w:sz w:val="20"/>
        </w:rPr>
        <w:t>: </w:t>
      </w:r>
      <w:r>
        <w:rPr>
          <w:color w:val="231F20"/>
          <w:sz w:val="20"/>
        </w:rPr>
        <w:t>Inter-Departmental Business Register.</w:t>
      </w:r>
    </w:p>
    <w:p>
      <w:pPr>
        <w:spacing w:before="2"/>
        <w:ind w:left="569" w:right="0" w:firstLine="0"/>
        <w:jc w:val="left"/>
        <w:rPr>
          <w:sz w:val="20"/>
        </w:rPr>
      </w:pPr>
      <w:r>
        <w:rPr>
          <w:b/>
          <w:color w:val="231F20"/>
          <w:sz w:val="20"/>
        </w:rPr>
        <w:t>IMF: </w:t>
      </w:r>
      <w:r>
        <w:rPr>
          <w:color w:val="231F20"/>
          <w:sz w:val="20"/>
        </w:rPr>
        <w:t>International Monetary Fund.</w:t>
      </w:r>
    </w:p>
    <w:p>
      <w:pPr>
        <w:spacing w:before="10"/>
        <w:ind w:left="569" w:right="0" w:firstLine="0"/>
        <w:jc w:val="left"/>
        <w:rPr>
          <w:sz w:val="20"/>
        </w:rPr>
      </w:pPr>
      <w:r>
        <w:rPr>
          <w:b/>
          <w:color w:val="231F20"/>
          <w:sz w:val="20"/>
        </w:rPr>
        <w:t>LFS: </w:t>
      </w:r>
      <w:r>
        <w:rPr>
          <w:color w:val="231F20"/>
          <w:sz w:val="20"/>
        </w:rPr>
        <w:t>Labour Force Survey.</w:t>
      </w:r>
    </w:p>
    <w:p>
      <w:pPr>
        <w:spacing w:before="10"/>
        <w:ind w:left="569" w:right="0" w:firstLine="0"/>
        <w:jc w:val="left"/>
        <w:rPr>
          <w:sz w:val="20"/>
        </w:rPr>
      </w:pPr>
      <w:r>
        <w:rPr>
          <w:b/>
          <w:color w:val="231F20"/>
          <w:sz w:val="20"/>
        </w:rPr>
        <w:t>M</w:t>
      </w:r>
      <w:r>
        <w:rPr>
          <w:b/>
          <w:color w:val="231F20"/>
          <w:sz w:val="16"/>
        </w:rPr>
        <w:t>ORI</w:t>
      </w:r>
      <w:r>
        <w:rPr>
          <w:b/>
          <w:color w:val="231F20"/>
          <w:sz w:val="20"/>
        </w:rPr>
        <w:t>: </w:t>
      </w:r>
      <w:r>
        <w:rPr>
          <w:color w:val="231F20"/>
          <w:sz w:val="20"/>
        </w:rPr>
        <w:t>Market Opinion Research International.</w:t>
      </w:r>
    </w:p>
    <w:p>
      <w:pPr>
        <w:spacing w:before="10"/>
        <w:ind w:left="569" w:right="0" w:firstLine="0"/>
        <w:jc w:val="left"/>
        <w:rPr>
          <w:sz w:val="20"/>
        </w:rPr>
      </w:pPr>
      <w:r>
        <w:rPr>
          <w:b/>
          <w:color w:val="231F20"/>
          <w:sz w:val="20"/>
        </w:rPr>
        <w:t>MPC: </w:t>
      </w:r>
      <w:r>
        <w:rPr>
          <w:color w:val="231F20"/>
          <w:sz w:val="20"/>
        </w:rPr>
        <w:t>Monetary Policy Committee.</w:t>
      </w:r>
    </w:p>
    <w:p>
      <w:pPr>
        <w:spacing w:before="10"/>
        <w:ind w:left="569" w:right="0" w:firstLine="0"/>
        <w:jc w:val="left"/>
        <w:rPr>
          <w:sz w:val="20"/>
        </w:rPr>
      </w:pPr>
      <w:r>
        <w:rPr>
          <w:b/>
          <w:color w:val="231F20"/>
          <w:sz w:val="20"/>
        </w:rPr>
        <w:t>NES: </w:t>
      </w:r>
      <w:r>
        <w:rPr>
          <w:color w:val="231F20"/>
          <w:sz w:val="20"/>
        </w:rPr>
        <w:t>New Earnings Survey.</w:t>
      </w:r>
    </w:p>
    <w:p>
      <w:pPr>
        <w:spacing w:before="10"/>
        <w:ind w:left="569" w:right="0" w:firstLine="0"/>
        <w:jc w:val="left"/>
        <w:rPr>
          <w:sz w:val="20"/>
        </w:rPr>
      </w:pPr>
      <w:r>
        <w:rPr>
          <w:b/>
          <w:color w:val="231F20"/>
          <w:sz w:val="20"/>
        </w:rPr>
        <w:t>O</w:t>
      </w:r>
      <w:r>
        <w:rPr>
          <w:b/>
          <w:color w:val="231F20"/>
          <w:sz w:val="16"/>
        </w:rPr>
        <w:t>ECD</w:t>
      </w:r>
      <w:r>
        <w:rPr>
          <w:b/>
          <w:color w:val="231F20"/>
          <w:sz w:val="20"/>
        </w:rPr>
        <w:t>: </w:t>
      </w:r>
      <w:r>
        <w:rPr>
          <w:color w:val="231F20"/>
          <w:sz w:val="20"/>
        </w:rPr>
        <w:t>Organisation for Economic Co-operation and Development.</w:t>
      </w:r>
    </w:p>
    <w:p>
      <w:pPr>
        <w:spacing w:before="11"/>
        <w:ind w:left="569" w:right="0" w:firstLine="0"/>
        <w:jc w:val="left"/>
        <w:rPr>
          <w:sz w:val="20"/>
        </w:rPr>
      </w:pPr>
      <w:r>
        <w:rPr>
          <w:b/>
          <w:color w:val="231F20"/>
          <w:sz w:val="20"/>
        </w:rPr>
        <w:t>OFCs: </w:t>
      </w:r>
      <w:r>
        <w:rPr>
          <w:color w:val="231F20"/>
          <w:sz w:val="20"/>
        </w:rPr>
        <w:t>Other financial corporations.</w:t>
      </w:r>
    </w:p>
    <w:p>
      <w:pPr>
        <w:spacing w:before="10"/>
        <w:ind w:left="569" w:right="0" w:firstLine="0"/>
        <w:jc w:val="left"/>
        <w:rPr>
          <w:sz w:val="20"/>
        </w:rPr>
      </w:pPr>
      <w:r>
        <w:rPr>
          <w:b/>
          <w:color w:val="231F20"/>
          <w:sz w:val="20"/>
        </w:rPr>
        <w:t>O</w:t>
      </w:r>
      <w:r>
        <w:rPr>
          <w:b/>
          <w:color w:val="231F20"/>
          <w:sz w:val="16"/>
        </w:rPr>
        <w:t>FIFA</w:t>
      </w:r>
      <w:r>
        <w:rPr>
          <w:b/>
          <w:color w:val="231F20"/>
          <w:sz w:val="20"/>
        </w:rPr>
        <w:t>s: </w:t>
      </w:r>
      <w:r>
        <w:rPr>
          <w:color w:val="231F20"/>
          <w:sz w:val="20"/>
        </w:rPr>
        <w:t>Other financial intermediaries and financial auxiliaries.</w:t>
      </w:r>
    </w:p>
    <w:p>
      <w:pPr>
        <w:spacing w:before="10"/>
        <w:ind w:left="569" w:right="0" w:firstLine="0"/>
        <w:jc w:val="left"/>
        <w:rPr>
          <w:sz w:val="20"/>
        </w:rPr>
      </w:pPr>
      <w:r>
        <w:rPr>
          <w:b/>
          <w:color w:val="231F20"/>
          <w:sz w:val="20"/>
        </w:rPr>
        <w:t>ONS: </w:t>
      </w:r>
      <w:r>
        <w:rPr>
          <w:color w:val="231F20"/>
          <w:sz w:val="20"/>
        </w:rPr>
        <w:t>Office for National Statistics.</w:t>
      </w:r>
    </w:p>
    <w:p>
      <w:pPr>
        <w:spacing w:line="249" w:lineRule="auto" w:before="10"/>
        <w:ind w:left="569" w:right="6205" w:firstLine="0"/>
        <w:jc w:val="left"/>
        <w:rPr>
          <w:sz w:val="20"/>
        </w:rPr>
      </w:pPr>
      <w:r>
        <w:rPr>
          <w:b/>
          <w:color w:val="231F20"/>
          <w:sz w:val="20"/>
        </w:rPr>
        <w:t>P</w:t>
      </w:r>
      <w:r>
        <w:rPr>
          <w:b/>
          <w:color w:val="231F20"/>
          <w:sz w:val="16"/>
        </w:rPr>
        <w:t>NFC</w:t>
      </w:r>
      <w:r>
        <w:rPr>
          <w:b/>
          <w:color w:val="231F20"/>
          <w:sz w:val="20"/>
        </w:rPr>
        <w:t>s: </w:t>
      </w:r>
      <w:r>
        <w:rPr>
          <w:color w:val="231F20"/>
          <w:sz w:val="20"/>
        </w:rPr>
        <w:t>Private non-financial corporations. </w:t>
      </w:r>
      <w:r>
        <w:rPr>
          <w:b/>
          <w:color w:val="231F20"/>
          <w:sz w:val="20"/>
        </w:rPr>
        <w:t>R</w:t>
      </w:r>
      <w:r>
        <w:rPr>
          <w:b/>
          <w:color w:val="231F20"/>
          <w:sz w:val="16"/>
        </w:rPr>
        <w:t>ICS</w:t>
      </w:r>
      <w:r>
        <w:rPr>
          <w:b/>
          <w:color w:val="231F20"/>
          <w:sz w:val="20"/>
        </w:rPr>
        <w:t>: </w:t>
      </w:r>
      <w:r>
        <w:rPr>
          <w:color w:val="231F20"/>
          <w:sz w:val="20"/>
        </w:rPr>
        <w:t>Royal Institute of Chartered Surveyors. </w:t>
      </w:r>
      <w:r>
        <w:rPr>
          <w:b/>
          <w:color w:val="231F20"/>
          <w:sz w:val="20"/>
        </w:rPr>
        <w:t>W</w:t>
      </w:r>
      <w:r>
        <w:rPr>
          <w:b/>
          <w:color w:val="231F20"/>
          <w:sz w:val="16"/>
        </w:rPr>
        <w:t>FTC</w:t>
      </w:r>
      <w:r>
        <w:rPr>
          <w:b/>
          <w:color w:val="231F20"/>
          <w:sz w:val="20"/>
        </w:rPr>
        <w:t>: </w:t>
      </w:r>
      <w:r>
        <w:rPr>
          <w:color w:val="231F20"/>
          <w:sz w:val="20"/>
        </w:rPr>
        <w:t>Working Families Tax Credit.</w:t>
      </w:r>
    </w:p>
    <w:p>
      <w:pPr>
        <w:spacing w:before="2"/>
        <w:ind w:left="569" w:right="0" w:firstLine="0"/>
        <w:jc w:val="left"/>
        <w:rPr>
          <w:sz w:val="20"/>
        </w:rPr>
      </w:pPr>
      <w:r>
        <w:rPr>
          <w:b/>
          <w:color w:val="231F20"/>
          <w:sz w:val="20"/>
        </w:rPr>
        <w:t>WTD: </w:t>
      </w:r>
      <w:r>
        <w:rPr>
          <w:color w:val="231F20"/>
          <w:sz w:val="20"/>
        </w:rPr>
        <w:t>Working Time Directive.</w:t>
      </w:r>
    </w:p>
    <w:p>
      <w:pPr>
        <w:spacing w:before="153"/>
        <w:ind w:left="569" w:right="0" w:firstLine="0"/>
        <w:jc w:val="left"/>
        <w:rPr>
          <w:b/>
          <w:sz w:val="24"/>
        </w:rPr>
      </w:pPr>
      <w:r>
        <w:rPr>
          <w:b/>
          <w:color w:val="0093C1"/>
          <w:sz w:val="24"/>
        </w:rPr>
        <w:t>Symbols and conventions</w:t>
      </w:r>
    </w:p>
    <w:p>
      <w:pPr>
        <w:spacing w:before="81"/>
        <w:ind w:left="569" w:right="0" w:firstLine="0"/>
        <w:jc w:val="left"/>
        <w:rPr>
          <w:sz w:val="20"/>
        </w:rPr>
      </w:pPr>
      <w:r>
        <w:rPr>
          <w:color w:val="231F20"/>
          <w:sz w:val="20"/>
        </w:rPr>
        <w:t>Except where otherwise stated, the source of the data used in charts and tables is the Office for National Statistics (ONS).</w:t>
      </w:r>
    </w:p>
    <w:p>
      <w:pPr>
        <w:spacing w:before="10"/>
        <w:ind w:left="569" w:right="0" w:firstLine="0"/>
        <w:jc w:val="left"/>
        <w:rPr>
          <w:sz w:val="20"/>
        </w:rPr>
      </w:pPr>
      <w:r>
        <w:rPr>
          <w:color w:val="231F20"/>
          <w:sz w:val="20"/>
        </w:rPr>
        <w:t>n.a. = not available.</w:t>
      </w:r>
    </w:p>
    <w:p>
      <w:pPr>
        <w:spacing w:before="10"/>
        <w:ind w:left="569" w:right="0" w:firstLine="0"/>
        <w:jc w:val="left"/>
        <w:rPr>
          <w:sz w:val="20"/>
        </w:rPr>
      </w:pPr>
      <w:r>
        <w:rPr>
          <w:color w:val="231F20"/>
          <w:sz w:val="20"/>
        </w:rPr>
        <w:t>Because of rounding, the sum of the separate items may sometimes differ from the total shown.</w:t>
      </w:r>
    </w:p>
    <w:p>
      <w:pPr>
        <w:spacing w:line="249" w:lineRule="auto" w:before="10"/>
        <w:ind w:left="569" w:right="2079" w:firstLine="0"/>
        <w:jc w:val="left"/>
        <w:rPr>
          <w:sz w:val="20"/>
        </w:rPr>
      </w:pPr>
      <w:r>
        <w:rPr>
          <w:color w:val="231F20"/>
          <w:sz w:val="20"/>
        </w:rPr>
        <w:t>On the horizontal axes of graphs, larger ticks denote the first observation within the relevant period, eg data for the first quarter of the year.</w:t>
      </w:r>
    </w:p>
    <w:p>
      <w:pPr>
        <w:spacing w:before="64"/>
        <w:ind w:left="569" w:right="0" w:firstLine="0"/>
        <w:jc w:val="left"/>
        <w:rPr>
          <w:b/>
          <w:sz w:val="24"/>
        </w:rPr>
      </w:pPr>
      <w:r>
        <w:rPr>
          <w:b/>
          <w:color w:val="0093C1"/>
          <w:sz w:val="24"/>
        </w:rPr>
        <w:t>Other information</w:t>
      </w:r>
    </w:p>
    <w:p>
      <w:pPr>
        <w:spacing w:before="102"/>
        <w:ind w:left="569" w:right="0" w:firstLine="0"/>
        <w:jc w:val="left"/>
        <w:rPr>
          <w:sz w:val="20"/>
        </w:rPr>
      </w:pPr>
      <w:hyperlink r:id="rId127">
        <w:r>
          <w:rPr>
            <w:color w:val="231F20"/>
            <w:sz w:val="20"/>
          </w:rPr>
          <w:t>email: mapublications@bankofengland.co.uk</w:t>
        </w:r>
      </w:hyperlink>
    </w:p>
    <w:p>
      <w:pPr>
        <w:spacing w:before="10"/>
        <w:ind w:left="569" w:right="0" w:firstLine="0"/>
        <w:jc w:val="left"/>
        <w:rPr>
          <w:sz w:val="20"/>
        </w:rPr>
      </w:pPr>
      <w:r>
        <w:rPr>
          <w:color w:val="231F20"/>
          <w:sz w:val="20"/>
        </w:rPr>
        <w:t>This </w:t>
      </w:r>
      <w:r>
        <w:rPr>
          <w:i/>
          <w:color w:val="231F20"/>
          <w:sz w:val="20"/>
        </w:rPr>
        <w:t>Report </w:t>
      </w:r>
      <w:hyperlink r:id="rId128">
        <w:r>
          <w:rPr>
            <w:color w:val="231F20"/>
            <w:sz w:val="20"/>
          </w:rPr>
          <w:t>is available at: http://www.bankofengland.co.uk/</w:t>
        </w:r>
      </w:hyperlink>
    </w:p>
    <w:sectPr>
      <w:headerReference w:type="even" r:id="rId125"/>
      <w:footerReference w:type="even" r:id="rId126"/>
      <w:pgSz w:w="11900" w:h="16840"/>
      <w:pgMar w:header="0" w:footer="0" w:top="800" w:bottom="280" w:left="64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51.780029pt;margin-top:801.141113pt;width:4.25pt;height:10.9pt;mso-position-horizontal-relative:page;mso-position-vertical-relative:page;z-index:-21289472" type="#_x0000_t202" filled="false" stroked="false">
          <v:textbox inset="0,0,0,0">
            <w:txbxContent>
              <w:p>
                <w:pPr>
                  <w:spacing w:before="13"/>
                  <w:ind w:left="20" w:right="0" w:firstLine="0"/>
                  <w:jc w:val="left"/>
                  <w:rPr>
                    <w:sz w:val="16"/>
                  </w:rPr>
                </w:pPr>
                <w:r>
                  <w:rPr>
                    <w:color w:val="231F20"/>
                    <w:sz w:val="16"/>
                  </w:rPr>
                  <w:t>i</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46.280029pt;margin-top:800.141113pt;width:10pt;height:10.9pt;mso-position-horizontal-relative:page;mso-position-vertical-relative:page;z-index:-21282816" type="#_x0000_t202" filled="false" stroked="false">
          <v:textbox inset="0,0,0,0">
            <w:txbxContent>
              <w:p>
                <w:pPr>
                  <w:spacing w:before="13"/>
                  <w:ind w:left="60" w:right="0" w:firstLine="0"/>
                  <w:jc w:val="left"/>
                  <w:rPr>
                    <w:sz w:val="16"/>
                  </w:rPr>
                </w:pPr>
                <w:r>
                  <w:rPr/>
                  <w:fldChar w:fldCharType="begin"/>
                </w:r>
                <w:r>
                  <w:rPr>
                    <w:sz w:val="16"/>
                  </w:rPr>
                  <w:instrText> PAGE </w:instrText>
                </w:r>
                <w:r>
                  <w:rPr/>
                  <w:fldChar w:fldCharType="separate"/>
                </w:r>
                <w:r>
                  <w:rPr/>
                  <w:t>7</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8pt;margin-top:801.141113pt;width:10pt;height:10.9pt;mso-position-horizontal-relative:page;mso-position-vertical-relative:page;z-index:-21282304" type="#_x0000_t202" filled="false" stroked="false">
          <v:textbox inset="0,0,0,0">
            <w:txbxContent>
              <w:p>
                <w:pPr>
                  <w:spacing w:before="13"/>
                  <w:ind w:left="60" w:right="0" w:firstLine="0"/>
                  <w:jc w:val="left"/>
                  <w:rPr>
                    <w:sz w:val="16"/>
                  </w:rPr>
                </w:pPr>
                <w:r>
                  <w:rPr/>
                  <w:fldChar w:fldCharType="begin"/>
                </w:r>
                <w:r>
                  <w:rPr>
                    <w:sz w:val="16"/>
                  </w:rPr>
                  <w:instrText> PAGE </w:instrText>
                </w:r>
                <w:r>
                  <w:rPr/>
                  <w:fldChar w:fldCharType="separate"/>
                </w:r>
                <w:r>
                  <w:rPr/>
                  <w:t>8</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46.280029pt;margin-top:800.141113pt;width:10pt;height:10.9pt;mso-position-horizontal-relative:page;mso-position-vertical-relative:page;z-index:-21280256" type="#_x0000_t202" filled="false" stroked="false">
          <v:textbox inset="0,0,0,0">
            <w:txbxContent>
              <w:p>
                <w:pPr>
                  <w:spacing w:before="13"/>
                  <w:ind w:left="60" w:right="0" w:firstLine="0"/>
                  <w:jc w:val="left"/>
                  <w:rPr>
                    <w:sz w:val="16"/>
                  </w:rPr>
                </w:pPr>
                <w:r>
                  <w:rPr/>
                  <w:fldChar w:fldCharType="begin"/>
                </w:r>
                <w:r>
                  <w:rPr>
                    <w:sz w:val="16"/>
                  </w:rPr>
                  <w:instrText> PAGE </w:instrText>
                </w:r>
                <w:r>
                  <w:rPr/>
                  <w:fldChar w:fldCharType="separate"/>
                </w:r>
                <w:r>
                  <w:rPr/>
                  <w:t>9</w:t>
                </w:r>
                <w:r>
                  <w:rPr/>
                  <w:fldChar w:fldCharType="end"/>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8pt;margin-top:801.141113pt;width:14pt;height:10.9pt;mso-position-horizontal-relative:page;mso-position-vertical-relative:page;z-index:-21279744" type="#_x0000_t202" filled="false" stroked="false">
          <v:textbox inset="0,0,0,0">
            <w:txbxContent>
              <w:p>
                <w:pPr>
                  <w:spacing w:before="13"/>
                  <w:ind w:left="60" w:right="0" w:firstLine="0"/>
                  <w:jc w:val="left"/>
                  <w:rPr>
                    <w:sz w:val="16"/>
                  </w:rPr>
                </w:pPr>
                <w:r>
                  <w:rPr/>
                  <w:fldChar w:fldCharType="begin"/>
                </w:r>
                <w:r>
                  <w:rPr>
                    <w:sz w:val="16"/>
                  </w:rPr>
                  <w:instrText> PAGE </w:instrText>
                </w:r>
                <w:r>
                  <w:rPr/>
                  <w:fldChar w:fldCharType="separate"/>
                </w:r>
                <w:r>
                  <w:rPr/>
                  <w:t>10</w:t>
                </w:r>
                <w:r>
                  <w:rPr/>
                  <w:fldChar w:fldCharType="end"/>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42.280029pt;margin-top:800.141113pt;width:14pt;height:10.9pt;mso-position-horizontal-relative:page;mso-position-vertical-relative:page;z-index:-21278208" type="#_x0000_t202" filled="false" stroked="false">
          <v:textbox inset="0,0,0,0">
            <w:txbxContent>
              <w:p>
                <w:pPr>
                  <w:spacing w:before="13"/>
                  <w:ind w:left="60" w:right="0" w:firstLine="0"/>
                  <w:jc w:val="left"/>
                  <w:rPr>
                    <w:sz w:val="16"/>
                  </w:rPr>
                </w:pPr>
                <w:r>
                  <w:rPr/>
                  <w:fldChar w:fldCharType="begin"/>
                </w:r>
                <w:r>
                  <w:rPr>
                    <w:sz w:val="16"/>
                  </w:rPr>
                  <w:instrText> PAGE </w:instrText>
                </w:r>
                <w:r>
                  <w:rPr/>
                  <w:fldChar w:fldCharType="separate"/>
                </w:r>
                <w:r>
                  <w:rPr/>
                  <w:t>11</w:t>
                </w:r>
                <w:r>
                  <w:rPr/>
                  <w:fldChar w:fldCharType="end"/>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8pt;margin-top:801.141113pt;width:14pt;height:10.9pt;mso-position-horizontal-relative:page;mso-position-vertical-relative:page;z-index:-21277696" type="#_x0000_t202" filled="false" stroked="false">
          <v:textbox inset="0,0,0,0">
            <w:txbxContent>
              <w:p>
                <w:pPr>
                  <w:spacing w:before="13"/>
                  <w:ind w:left="60" w:right="0" w:firstLine="0"/>
                  <w:jc w:val="left"/>
                  <w:rPr>
                    <w:sz w:val="16"/>
                  </w:rPr>
                </w:pPr>
                <w:r>
                  <w:rPr/>
                  <w:fldChar w:fldCharType="begin"/>
                </w:r>
                <w:r>
                  <w:rPr>
                    <w:sz w:val="16"/>
                  </w:rPr>
                  <w:instrText> PAGE </w:instrText>
                </w:r>
                <w:r>
                  <w:rPr/>
                  <w:fldChar w:fldCharType="separate"/>
                </w:r>
                <w:r>
                  <w:rPr/>
                  <w:t>12</w:t>
                </w:r>
                <w:r>
                  <w:rPr/>
                  <w:fldChar w:fldCharType="end"/>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8pt;margin-top:801.141113pt;width:14pt;height:10.9pt;mso-position-horizontal-relative:page;mso-position-vertical-relative:page;z-index:-21277184" type="#_x0000_t202" filled="false" stroked="false">
          <v:textbox inset="0,0,0,0">
            <w:txbxContent>
              <w:p>
                <w:pPr>
                  <w:spacing w:before="13"/>
                  <w:ind w:left="60" w:right="0" w:firstLine="0"/>
                  <w:jc w:val="left"/>
                  <w:rPr>
                    <w:sz w:val="16"/>
                  </w:rPr>
                </w:pPr>
                <w:r>
                  <w:rPr/>
                  <w:fldChar w:fldCharType="begin"/>
                </w:r>
                <w:r>
                  <w:rPr>
                    <w:color w:val="231F20"/>
                    <w:sz w:val="16"/>
                  </w:rPr>
                  <w:instrText> PAGE </w:instrText>
                </w:r>
                <w:r>
                  <w:rPr/>
                  <w:fldChar w:fldCharType="separate"/>
                </w:r>
                <w:r>
                  <w:rPr/>
                  <w:t>14</w:t>
                </w:r>
                <w:r>
                  <w:rPr/>
                  <w:fldChar w:fldCharType="end"/>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42.280029pt;margin-top:800.141113pt;width:14pt;height:10.9pt;mso-position-horizontal-relative:page;mso-position-vertical-relative:page;z-index:-21276672" type="#_x0000_t202" filled="false" stroked="false">
          <v:textbox inset="0,0,0,0">
            <w:txbxContent>
              <w:p>
                <w:pPr>
                  <w:spacing w:before="13"/>
                  <w:ind w:left="60" w:right="0" w:firstLine="0"/>
                  <w:jc w:val="left"/>
                  <w:rPr>
                    <w:sz w:val="16"/>
                  </w:rPr>
                </w:pPr>
                <w:r>
                  <w:rPr/>
                  <w:fldChar w:fldCharType="begin"/>
                </w:r>
                <w:r>
                  <w:rPr>
                    <w:color w:val="231F20"/>
                    <w:sz w:val="16"/>
                  </w:rPr>
                  <w:instrText> PAGE </w:instrText>
                </w:r>
                <w:r>
                  <w:rPr/>
                  <w:fldChar w:fldCharType="separate"/>
                </w:r>
                <w:r>
                  <w:rPr/>
                  <w:t>15</w:t>
                </w:r>
                <w:r>
                  <w:rPr/>
                  <w:fldChar w:fldCharType="end"/>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8pt;margin-top:801.141113pt;width:14pt;height:10.9pt;mso-position-horizontal-relative:page;mso-position-vertical-relative:page;z-index:-21274624" type="#_x0000_t202" filled="false" stroked="false">
          <v:textbox inset="0,0,0,0">
            <w:txbxContent>
              <w:p>
                <w:pPr>
                  <w:spacing w:before="13"/>
                  <w:ind w:left="60" w:right="0" w:firstLine="0"/>
                  <w:jc w:val="left"/>
                  <w:rPr>
                    <w:sz w:val="16"/>
                  </w:rPr>
                </w:pPr>
                <w:r>
                  <w:rPr/>
                  <w:fldChar w:fldCharType="begin"/>
                </w:r>
                <w:r>
                  <w:rPr>
                    <w:color w:val="231F20"/>
                    <w:sz w:val="16"/>
                  </w:rPr>
                  <w:instrText> PAGE </w:instrText>
                </w:r>
                <w:r>
                  <w:rPr/>
                  <w:fldChar w:fldCharType="separate"/>
                </w:r>
                <w:r>
                  <w:rPr/>
                  <w:t>16</w:t>
                </w:r>
                <w:r>
                  <w:rPr/>
                  <w:fldChar w:fldCharType="end"/>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42.280029pt;margin-top:800.141113pt;width:14pt;height:10.9pt;mso-position-horizontal-relative:page;mso-position-vertical-relative:page;z-index:-21274112" type="#_x0000_t202" filled="false" stroked="false">
          <v:textbox inset="0,0,0,0">
            <w:txbxContent>
              <w:p>
                <w:pPr>
                  <w:spacing w:before="13"/>
                  <w:ind w:left="60" w:right="0" w:firstLine="0"/>
                  <w:jc w:val="left"/>
                  <w:rPr>
                    <w:sz w:val="16"/>
                  </w:rPr>
                </w:pPr>
                <w:r>
                  <w:rPr/>
                  <w:fldChar w:fldCharType="begin"/>
                </w:r>
                <w:r>
                  <w:rPr>
                    <w:color w:val="231F20"/>
                    <w:sz w:val="16"/>
                  </w:rPr>
                  <w:instrText> PAGE </w:instrText>
                </w:r>
                <w:r>
                  <w:rPr/>
                  <w:fldChar w:fldCharType="separate"/>
                </w:r>
                <w:r>
                  <w:rPr/>
                  <w:t>17</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42.280029pt;margin-top:800.141113pt;width:14pt;height:10.9pt;mso-position-horizontal-relative:page;mso-position-vertical-relative:page;z-index:-21269504" type="#_x0000_t202" filled="false" stroked="false">
          <v:textbox inset="0,0,0,0">
            <w:txbxContent>
              <w:p>
                <w:pPr>
                  <w:spacing w:before="13"/>
                  <w:ind w:left="60" w:right="0" w:firstLine="0"/>
                  <w:jc w:val="left"/>
                  <w:rPr>
                    <w:sz w:val="16"/>
                  </w:rPr>
                </w:pPr>
                <w:r>
                  <w:rPr/>
                  <w:fldChar w:fldCharType="begin"/>
                </w:r>
                <w:r>
                  <w:rPr>
                    <w:color w:val="231F20"/>
                    <w:sz w:val="16"/>
                  </w:rPr>
                  <w:instrText> PAGE </w:instrText>
                </w:r>
                <w:r>
                  <w:rPr/>
                  <w:fldChar w:fldCharType="separate"/>
                </w:r>
                <w:r>
                  <w:rPr/>
                  <w:t>19</w:t>
                </w:r>
                <w:r>
                  <w:rPr/>
                  <w:fldChar w:fldCharType="end"/>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8pt;margin-top:801.141113pt;width:14pt;height:10.9pt;mso-position-horizontal-relative:page;mso-position-vertical-relative:page;z-index:-21268992" type="#_x0000_t202" filled="false" stroked="false">
          <v:textbox inset="0,0,0,0">
            <w:txbxContent>
              <w:p>
                <w:pPr>
                  <w:spacing w:before="13"/>
                  <w:ind w:left="60" w:right="0" w:firstLine="0"/>
                  <w:jc w:val="left"/>
                  <w:rPr>
                    <w:sz w:val="16"/>
                  </w:rPr>
                </w:pPr>
                <w:r>
                  <w:rPr/>
                  <w:fldChar w:fldCharType="begin"/>
                </w:r>
                <w:r>
                  <w:rPr>
                    <w:color w:val="231F20"/>
                    <w:sz w:val="16"/>
                  </w:rPr>
                  <w:instrText> PAGE </w:instrText>
                </w:r>
                <w:r>
                  <w:rPr/>
                  <w:fldChar w:fldCharType="separate"/>
                </w:r>
                <w:r>
                  <w:rPr/>
                  <w:t>20</w:t>
                </w:r>
                <w:r>
                  <w:rPr/>
                  <w:fldChar w:fldCharType="end"/>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8pt;margin-top:801.141113pt;width:14pt;height:10.9pt;mso-position-horizontal-relative:page;mso-position-vertical-relative:page;z-index:-21268480" type="#_x0000_t202" filled="false" stroked="false">
          <v:textbox inset="0,0,0,0">
            <w:txbxContent>
              <w:p>
                <w:pPr>
                  <w:spacing w:before="13"/>
                  <w:ind w:left="60" w:right="0" w:firstLine="0"/>
                  <w:jc w:val="left"/>
                  <w:rPr>
                    <w:sz w:val="16"/>
                  </w:rPr>
                </w:pPr>
                <w:r>
                  <w:rPr/>
                  <w:fldChar w:fldCharType="begin"/>
                </w:r>
                <w:r>
                  <w:rPr>
                    <w:color w:val="231F20"/>
                    <w:sz w:val="16"/>
                  </w:rPr>
                  <w:instrText> PAGE </w:instrText>
                </w:r>
                <w:r>
                  <w:rPr/>
                  <w:fldChar w:fldCharType="separate"/>
                </w:r>
                <w:r>
                  <w:rPr/>
                  <w:t>24</w:t>
                </w:r>
                <w:r>
                  <w:rPr/>
                  <w:fldChar w:fldCharType="end"/>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43pt;margin-top:800.141113pt;width:14pt;height:10.9pt;mso-position-horizontal-relative:page;mso-position-vertical-relative:page;z-index:-21267968" type="#_x0000_t202" filled="false" stroked="false">
          <v:textbox inset="0,0,0,0">
            <w:txbxContent>
              <w:p>
                <w:pPr>
                  <w:spacing w:before="13"/>
                  <w:ind w:left="60" w:right="0" w:firstLine="0"/>
                  <w:jc w:val="left"/>
                  <w:rPr>
                    <w:sz w:val="16"/>
                  </w:rPr>
                </w:pPr>
                <w:r>
                  <w:rPr/>
                  <w:fldChar w:fldCharType="begin"/>
                </w:r>
                <w:r>
                  <w:rPr>
                    <w:sz w:val="16"/>
                  </w:rPr>
                  <w:instrText> PAGE </w:instrText>
                </w:r>
                <w:r>
                  <w:rPr/>
                  <w:fldChar w:fldCharType="separate"/>
                </w:r>
                <w:r>
                  <w:rPr/>
                  <w:t>25</w:t>
                </w:r>
                <w:r>
                  <w:rPr/>
                  <w:fldChar w:fldCharType="end"/>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7.279999pt;margin-top:801.141113pt;width:14.75pt;height:10.9pt;mso-position-horizontal-relative:page;mso-position-vertical-relative:page;z-index:-21265920" type="#_x0000_t202" filled="false" stroked="false">
          <v:textbox inset="0,0,0,0">
            <w:txbxContent>
              <w:p>
                <w:pPr>
                  <w:spacing w:before="13"/>
                  <w:ind w:left="60" w:right="0" w:firstLine="0"/>
                  <w:jc w:val="left"/>
                  <w:rPr>
                    <w:sz w:val="16"/>
                  </w:rPr>
                </w:pPr>
                <w:r>
                  <w:rPr/>
                  <w:fldChar w:fldCharType="begin"/>
                </w:r>
                <w:r>
                  <w:rPr>
                    <w:sz w:val="16"/>
                  </w:rPr>
                  <w:instrText> PAGE </w:instrText>
                </w:r>
                <w:r>
                  <w:rPr/>
                  <w:fldChar w:fldCharType="separate"/>
                </w:r>
                <w:r>
                  <w:rPr/>
                  <w:t>26</w:t>
                </w:r>
                <w:r>
                  <w:rPr/>
                  <w:fldChar w:fldCharType="end"/>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43pt;margin-top:800.141113pt;width:14pt;height:10.9pt;mso-position-horizontal-relative:page;mso-position-vertical-relative:page;z-index:-21265408" type="#_x0000_t202" filled="false" stroked="false">
          <v:textbox inset="0,0,0,0">
            <w:txbxContent>
              <w:p>
                <w:pPr>
                  <w:spacing w:before="13"/>
                  <w:ind w:left="60" w:right="0" w:firstLine="0"/>
                  <w:jc w:val="left"/>
                  <w:rPr>
                    <w:sz w:val="16"/>
                  </w:rPr>
                </w:pPr>
                <w:r>
                  <w:rPr/>
                  <w:fldChar w:fldCharType="begin"/>
                </w:r>
                <w:r>
                  <w:rPr>
                    <w:sz w:val="16"/>
                  </w:rPr>
                  <w:instrText> PAGE </w:instrText>
                </w:r>
                <w:r>
                  <w:rPr/>
                  <w:fldChar w:fldCharType="separate"/>
                </w:r>
                <w:r>
                  <w:rPr/>
                  <w:t>27</w:t>
                </w:r>
                <w:r>
                  <w:rPr/>
                  <w:fldChar w:fldCharType="end"/>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263360" from="57.833pt,751.382996pt" to="52.833pt,751.382996pt" stroked="true" strokeweight=".5pt" strokecolor="#000000">
          <v:stroke dashstyle="solid"/>
          <w10:wrap type="none"/>
        </v:line>
      </w:pict>
    </w:r>
    <w:r>
      <w:rPr/>
      <w:pict>
        <v:shape style="position:absolute;margin-left:59.833pt;margin-top:746.382996pt;width:151pt;height:5pt;mso-position-horizontal-relative:page;mso-position-vertical-relative:page;z-index:-21262848" coordorigin="1197,14928" coordsize="3020,100" path="m1197,15028l4217,15028m1197,15028l1197,14988m1337,15028l1337,14988m1457,15028l1457,14988m1597,15028l1597,14988m1717,15028l1717,14988m1857,15028l1857,14988m1977,15028l1977,14988m2117,15028l2117,14988m2237,15028l2237,14988m2377,15028l2377,14988m2517,15028l2517,14988m2637,15028l2637,14988m2777,15028l2777,14988m2897,15028l2897,14988m3037,15028l3037,14988m3157,15028l3157,14988m3297,15028l3297,14988m3417,15028l3417,14988m3557,15028l3557,14988m3677,15028l3677,14988m3817,15028l3817,14988m3957,15028l3957,14988m4077,15028l4077,14988m4217,15028l4217,14988m1197,15028l1197,14928m2777,15028l2777,14928m1197,15028l4217,15028m1197,15028l1197,14988m1337,15028l1337,14988m1457,15028l1457,14988m1597,15028l1597,14988m1717,15028l1717,14988m1857,15028l1857,14988m1977,15028l1977,14988m2117,15028l2117,14988m2237,15028l2237,14988m2377,15028l2377,14988m2517,15028l2517,14988m2637,15028l2637,14988m2777,15028l2777,14988m2897,15028l2897,14988m3037,15028l3037,14988m3157,15028l3157,14988m3297,15028l3297,14988m3417,15028l3417,14988m3557,15028l3557,14988m3677,15028l3677,14988m3817,15028l3817,14988m3957,15028l3957,14988m4077,15028l4077,14988m4217,15028l4217,14988m1197,15028l1197,14928m2777,15028l2777,14928e" filled="false" stroked="true" strokeweight=".5pt" strokecolor="#000000">
          <v:path arrowok="t"/>
          <v:stroke dashstyle="solid"/>
          <w10:wrap type="none"/>
        </v:shape>
      </w:pict>
    </w:r>
    <w:r>
      <w:rPr/>
      <w:pict>
        <v:line style="position:absolute;mso-position-horizontal-relative:page;mso-position-vertical-relative:page;z-index:-21262336" from="212.832993pt,751.382996pt" to="217.832993pt,751.382996pt" stroked="true" strokeweight=".5pt" strokecolor="#000000">
          <v:stroke dashstyle="solid"/>
          <w10:wrap type="none"/>
        </v:line>
      </w:pict>
    </w:r>
    <w:r>
      <w:rPr/>
      <w:pict>
        <v:line style="position:absolute;mso-position-horizontal-relative:page;mso-position-vertical-relative:page;z-index:-21261824" from="212.832993pt,732.382996pt" to="217.832993pt,732.382996pt" stroked="true" strokeweight=".5pt" strokecolor="#000000">
          <v:stroke dashstyle="solid"/>
          <w10:wrap type="none"/>
        </v:line>
      </w:pict>
    </w:r>
    <w:r>
      <w:rPr/>
      <w:pict>
        <v:line style="position:absolute;mso-position-horizontal-relative:page;mso-position-vertical-relative:page;z-index:-21261312" from="57.833pt,726.382996pt" to="52.833pt,726.382996pt" stroked="true" strokeweight=".5pt" strokecolor="#000000">
          <v:stroke dashstyle="solid"/>
          <w10:wrap type="none"/>
        </v:line>
      </w:pict>
    </w:r>
    <w:r>
      <w:rPr/>
      <w:pict>
        <v:shape style="position:absolute;margin-left:545pt;margin-top:800.141113pt;width:10pt;height:10.9pt;mso-position-horizontal-relative:page;mso-position-vertical-relative:page;z-index:-21260800" type="#_x0000_t202" filled="false" stroked="false">
          <v:textbox inset="0,0,0,0">
            <w:txbxContent>
              <w:p>
                <w:pPr>
                  <w:spacing w:before="13"/>
                  <w:ind w:left="20" w:right="0" w:firstLine="0"/>
                  <w:jc w:val="left"/>
                  <w:rPr>
                    <w:sz w:val="16"/>
                  </w:rPr>
                </w:pPr>
                <w:r>
                  <w:rPr>
                    <w:sz w:val="16"/>
                  </w:rPr>
                  <w:t>29</w:t>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7.279999pt;margin-top:801.141113pt;width:14pt;height:10.9pt;mso-position-horizontal-relative:page;mso-position-vertical-relative:page;z-index:-21260288" type="#_x0000_t202" filled="false" stroked="false">
          <v:textbox inset="0,0,0,0">
            <w:txbxContent>
              <w:p>
                <w:pPr>
                  <w:spacing w:before="13"/>
                  <w:ind w:left="60" w:right="0" w:firstLine="0"/>
                  <w:jc w:val="left"/>
                  <w:rPr>
                    <w:sz w:val="16"/>
                  </w:rPr>
                </w:pPr>
                <w:r>
                  <w:rPr>
                    <w:sz w:val="16"/>
                  </w:rPr>
                  <w:t>30</w:t>
                </w:r>
              </w:p>
            </w:txbxContent>
          </v:textbox>
          <w10:wrap type="none"/>
        </v:shape>
      </w:pic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43pt;margin-top:800.141113pt;width:14pt;height:10.9pt;mso-position-horizontal-relative:page;mso-position-vertical-relative:page;z-index:-21258752" type="#_x0000_t202" filled="false" stroked="false">
          <v:textbox inset="0,0,0,0">
            <w:txbxContent>
              <w:p>
                <w:pPr>
                  <w:spacing w:before="13"/>
                  <w:ind w:left="60" w:right="0" w:firstLine="0"/>
                  <w:jc w:val="left"/>
                  <w:rPr>
                    <w:sz w:val="16"/>
                  </w:rPr>
                </w:pPr>
                <w:r>
                  <w:rPr/>
                  <w:fldChar w:fldCharType="begin"/>
                </w:r>
                <w:r>
                  <w:rPr>
                    <w:sz w:val="16"/>
                  </w:rPr>
                  <w:instrText> PAGE </w:instrText>
                </w:r>
                <w:r>
                  <w:rPr/>
                  <w:fldChar w:fldCharType="separate"/>
                </w:r>
                <w:r>
                  <w:rPr/>
                  <w:t>31</w:t>
                </w:r>
                <w:r>
                  <w:rPr/>
                  <w:fldChar w:fldCharType="end"/>
                </w:r>
              </w:p>
            </w:txbxContent>
          </v:textbox>
          <w10:wrap type="none"/>
        </v:shape>
      </w:pict>
    </w: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7.279999pt;margin-top:801.141113pt;width:14pt;height:10.9pt;mso-position-horizontal-relative:page;mso-position-vertical-relative:page;z-index:-21258240" type="#_x0000_t202" filled="false" stroked="false">
          <v:textbox inset="0,0,0,0">
            <w:txbxContent>
              <w:p>
                <w:pPr>
                  <w:spacing w:before="13"/>
                  <w:ind w:left="60" w:right="0" w:firstLine="0"/>
                  <w:jc w:val="left"/>
                  <w:rPr>
                    <w:sz w:val="16"/>
                  </w:rPr>
                </w:pPr>
                <w:r>
                  <w:rPr/>
                  <w:fldChar w:fldCharType="begin"/>
                </w:r>
                <w:r>
                  <w:rPr>
                    <w:sz w:val="16"/>
                  </w:rPr>
                  <w:instrText> PAGE </w:instrText>
                </w:r>
                <w:r>
                  <w:rPr/>
                  <w:fldChar w:fldCharType="separate"/>
                </w:r>
                <w:r>
                  <w:rPr/>
                  <w:t>32</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47.330017pt;margin-top:801.141113pt;width:8.7pt;height:10.9pt;mso-position-horizontal-relative:page;mso-position-vertical-relative:page;z-index:-21288960" type="#_x0000_t202" filled="false" stroked="false">
          <v:textbox inset="0,0,0,0">
            <w:txbxContent>
              <w:p>
                <w:pPr>
                  <w:spacing w:before="13"/>
                  <w:ind w:left="20" w:right="0" w:firstLine="0"/>
                  <w:jc w:val="left"/>
                  <w:rPr>
                    <w:sz w:val="16"/>
                  </w:rPr>
                </w:pPr>
                <w:r>
                  <w:rPr>
                    <w:color w:val="231F20"/>
                    <w:sz w:val="16"/>
                  </w:rPr>
                  <w:t>iii</w:t>
                </w:r>
              </w:p>
            </w:txbxContent>
          </v:textbox>
          <w10:wrap type="none"/>
        </v:shape>
      </w:pict>
    </w: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43pt;margin-top:800.141113pt;width:14pt;height:10.9pt;mso-position-horizontal-relative:page;mso-position-vertical-relative:page;z-index:-21257728" type="#_x0000_t202" filled="false" stroked="false">
          <v:textbox inset="0,0,0,0">
            <w:txbxContent>
              <w:p>
                <w:pPr>
                  <w:spacing w:before="13"/>
                  <w:ind w:left="60" w:right="0" w:firstLine="0"/>
                  <w:jc w:val="left"/>
                  <w:rPr>
                    <w:sz w:val="16"/>
                  </w:rPr>
                </w:pPr>
                <w:r>
                  <w:rPr/>
                  <w:fldChar w:fldCharType="begin"/>
                </w:r>
                <w:r>
                  <w:rPr>
                    <w:color w:val="231F20"/>
                    <w:sz w:val="16"/>
                  </w:rPr>
                  <w:instrText> PAGE </w:instrText>
                </w:r>
                <w:r>
                  <w:rPr/>
                  <w:fldChar w:fldCharType="separate"/>
                </w:r>
                <w:r>
                  <w:rPr/>
                  <w:t>33</w:t>
                </w:r>
                <w:r>
                  <w:rPr/>
                  <w:fldChar w:fldCharType="end"/>
                </w:r>
              </w:p>
            </w:txbxContent>
          </v:textbox>
          <w10:wrap type="none"/>
        </v:shape>
      </w:pict>
    </w: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8pt;margin-top:801.141113pt;width:14pt;height:10.9pt;mso-position-horizontal-relative:page;mso-position-vertical-relative:page;z-index:-21257216" type="#_x0000_t202" filled="false" stroked="false">
          <v:textbox inset="0,0,0,0">
            <w:txbxContent>
              <w:p>
                <w:pPr>
                  <w:spacing w:before="13"/>
                  <w:ind w:left="60" w:right="0" w:firstLine="0"/>
                  <w:jc w:val="left"/>
                  <w:rPr>
                    <w:sz w:val="16"/>
                  </w:rPr>
                </w:pPr>
                <w:r>
                  <w:rPr/>
                  <w:fldChar w:fldCharType="begin"/>
                </w:r>
                <w:r>
                  <w:rPr>
                    <w:sz w:val="16"/>
                  </w:rPr>
                  <w:instrText> PAGE </w:instrText>
                </w:r>
                <w:r>
                  <w:rPr/>
                  <w:fldChar w:fldCharType="separate"/>
                </w:r>
                <w:r>
                  <w:rPr/>
                  <w:t>34</w:t>
                </w:r>
                <w:r>
                  <w:rPr/>
                  <w:fldChar w:fldCharType="end"/>
                </w:r>
              </w:p>
            </w:txbxContent>
          </v:textbox>
          <w10:wrap type="none"/>
        </v:shape>
      </w:pict>
    </w: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42.280029pt;margin-top:800.141113pt;width:14pt;height:10.9pt;mso-position-horizontal-relative:page;mso-position-vertical-relative:page;z-index:-21255168" type="#_x0000_t202" filled="false" stroked="false">
          <v:textbox inset="0,0,0,0">
            <w:txbxContent>
              <w:p>
                <w:pPr>
                  <w:spacing w:before="13"/>
                  <w:ind w:left="60" w:right="0" w:firstLine="0"/>
                  <w:jc w:val="left"/>
                  <w:rPr>
                    <w:sz w:val="16"/>
                  </w:rPr>
                </w:pPr>
                <w:r>
                  <w:rPr/>
                  <w:fldChar w:fldCharType="begin"/>
                </w:r>
                <w:r>
                  <w:rPr>
                    <w:sz w:val="16"/>
                  </w:rPr>
                  <w:instrText> PAGE </w:instrText>
                </w:r>
                <w:r>
                  <w:rPr/>
                  <w:fldChar w:fldCharType="separate"/>
                </w:r>
                <w:r>
                  <w:rPr/>
                  <w:t>35</w:t>
                </w:r>
                <w:r>
                  <w:rPr/>
                  <w:fldChar w:fldCharType="end"/>
                </w:r>
              </w:p>
            </w:txbxContent>
          </v:textbox>
          <w10:wrap type="none"/>
        </v:shape>
      </w:pict>
    </w:r>
  </w:p>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8pt;margin-top:801.141113pt;width:14pt;height:10.9pt;mso-position-horizontal-relative:page;mso-position-vertical-relative:page;z-index:-21254656" type="#_x0000_t202" filled="false" stroked="false">
          <v:textbox inset="0,0,0,0">
            <w:txbxContent>
              <w:p>
                <w:pPr>
                  <w:spacing w:before="13"/>
                  <w:ind w:left="60" w:right="0" w:firstLine="0"/>
                  <w:jc w:val="left"/>
                  <w:rPr>
                    <w:sz w:val="16"/>
                  </w:rPr>
                </w:pPr>
                <w:r>
                  <w:rPr/>
                  <w:fldChar w:fldCharType="begin"/>
                </w:r>
                <w:r>
                  <w:rPr>
                    <w:sz w:val="16"/>
                  </w:rPr>
                  <w:instrText> PAGE </w:instrText>
                </w:r>
                <w:r>
                  <w:rPr/>
                  <w:fldChar w:fldCharType="separate"/>
                </w:r>
                <w:r>
                  <w:rPr/>
                  <w:t>36</w:t>
                </w:r>
                <w:r>
                  <w:rPr/>
                  <w:fldChar w:fldCharType="end"/>
                </w:r>
              </w:p>
            </w:txbxContent>
          </v:textbox>
          <w10:wrap type="none"/>
        </v:shape>
      </w:pict>
    </w: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8pt;margin-top:801.141113pt;width:14pt;height:10.9pt;mso-position-horizontal-relative:page;mso-position-vertical-relative:page;z-index:-21254144" type="#_x0000_t202" filled="false" stroked="false">
          <v:textbox inset="0,0,0,0">
            <w:txbxContent>
              <w:p>
                <w:pPr>
                  <w:spacing w:before="13"/>
                  <w:ind w:left="60" w:right="0" w:firstLine="0"/>
                  <w:jc w:val="left"/>
                  <w:rPr>
                    <w:sz w:val="16"/>
                  </w:rPr>
                </w:pPr>
                <w:r>
                  <w:rPr/>
                  <w:fldChar w:fldCharType="begin"/>
                </w:r>
                <w:r>
                  <w:rPr>
                    <w:color w:val="231F20"/>
                    <w:sz w:val="16"/>
                  </w:rPr>
                  <w:instrText> PAGE </w:instrText>
                </w:r>
                <w:r>
                  <w:rPr/>
                  <w:fldChar w:fldCharType="separate"/>
                </w:r>
                <w:r>
                  <w:rPr/>
                  <w:t>40</w:t>
                </w:r>
                <w:r>
                  <w:rPr/>
                  <w:fldChar w:fldCharType="end"/>
                </w:r>
              </w:p>
            </w:txbxContent>
          </v:textbox>
          <w10:wrap type="none"/>
        </v:shape>
      </w:pict>
    </w: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42.280029pt;margin-top:800.141113pt;width:14pt;height:10.9pt;mso-position-horizontal-relative:page;mso-position-vertical-relative:page;z-index:-21253632" type="#_x0000_t202" filled="false" stroked="false">
          <v:textbox inset="0,0,0,0">
            <w:txbxContent>
              <w:p>
                <w:pPr>
                  <w:spacing w:before="13"/>
                  <w:ind w:left="60" w:right="0" w:firstLine="0"/>
                  <w:jc w:val="left"/>
                  <w:rPr>
                    <w:sz w:val="16"/>
                  </w:rPr>
                </w:pPr>
                <w:r>
                  <w:rPr/>
                  <w:fldChar w:fldCharType="begin"/>
                </w:r>
                <w:r>
                  <w:rPr>
                    <w:sz w:val="16"/>
                  </w:rPr>
                  <w:instrText> PAGE </w:instrText>
                </w:r>
                <w:r>
                  <w:rPr/>
                  <w:fldChar w:fldCharType="separate"/>
                </w:r>
                <w:r>
                  <w:rPr/>
                  <w:t>41</w:t>
                </w:r>
                <w:r>
                  <w:rPr/>
                  <w:fldChar w:fldCharType="end"/>
                </w:r>
              </w:p>
            </w:txbxContent>
          </v:textbox>
          <w10:wrap type="none"/>
        </v:shape>
      </w:pict>
    </w:r>
  </w:p>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7.450001pt;margin-top:801.141113pt;width:14.55pt;height:10.9pt;mso-position-horizontal-relative:page;mso-position-vertical-relative:page;z-index:-21251584" type="#_x0000_t202" filled="false" stroked="false">
          <v:textbox inset="0,0,0,0">
            <w:txbxContent>
              <w:p>
                <w:pPr>
                  <w:spacing w:before="13"/>
                  <w:ind w:left="70" w:right="0" w:firstLine="0"/>
                  <w:jc w:val="left"/>
                  <w:rPr>
                    <w:sz w:val="16"/>
                  </w:rPr>
                </w:pPr>
                <w:r>
                  <w:rPr/>
                  <w:fldChar w:fldCharType="begin"/>
                </w:r>
                <w:r>
                  <w:rPr>
                    <w:sz w:val="16"/>
                  </w:rPr>
                  <w:instrText> PAGE </w:instrText>
                </w:r>
                <w:r>
                  <w:rPr/>
                  <w:fldChar w:fldCharType="separate"/>
                </w:r>
                <w:r>
                  <w:rPr/>
                  <w:t>42</w:t>
                </w:r>
                <w:r>
                  <w:rPr/>
                  <w:fldChar w:fldCharType="end"/>
                </w:r>
              </w:p>
            </w:txbxContent>
          </v:textbox>
          <w10:wrap type="none"/>
        </v:shape>
      </w:pict>
    </w: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42.450012pt;margin-top:800.141113pt;width:14pt;height:10.9pt;mso-position-horizontal-relative:page;mso-position-vertical-relative:page;z-index:-21251072" type="#_x0000_t202" filled="false" stroked="false">
          <v:textbox inset="0,0,0,0">
            <w:txbxContent>
              <w:p>
                <w:pPr>
                  <w:spacing w:before="13"/>
                  <w:ind w:left="60" w:right="0" w:firstLine="0"/>
                  <w:jc w:val="left"/>
                  <w:rPr>
                    <w:sz w:val="16"/>
                  </w:rPr>
                </w:pPr>
                <w:r>
                  <w:rPr/>
                  <w:fldChar w:fldCharType="begin"/>
                </w:r>
                <w:r>
                  <w:rPr>
                    <w:color w:val="231F20"/>
                    <w:sz w:val="16"/>
                  </w:rPr>
                  <w:instrText> PAGE </w:instrText>
                </w:r>
                <w:r>
                  <w:rPr/>
                  <w:fldChar w:fldCharType="separate"/>
                </w:r>
                <w:r>
                  <w:rPr/>
                  <w:t>43</w:t>
                </w:r>
                <w:r>
                  <w:rPr/>
                  <w:fldChar w:fldCharType="end"/>
                </w:r>
              </w:p>
            </w:txbxContent>
          </v:textbox>
          <w10:wrap type="none"/>
        </v:shape>
      </w:pict>
    </w: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7.720001pt;margin-top:801.141113pt;width:14pt;height:10.9pt;mso-position-horizontal-relative:page;mso-position-vertical-relative:page;z-index:-21249024" type="#_x0000_t202" filled="false" stroked="false">
          <v:textbox inset="0,0,0,0">
            <w:txbxContent>
              <w:p>
                <w:pPr>
                  <w:spacing w:before="13"/>
                  <w:ind w:left="60" w:right="0" w:firstLine="0"/>
                  <w:jc w:val="left"/>
                  <w:rPr>
                    <w:sz w:val="16"/>
                  </w:rPr>
                </w:pPr>
                <w:r>
                  <w:rPr/>
                  <w:fldChar w:fldCharType="begin"/>
                </w:r>
                <w:r>
                  <w:rPr>
                    <w:sz w:val="16"/>
                  </w:rPr>
                  <w:instrText> PAGE </w:instrText>
                </w:r>
                <w:r>
                  <w:rPr/>
                  <w:fldChar w:fldCharType="separate"/>
                </w:r>
                <w:r>
                  <w:rPr/>
                  <w:t>44</w:t>
                </w:r>
                <w:r>
                  <w:rPr/>
                  <w:fldChar w:fldCharType="end"/>
                </w:r>
              </w:p>
            </w:txbxContent>
          </v:textbox>
          <w10:wrap type="none"/>
        </v:shape>
      </w:pict>
    </w:r>
  </w:p>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42.450012pt;margin-top:800.141113pt;width:14.3pt;height:10.9pt;mso-position-horizontal-relative:page;mso-position-vertical-relative:page;z-index:-21248512" type="#_x0000_t202" filled="false" stroked="false">
          <v:textbox inset="0,0,0,0">
            <w:txbxContent>
              <w:p>
                <w:pPr>
                  <w:spacing w:before="13"/>
                  <w:ind w:left="60" w:right="0" w:firstLine="0"/>
                  <w:jc w:val="left"/>
                  <w:rPr>
                    <w:sz w:val="16"/>
                  </w:rPr>
                </w:pPr>
                <w:r>
                  <w:rPr/>
                  <w:fldChar w:fldCharType="begin"/>
                </w:r>
                <w:r>
                  <w:rPr>
                    <w:sz w:val="16"/>
                  </w:rPr>
                  <w:instrText> PAGE </w:instrText>
                </w:r>
                <w:r>
                  <w:rPr/>
                  <w:fldChar w:fldCharType="separate"/>
                </w:r>
                <w:r>
                  <w:rPr/>
                  <w:t>45</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7.450001pt;margin-top:801.141113pt;width:14pt;height:10.9pt;mso-position-horizontal-relative:page;mso-position-vertical-relative:page;z-index:-21246464" type="#_x0000_t202" filled="false" stroked="false">
          <v:textbox inset="0,0,0,0">
            <w:txbxContent>
              <w:p>
                <w:pPr>
                  <w:spacing w:before="13"/>
                  <w:ind w:left="60" w:right="0" w:firstLine="0"/>
                  <w:jc w:val="left"/>
                  <w:rPr>
                    <w:sz w:val="16"/>
                  </w:rPr>
                </w:pPr>
                <w:r>
                  <w:rPr/>
                  <w:fldChar w:fldCharType="begin"/>
                </w:r>
                <w:r>
                  <w:rPr>
                    <w:sz w:val="16"/>
                  </w:rPr>
                  <w:instrText> PAGE </w:instrText>
                </w:r>
                <w:r>
                  <w:rPr/>
                  <w:fldChar w:fldCharType="separate"/>
                </w:r>
                <w:r>
                  <w:rPr/>
                  <w:t>52</w:t>
                </w:r>
                <w:r>
                  <w:rPr/>
                  <w:fldChar w:fldCharType="end"/>
                </w:r>
              </w:p>
            </w:txbxContent>
          </v:textbox>
          <w10:wrap type="none"/>
        </v:shape>
      </w:pict>
    </w: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42.719971pt;margin-top:800.141113pt;width:14pt;height:10.9pt;mso-position-horizontal-relative:page;mso-position-vertical-relative:page;z-index:-21245952" type="#_x0000_t202" filled="false" stroked="false">
          <v:textbox inset="0,0,0,0">
            <w:txbxContent>
              <w:p>
                <w:pPr>
                  <w:spacing w:before="13"/>
                  <w:ind w:left="60" w:right="0" w:firstLine="0"/>
                  <w:jc w:val="left"/>
                  <w:rPr>
                    <w:sz w:val="16"/>
                  </w:rPr>
                </w:pPr>
                <w:r>
                  <w:rPr/>
                  <w:fldChar w:fldCharType="begin"/>
                </w:r>
                <w:r>
                  <w:rPr>
                    <w:sz w:val="16"/>
                  </w:rPr>
                  <w:instrText> PAGE </w:instrText>
                </w:r>
                <w:r>
                  <w:rPr/>
                  <w:fldChar w:fldCharType="separate"/>
                </w:r>
                <w:r>
                  <w:rPr/>
                  <w:t>53</w:t>
                </w:r>
                <w:r>
                  <w:rPr/>
                  <w:fldChar w:fldCharType="end"/>
                </w:r>
              </w:p>
            </w:txbxContent>
          </v:textbox>
          <w10:wrap type="none"/>
        </v:shape>
      </w:pict>
    </w:r>
  </w:p>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44pt;margin-top:801.141113pt;width:14pt;height:10.9pt;mso-position-horizontal-relative:page;mso-position-vertical-relative:page;z-index:-21243904" type="#_x0000_t202" filled="false" stroked="false">
          <v:textbox inset="0,0,0,0">
            <w:txbxContent>
              <w:p>
                <w:pPr>
                  <w:spacing w:before="13"/>
                  <w:ind w:left="60" w:right="0" w:firstLine="0"/>
                  <w:jc w:val="left"/>
                  <w:rPr>
                    <w:sz w:val="16"/>
                  </w:rPr>
                </w:pPr>
                <w:r>
                  <w:rPr/>
                  <w:fldChar w:fldCharType="begin"/>
                </w:r>
                <w:r>
                  <w:rPr>
                    <w:color w:val="231F20"/>
                    <w:sz w:val="16"/>
                  </w:rPr>
                  <w:instrText> PAGE </w:instrText>
                </w:r>
                <w:r>
                  <w:rPr/>
                  <w:fldChar w:fldCharType="separate"/>
                </w:r>
                <w:r>
                  <w:rPr/>
                  <w:t>57</w:t>
                </w:r>
                <w:r>
                  <w:rPr/>
                  <w:fldChar w:fldCharType="end"/>
                </w:r>
              </w:p>
            </w:txbxContent>
          </v:textbox>
          <w10:wrap type="none"/>
        </v:shape>
      </w:pict>
    </w:r>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7.279999pt;margin-top:801.141113pt;width:14pt;height:10.9pt;mso-position-horizontal-relative:page;mso-position-vertical-relative:page;z-index:-21243392" type="#_x0000_t202" filled="false" stroked="false">
          <v:textbox inset="0,0,0,0">
            <w:txbxContent>
              <w:p>
                <w:pPr>
                  <w:spacing w:before="13"/>
                  <w:ind w:left="60" w:right="0" w:firstLine="0"/>
                  <w:jc w:val="left"/>
                  <w:rPr>
                    <w:sz w:val="16"/>
                  </w:rPr>
                </w:pPr>
                <w:r>
                  <w:rPr/>
                  <w:fldChar w:fldCharType="begin"/>
                </w:r>
                <w:r>
                  <w:rPr>
                    <w:color w:val="231F20"/>
                    <w:sz w:val="16"/>
                  </w:rPr>
                  <w:instrText> PAGE </w:instrText>
                </w:r>
                <w:r>
                  <w:rPr/>
                  <w:fldChar w:fldCharType="separate"/>
                </w:r>
                <w:r>
                  <w:rPr/>
                  <w:t>58</w:t>
                </w:r>
                <w:r>
                  <w:rPr/>
                  <w:fldChar w:fldCharType="end"/>
                </w:r>
              </w:p>
            </w:txbxContent>
          </v:textbox>
          <w10:wrap type="none"/>
        </v:shape>
      </w:pict>
    </w:r>
  </w:p>
</w:ftr>
</file>

<file path=word/footer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47pt;margin-top:800.141113pt;width:10pt;height:10.9pt;mso-position-horizontal-relative:page;mso-position-vertical-relative:page;z-index:-21288448" type="#_x0000_t202" filled="false" stroked="false">
          <v:textbox inset="0,0,0,0">
            <w:txbxContent>
              <w:p>
                <w:pPr>
                  <w:spacing w:before="13"/>
                  <w:ind w:left="60" w:right="0" w:firstLine="0"/>
                  <w:jc w:val="left"/>
                  <w:rPr>
                    <w:sz w:val="16"/>
                  </w:rPr>
                </w:pPr>
                <w:r>
                  <w:rPr/>
                  <w:fldChar w:fldCharType="begin"/>
                </w:r>
                <w:r>
                  <w:rPr>
                    <w:color w:val="231F20"/>
                    <w:sz w:val="16"/>
                  </w:rPr>
                  <w:instrText> PAGE </w:instrText>
                </w:r>
                <w:r>
                  <w:rPr/>
                  <w:fldChar w:fldCharType="separate"/>
                </w:r>
                <w:r>
                  <w:rPr/>
                  <w:t>3</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8pt;margin-top:801.141113pt;width:14pt;height:10.9pt;mso-position-horizontal-relative:page;mso-position-vertical-relative:page;z-index:-21287936" type="#_x0000_t202" filled="false" stroked="false">
          <v:textbox inset="0,0,0,0">
            <w:txbxContent>
              <w:p>
                <w:pPr>
                  <w:spacing w:before="13"/>
                  <w:ind w:left="60" w:right="0" w:firstLine="0"/>
                  <w:jc w:val="left"/>
                  <w:rPr>
                    <w:sz w:val="16"/>
                  </w:rPr>
                </w:pPr>
                <w:r>
                  <w:rPr/>
                  <w:fldChar w:fldCharType="begin"/>
                </w:r>
                <w:r>
                  <w:rPr>
                    <w:sz w:val="16"/>
                  </w:rPr>
                  <w:instrText> PAGE </w:instrText>
                </w:r>
                <w:r>
                  <w:rPr/>
                  <w:fldChar w:fldCharType="separate"/>
                </w:r>
                <w:r>
                  <w:rPr/>
                  <w:t>10</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46.280029pt;margin-top:800.141113pt;width:10pt;height:10.9pt;mso-position-horizontal-relative:page;mso-position-vertical-relative:page;z-index:-21285888" type="#_x0000_t202" filled="false" stroked="false">
          <v:textbox inset="0,0,0,0">
            <w:txbxContent>
              <w:p>
                <w:pPr>
                  <w:spacing w:before="13"/>
                  <w:ind w:left="60" w:right="0" w:firstLine="0"/>
                  <w:jc w:val="left"/>
                  <w:rPr>
                    <w:sz w:val="16"/>
                  </w:rPr>
                </w:pPr>
                <w:r>
                  <w:rPr/>
                  <w:fldChar w:fldCharType="begin"/>
                </w:r>
                <w:r>
                  <w:rPr>
                    <w:sz w:val="16"/>
                  </w:rPr>
                  <w:instrText> PAGE </w:instrText>
                </w:r>
                <w:r>
                  <w:rPr/>
                  <w:fldChar w:fldCharType="separate"/>
                </w:r>
                <w:r>
                  <w:rPr/>
                  <w:t>5</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8pt;margin-top:801.141113pt;width:10pt;height:10.9pt;mso-position-horizontal-relative:page;mso-position-vertical-relative:page;z-index:-21285376" type="#_x0000_t202" filled="false" stroked="false">
          <v:textbox inset="0,0,0,0">
            <w:txbxContent>
              <w:p>
                <w:pPr>
                  <w:spacing w:before="13"/>
                  <w:ind w:left="60" w:right="0" w:firstLine="0"/>
                  <w:jc w:val="left"/>
                  <w:rPr>
                    <w:sz w:val="16"/>
                  </w:rPr>
                </w:pPr>
                <w:r>
                  <w:rPr/>
                  <w:fldChar w:fldCharType="begin"/>
                </w:r>
                <w:r>
                  <w:rPr>
                    <w:sz w:val="16"/>
                  </w:rPr>
                  <w:instrText> PAGE </w:instrText>
                </w:r>
                <w:r>
                  <w:rPr/>
                  <w:fldChar w:fldCharType="separate"/>
                </w:r>
                <w:r>
                  <w:rPr/>
                  <w:t>6</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8pt;margin-top:29.461094pt;width:519pt;height:10.9pt;mso-position-horizontal-relative:page;mso-position-vertical-relative:page;z-index:-21287424" type="#_x0000_t202" filled="false" stroked="false">
          <v:textbox inset="0,0,0,0">
            <w:txbxContent>
              <w:p>
                <w:pPr>
                  <w:tabs>
                    <w:tab w:pos="10359" w:val="left" w:leader="none"/>
                  </w:tabs>
                  <w:spacing w:before="13"/>
                  <w:ind w:left="20" w:right="0" w:firstLine="0"/>
                  <w:jc w:val="left"/>
                  <w:rPr>
                    <w:sz w:val="16"/>
                  </w:rPr>
                </w:pPr>
                <w:r>
                  <w:rPr>
                    <w:spacing w:val="-20"/>
                    <w:sz w:val="16"/>
                    <w:u w:val="single"/>
                  </w:rPr>
                  <w:t> </w:t>
                </w:r>
                <w:r>
                  <w:rPr>
                    <w:sz w:val="16"/>
                    <w:u w:val="single"/>
                  </w:rPr>
                  <w:t>Inflation Report:  February 1999</w:t>
                  <w:tab/>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276160" from="38.25pt,39pt" to="555.25pt,39pt" stroked="true" strokeweight=".125pt" strokecolor="#231f20">
          <v:stroke dashstyle="solid"/>
          <w10:wrap type="none"/>
        </v:line>
      </w:pict>
    </w:r>
    <w:r>
      <w:rPr/>
      <w:pict>
        <v:shape style="position:absolute;margin-left:489.730011pt;margin-top:29.461094pt;width:65.6pt;height:10.9pt;mso-position-horizontal-relative:page;mso-position-vertical-relative:page;z-index:-21275648" type="#_x0000_t202" filled="false" stroked="false">
          <v:textbox inset="0,0,0,0">
            <w:txbxContent>
              <w:p>
                <w:pPr>
                  <w:spacing w:before="13"/>
                  <w:ind w:left="20" w:right="0" w:firstLine="0"/>
                  <w:jc w:val="left"/>
                  <w:rPr>
                    <w:i/>
                    <w:sz w:val="16"/>
                  </w:rPr>
                </w:pPr>
                <w:r>
                  <w:rPr>
                    <w:i/>
                    <w:color w:val="231F20"/>
                    <w:sz w:val="16"/>
                  </w:rPr>
                  <w:t>Demand and output</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8pt;margin-top:29.461094pt;width:519pt;height:10.9pt;mso-position-horizontal-relative:page;mso-position-vertical-relative:page;z-index:-21275136" type="#_x0000_t202" filled="false" stroked="false">
          <v:textbox inset="0,0,0,0">
            <w:txbxContent>
              <w:p>
                <w:pPr>
                  <w:tabs>
                    <w:tab w:pos="10359" w:val="left" w:leader="none"/>
                  </w:tabs>
                  <w:spacing w:before="13"/>
                  <w:ind w:left="20" w:right="0" w:firstLine="0"/>
                  <w:jc w:val="left"/>
                  <w:rPr>
                    <w:sz w:val="16"/>
                  </w:rPr>
                </w:pPr>
                <w:r>
                  <w:rPr>
                    <w:color w:val="231F20"/>
                    <w:spacing w:val="-20"/>
                    <w:sz w:val="16"/>
                    <w:u w:val="single" w:color="231F20"/>
                  </w:rPr>
                  <w:t> </w:t>
                </w:r>
                <w:r>
                  <w:rPr>
                    <w:color w:val="231F20"/>
                    <w:sz w:val="16"/>
                    <w:u w:val="single" w:color="231F20"/>
                  </w:rPr>
                  <w:t>Inflation Report:  February 1999</w:t>
                  <w:tab/>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273600" from="38.25pt,39pt" to="555.25pt,39pt" stroked="true" strokeweight=".125pt" strokecolor="#231f20">
          <v:stroke dashstyle="solid"/>
          <w10:wrap type="none"/>
        </v:line>
      </w:pict>
    </w:r>
    <w:r>
      <w:rPr/>
      <w:pict>
        <v:line style="position:absolute;mso-position-horizontal-relative:page;mso-position-vertical-relative:page;z-index:-21273088" from="47.667pt,121.167pt" to="42.667pt,121.167pt" stroked="true" strokeweight=".5pt" strokecolor="#000000">
          <v:stroke dashstyle="solid"/>
          <w10:wrap type="none"/>
        </v:line>
      </w:pict>
    </w:r>
    <w:r>
      <w:rPr/>
      <w:pict>
        <v:line style="position:absolute;mso-position-horizontal-relative:page;mso-position-vertical-relative:page;z-index:-21272576" from="207.667007pt,121.583pt" to="202.667007pt,121.583pt" stroked="true" strokeweight=".5pt" strokecolor="#000000">
          <v:stroke dashstyle="solid"/>
          <w10:wrap type="none"/>
        </v:line>
      </w:pict>
    </w:r>
    <w:r>
      <w:rPr/>
      <w:pict>
        <v:shape style="position:absolute;margin-left:489.730011pt;margin-top:29.461094pt;width:65.6pt;height:10.9pt;mso-position-horizontal-relative:page;mso-position-vertical-relative:page;z-index:-21272064" type="#_x0000_t202" filled="false" stroked="false">
          <v:textbox inset="0,0,0,0">
            <w:txbxContent>
              <w:p>
                <w:pPr>
                  <w:spacing w:before="13"/>
                  <w:ind w:left="20" w:right="0" w:firstLine="0"/>
                  <w:jc w:val="left"/>
                  <w:rPr>
                    <w:i/>
                    <w:sz w:val="16"/>
                  </w:rPr>
                </w:pPr>
                <w:r>
                  <w:rPr>
                    <w:i/>
                    <w:color w:val="231F20"/>
                    <w:sz w:val="16"/>
                  </w:rPr>
                  <w:t>Demand and output</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8pt;margin-top:29.461094pt;width:519pt;height:10.9pt;mso-position-horizontal-relative:page;mso-position-vertical-relative:page;z-index:-21271552" type="#_x0000_t202" filled="false" stroked="false">
          <v:textbox inset="0,0,0,0">
            <w:txbxContent>
              <w:p>
                <w:pPr>
                  <w:tabs>
                    <w:tab w:pos="10359" w:val="left" w:leader="none"/>
                  </w:tabs>
                  <w:spacing w:before="13"/>
                  <w:ind w:left="20" w:right="0" w:firstLine="0"/>
                  <w:jc w:val="left"/>
                  <w:rPr>
                    <w:sz w:val="16"/>
                  </w:rPr>
                </w:pPr>
                <w:r>
                  <w:rPr>
                    <w:color w:val="231F20"/>
                    <w:spacing w:val="-20"/>
                    <w:sz w:val="16"/>
                    <w:u w:val="single" w:color="231F20"/>
                  </w:rPr>
                  <w:t> </w:t>
                </w:r>
                <w:r>
                  <w:rPr>
                    <w:color w:val="231F20"/>
                    <w:sz w:val="16"/>
                    <w:u w:val="single" w:color="231F20"/>
                  </w:rPr>
                  <w:t>Inflation Report:  February 1999</w:t>
                  <w:tab/>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271040" from="38.25pt,39pt" to="555.25pt,39pt" stroked="true" strokeweight=".125pt" strokecolor="#231f20">
          <v:stroke dashstyle="solid"/>
          <w10:wrap type="none"/>
        </v:line>
      </w:pict>
    </w:r>
    <w:r>
      <w:rPr/>
      <w:pict>
        <v:shape style="position:absolute;margin-left:489.730011pt;margin-top:29.461094pt;width:65.6pt;height:10.9pt;mso-position-horizontal-relative:page;mso-position-vertical-relative:page;z-index:-21270528" type="#_x0000_t202" filled="false" stroked="false">
          <v:textbox inset="0,0,0,0">
            <w:txbxContent>
              <w:p>
                <w:pPr>
                  <w:spacing w:before="13"/>
                  <w:ind w:left="20" w:right="0" w:firstLine="0"/>
                  <w:jc w:val="left"/>
                  <w:rPr>
                    <w:i/>
                    <w:sz w:val="16"/>
                  </w:rPr>
                </w:pPr>
                <w:r>
                  <w:rPr>
                    <w:i/>
                    <w:color w:val="231F20"/>
                    <w:sz w:val="16"/>
                  </w:rPr>
                  <w:t>Demand and output</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8pt;margin-top:29.461094pt;width:519pt;height:10.9pt;mso-position-horizontal-relative:page;mso-position-vertical-relative:page;z-index:-21270016" type="#_x0000_t202" filled="false" stroked="false">
          <v:textbox inset="0,0,0,0">
            <w:txbxContent>
              <w:p>
                <w:pPr>
                  <w:tabs>
                    <w:tab w:pos="10359" w:val="left" w:leader="none"/>
                  </w:tabs>
                  <w:spacing w:before="13"/>
                  <w:ind w:left="20" w:right="0" w:firstLine="0"/>
                  <w:jc w:val="left"/>
                  <w:rPr>
                    <w:sz w:val="16"/>
                  </w:rPr>
                </w:pPr>
                <w:r>
                  <w:rPr>
                    <w:color w:val="231F20"/>
                    <w:spacing w:val="-20"/>
                    <w:sz w:val="16"/>
                    <w:u w:val="single" w:color="231F20"/>
                  </w:rPr>
                  <w:t> </w:t>
                </w:r>
                <w:r>
                  <w:rPr>
                    <w:color w:val="231F20"/>
                    <w:sz w:val="16"/>
                    <w:u w:val="single" w:color="231F20"/>
                  </w:rPr>
                  <w:t>Inflation Report:  February 1999</w:t>
                  <w:tab/>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267456" from="39pt,39pt" to="556pt,39pt" stroked="true" strokeweight=".125pt" strokecolor="#000000">
          <v:stroke dashstyle="solid"/>
          <w10:wrap type="none"/>
        </v:line>
      </w:pict>
    </w:r>
    <w:r>
      <w:rPr/>
      <w:pict>
        <v:shape style="position:absolute;margin-left:494.459991pt;margin-top:29.461094pt;width:61.6pt;height:10.9pt;mso-position-horizontal-relative:page;mso-position-vertical-relative:page;z-index:-21266944" type="#_x0000_t202" filled="false" stroked="false">
          <v:textbox inset="0,0,0,0">
            <w:txbxContent>
              <w:p>
                <w:pPr>
                  <w:spacing w:before="13"/>
                  <w:ind w:left="20" w:right="0" w:firstLine="0"/>
                  <w:jc w:val="left"/>
                  <w:rPr>
                    <w:i/>
                    <w:sz w:val="16"/>
                  </w:rPr>
                </w:pPr>
                <w:r>
                  <w:rPr>
                    <w:i/>
                    <w:sz w:val="16"/>
                  </w:rPr>
                  <w:t>The labour market</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7.25pt;margin-top:29.461094pt;width:519pt;height:10.9pt;mso-position-horizontal-relative:page;mso-position-vertical-relative:page;z-index:-21266432" type="#_x0000_t202" filled="false" stroked="false">
          <v:textbox inset="0,0,0,0">
            <w:txbxContent>
              <w:p>
                <w:pPr>
                  <w:tabs>
                    <w:tab w:pos="10359" w:val="left" w:leader="none"/>
                  </w:tabs>
                  <w:spacing w:before="13"/>
                  <w:ind w:left="20" w:right="0" w:firstLine="0"/>
                  <w:jc w:val="left"/>
                  <w:rPr>
                    <w:sz w:val="16"/>
                  </w:rPr>
                </w:pPr>
                <w:r>
                  <w:rPr>
                    <w:spacing w:val="-20"/>
                    <w:sz w:val="16"/>
                    <w:u w:val="single"/>
                  </w:rPr>
                  <w:t> </w:t>
                </w:r>
                <w:r>
                  <w:rPr>
                    <w:sz w:val="16"/>
                    <w:u w:val="single"/>
                  </w:rPr>
                  <w:t>Inflation Report:  February 1999</w:t>
                  <w:tab/>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264896" from="39pt,39pt" to="556pt,39pt" stroked="true" strokeweight=".125pt" strokecolor="#000000">
          <v:stroke dashstyle="solid"/>
          <w10:wrap type="none"/>
        </v:line>
      </w:pict>
    </w:r>
    <w:r>
      <w:rPr/>
      <w:pict>
        <v:shape style="position:absolute;margin-left:494.459991pt;margin-top:29.461094pt;width:61.6pt;height:10.9pt;mso-position-horizontal-relative:page;mso-position-vertical-relative:page;z-index:-21264384" type="#_x0000_t202" filled="false" stroked="false">
          <v:textbox inset="0,0,0,0">
            <w:txbxContent>
              <w:p>
                <w:pPr>
                  <w:spacing w:before="13"/>
                  <w:ind w:left="20" w:right="0" w:firstLine="0"/>
                  <w:jc w:val="left"/>
                  <w:rPr>
                    <w:i/>
                    <w:sz w:val="16"/>
                  </w:rPr>
                </w:pPr>
                <w:r>
                  <w:rPr>
                    <w:i/>
                    <w:sz w:val="16"/>
                  </w:rPr>
                  <w:t>The labour market</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286912" from="38.25pt,39pt" to="555.25pt,39pt" stroked="true" strokeweight=".125pt" strokecolor="#000000">
          <v:stroke dashstyle="solid"/>
          <w10:wrap type="none"/>
        </v:line>
      </w:pict>
    </w:r>
    <w:r>
      <w:rPr/>
      <w:pict>
        <v:shape style="position:absolute;margin-left:459.75pt;margin-top:29.461094pt;width:95.55pt;height:10.9pt;mso-position-horizontal-relative:page;mso-position-vertical-relative:page;z-index:-21286400" type="#_x0000_t202" filled="false" stroked="false">
          <v:textbox inset="0,0,0,0">
            <w:txbxContent>
              <w:p>
                <w:pPr>
                  <w:spacing w:before="13"/>
                  <w:ind w:left="20" w:right="0" w:firstLine="0"/>
                  <w:jc w:val="left"/>
                  <w:rPr>
                    <w:i/>
                    <w:sz w:val="16"/>
                  </w:rPr>
                </w:pPr>
                <w:r>
                  <w:rPr>
                    <w:i/>
                    <w:sz w:val="16"/>
                  </w:rPr>
                  <w:t>Money and financial markets</w:t>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7.25pt;margin-top:29.461094pt;width:519pt;height:10.9pt;mso-position-horizontal-relative:page;mso-position-vertical-relative:page;z-index:-21263872" type="#_x0000_t202" filled="false" stroked="false">
          <v:textbox inset="0,0,0,0">
            <w:txbxContent>
              <w:p>
                <w:pPr>
                  <w:tabs>
                    <w:tab w:pos="10359" w:val="left" w:leader="none"/>
                  </w:tabs>
                  <w:spacing w:before="13"/>
                  <w:ind w:left="20" w:right="0" w:firstLine="0"/>
                  <w:jc w:val="left"/>
                  <w:rPr>
                    <w:sz w:val="16"/>
                  </w:rPr>
                </w:pPr>
                <w:r>
                  <w:rPr>
                    <w:spacing w:val="-20"/>
                    <w:sz w:val="16"/>
                    <w:u w:val="single"/>
                  </w:rPr>
                  <w:t> </w:t>
                </w:r>
                <w:r>
                  <w:rPr>
                    <w:sz w:val="16"/>
                    <w:u w:val="single"/>
                  </w:rPr>
                  <w:t>Inflation Report:  February 1999</w:t>
                  <w:tab/>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4.459991pt;margin-top:29.461094pt;width:61.6pt;height:10.9pt;mso-position-horizontal-relative:page;mso-position-vertical-relative:page;z-index:-21259776" type="#_x0000_t202" filled="false" stroked="false">
          <v:textbox inset="0,0,0,0">
            <w:txbxContent>
              <w:p>
                <w:pPr>
                  <w:spacing w:before="13"/>
                  <w:ind w:left="20" w:right="0" w:firstLine="0"/>
                  <w:jc w:val="left"/>
                  <w:rPr>
                    <w:i/>
                    <w:sz w:val="16"/>
                  </w:rPr>
                </w:pPr>
                <w:r>
                  <w:rPr>
                    <w:i/>
                    <w:sz w:val="16"/>
                  </w:rPr>
                  <w:t>The labour market</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7.25pt;margin-top:29.461094pt;width:519pt;height:10.9pt;mso-position-horizontal-relative:page;mso-position-vertical-relative:page;z-index:-21259264" type="#_x0000_t202" filled="false" stroked="false">
          <v:textbox inset="0,0,0,0">
            <w:txbxContent>
              <w:p>
                <w:pPr>
                  <w:tabs>
                    <w:tab w:pos="10359" w:val="left" w:leader="none"/>
                  </w:tabs>
                  <w:spacing w:before="13"/>
                  <w:ind w:left="20" w:right="0" w:firstLine="0"/>
                  <w:jc w:val="left"/>
                  <w:rPr>
                    <w:sz w:val="16"/>
                  </w:rPr>
                </w:pPr>
                <w:r>
                  <w:rPr>
                    <w:spacing w:val="-20"/>
                    <w:sz w:val="16"/>
                    <w:u w:val="single"/>
                  </w:rPr>
                  <w:t> </w:t>
                </w:r>
                <w:r>
                  <w:rPr>
                    <w:sz w:val="16"/>
                    <w:u w:val="single"/>
                  </w:rPr>
                  <w:t>Inflation Report:  February 1999</w:t>
                  <w:tab/>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8pt;margin-top:29.461094pt;width:519pt;height:10.9pt;mso-position-horizontal-relative:page;mso-position-vertical-relative:page;z-index:-21256704" type="#_x0000_t202" filled="false" stroked="false">
          <v:textbox inset="0,0,0,0">
            <w:txbxContent>
              <w:p>
                <w:pPr>
                  <w:tabs>
                    <w:tab w:pos="10359" w:val="left" w:leader="none"/>
                  </w:tabs>
                  <w:spacing w:before="13"/>
                  <w:ind w:left="20" w:right="0" w:firstLine="0"/>
                  <w:jc w:val="left"/>
                  <w:rPr>
                    <w:sz w:val="16"/>
                  </w:rPr>
                </w:pPr>
                <w:r>
                  <w:rPr>
                    <w:spacing w:val="-20"/>
                    <w:sz w:val="16"/>
                    <w:u w:val="single"/>
                  </w:rPr>
                  <w:t> </w:t>
                </w:r>
                <w:r>
                  <w:rPr>
                    <w:sz w:val="16"/>
                    <w:u w:val="single"/>
                  </w:rPr>
                  <w:t>Inflation Report:  February 1999</w:t>
                  <w:tab/>
                </w:r>
              </w:p>
            </w:txbxContent>
          </v:textbox>
          <w10:wrap type="none"/>
        </v:shape>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256192" from="38.25pt,39pt" to="555.25pt,39pt" stroked="true" strokeweight=".125pt" strokecolor="#000000">
          <v:stroke dashstyle="solid"/>
          <w10:wrap type="none"/>
        </v:line>
      </w:pict>
    </w:r>
    <w:r>
      <w:rPr/>
      <w:pict>
        <v:shape style="position:absolute;margin-left:499.950012pt;margin-top:29.461094pt;width:55.35pt;height:10.9pt;mso-position-horizontal-relative:page;mso-position-vertical-relative:page;z-index:-21255680" type="#_x0000_t202" filled="false" stroked="false">
          <v:textbox inset="0,0,0,0">
            <w:txbxContent>
              <w:p>
                <w:pPr>
                  <w:spacing w:before="13"/>
                  <w:ind w:left="20" w:right="0" w:firstLine="0"/>
                  <w:jc w:val="left"/>
                  <w:rPr>
                    <w:i/>
                    <w:sz w:val="16"/>
                  </w:rPr>
                </w:pPr>
                <w:r>
                  <w:rPr>
                    <w:i/>
                    <w:sz w:val="16"/>
                  </w:rPr>
                  <w:t>Costs and prices</w:t>
                </w:r>
              </w:p>
            </w:txbxContent>
          </v:textbox>
          <w10:wrap type="none"/>
        </v:shape>
      </w:pic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253120" from="38.25pt,39pt" to="555.25pt,39pt" stroked="true" strokeweight=".125pt" strokecolor="#000000">
          <v:stroke dashstyle="solid"/>
          <w10:wrap type="none"/>
        </v:line>
      </w:pict>
    </w:r>
    <w:r>
      <w:rPr/>
      <w:pict>
        <v:shape style="position:absolute;margin-left:411.779999pt;margin-top:29.341093pt;width:143.5pt;height:10.9pt;mso-position-horizontal-relative:page;mso-position-vertical-relative:page;z-index:-21252608" type="#_x0000_t202" filled="false" stroked="false">
          <v:textbox inset="0,0,0,0">
            <w:txbxContent>
              <w:p>
                <w:pPr>
                  <w:spacing w:before="13"/>
                  <w:ind w:left="20" w:right="0" w:firstLine="0"/>
                  <w:jc w:val="left"/>
                  <w:rPr>
                    <w:sz w:val="16"/>
                  </w:rPr>
                </w:pPr>
                <w:r>
                  <w:rPr>
                    <w:i/>
                    <w:sz w:val="16"/>
                  </w:rPr>
                  <w:t>Monetary policy since the November </w:t>
                </w:r>
                <w:r>
                  <w:rPr>
                    <w:sz w:val="16"/>
                  </w:rPr>
                  <w:t>Report</w:t>
                </w:r>
              </w:p>
            </w:txbxContent>
          </v:textbox>
          <w10:wrap type="none"/>
        </v:shape>
      </w:pict>
    </w: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8pt;margin-top:29.341093pt;width:519pt;height:10.9pt;mso-position-horizontal-relative:page;mso-position-vertical-relative:page;z-index:-21252096" type="#_x0000_t202" filled="false" stroked="false">
          <v:textbox inset="0,0,0,0">
            <w:txbxContent>
              <w:p>
                <w:pPr>
                  <w:tabs>
                    <w:tab w:pos="10359" w:val="left" w:leader="none"/>
                  </w:tabs>
                  <w:spacing w:before="13"/>
                  <w:ind w:left="20" w:right="0" w:firstLine="0"/>
                  <w:jc w:val="left"/>
                  <w:rPr>
                    <w:sz w:val="16"/>
                  </w:rPr>
                </w:pPr>
                <w:r>
                  <w:rPr>
                    <w:spacing w:val="-20"/>
                    <w:sz w:val="16"/>
                    <w:u w:val="single"/>
                  </w:rPr>
                  <w:t> </w:t>
                </w:r>
                <w:r>
                  <w:rPr>
                    <w:sz w:val="16"/>
                    <w:u w:val="single"/>
                  </w:rPr>
                  <w:t>Inflation Report:  February 1999</w:t>
                  <w:tab/>
                </w:r>
              </w:p>
            </w:txbxContent>
          </v:textbox>
          <w10:wrap type="none"/>
        </v:shape>
      </w:pict>
    </w: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284864" from="38.25pt,39pt" to="555.25pt,39pt" stroked="true" strokeweight=".125pt" strokecolor="#000000">
          <v:stroke dashstyle="solid"/>
          <w10:wrap type="none"/>
        </v:line>
      </w:pict>
    </w:r>
    <w:r>
      <w:rPr/>
      <w:pict>
        <v:line style="position:absolute;mso-position-horizontal-relative:page;mso-position-vertical-relative:page;z-index:-21284352" from="212.389999pt,100.5pt" to="208.389999pt,100.5pt" stroked="true" strokeweight=".5pt" strokecolor="#000000">
          <v:stroke dashstyle="solid"/>
          <w10:wrap type="none"/>
        </v:line>
      </w:pict>
    </w:r>
    <w:r>
      <w:rPr/>
      <w:pict>
        <v:shape style="position:absolute;margin-left:459.75pt;margin-top:29.461094pt;width:95.55pt;height:10.9pt;mso-position-horizontal-relative:page;mso-position-vertical-relative:page;z-index:-21283840" type="#_x0000_t202" filled="false" stroked="false">
          <v:textbox inset="0,0,0,0">
            <w:txbxContent>
              <w:p>
                <w:pPr>
                  <w:spacing w:before="13"/>
                  <w:ind w:left="20" w:right="0" w:firstLine="0"/>
                  <w:jc w:val="left"/>
                  <w:rPr>
                    <w:i/>
                    <w:sz w:val="16"/>
                  </w:rPr>
                </w:pPr>
                <w:r>
                  <w:rPr>
                    <w:i/>
                    <w:sz w:val="16"/>
                  </w:rPr>
                  <w:t>Money and financial markets</w:t>
                </w:r>
              </w:p>
            </w:txbxContent>
          </v:textbox>
          <w10:wrap type="none"/>
        </v:shape>
      </w:pict>
    </w: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7.75pt;margin-top:29.341093pt;width:519pt;height:10.9pt;mso-position-horizontal-relative:page;mso-position-vertical-relative:page;z-index:-21250560" type="#_x0000_t202" filled="false" stroked="false">
          <v:textbox inset="0,0,0,0">
            <w:txbxContent>
              <w:p>
                <w:pPr>
                  <w:tabs>
                    <w:tab w:pos="10359" w:val="left" w:leader="none"/>
                  </w:tabs>
                  <w:spacing w:before="13"/>
                  <w:ind w:left="20" w:right="0" w:firstLine="0"/>
                  <w:jc w:val="left"/>
                  <w:rPr>
                    <w:sz w:val="16"/>
                  </w:rPr>
                </w:pPr>
                <w:r>
                  <w:rPr>
                    <w:spacing w:val="-21"/>
                    <w:sz w:val="16"/>
                    <w:u w:val="single"/>
                  </w:rPr>
                  <w:t> </w:t>
                </w:r>
                <w:r>
                  <w:rPr>
                    <w:sz w:val="16"/>
                    <w:u w:val="single"/>
                  </w:rPr>
                  <w:t>Inflation Report:  February 1999</w:t>
                  <w:tab/>
                </w:r>
              </w:p>
            </w:txbxContent>
          </v:textbox>
          <w10:wrap type="none"/>
        </v:shape>
      </w:pict>
    </w: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250048" from="38.5pt,39pt" to="555.5pt,39pt" stroked="true" strokeweight=".125pt" strokecolor="#000000">
          <v:stroke dashstyle="solid"/>
          <w10:wrap type="none"/>
        </v:line>
      </w:pict>
    </w:r>
    <w:r>
      <w:rPr/>
      <w:pict>
        <v:shape style="position:absolute;margin-left:481.459991pt;margin-top:29.341093pt;width:74pt;height:10.9pt;mso-position-horizontal-relative:page;mso-position-vertical-relative:page;z-index:-21249536" type="#_x0000_t202" filled="false" stroked="false">
          <v:textbox inset="0,0,0,0">
            <w:txbxContent>
              <w:p>
                <w:pPr>
                  <w:spacing w:before="13"/>
                  <w:ind w:left="20" w:right="0" w:firstLine="0"/>
                  <w:jc w:val="left"/>
                  <w:rPr>
                    <w:i/>
                    <w:sz w:val="16"/>
                  </w:rPr>
                </w:pPr>
                <w:r>
                  <w:rPr>
                    <w:i/>
                    <w:sz w:val="16"/>
                  </w:rPr>
                  <w:t>Prospects for inflation</w:t>
                </w:r>
              </w:p>
            </w:txbxContent>
          </v:textbox>
          <w10:wrap type="none"/>
        </v:shape>
      </w:pict>
    </w: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9.450001pt;margin-top:29.341093pt;width:106.45pt;height:10.9pt;mso-position-horizontal-relative:page;mso-position-vertical-relative:page;z-index:-21248000" type="#_x0000_t202" filled="false" stroked="false">
          <v:textbox inset="0,0,0,0">
            <w:txbxContent>
              <w:p>
                <w:pPr>
                  <w:spacing w:before="13"/>
                  <w:ind w:left="20" w:right="0" w:firstLine="0"/>
                  <w:jc w:val="left"/>
                  <w:rPr>
                    <w:sz w:val="16"/>
                  </w:rPr>
                </w:pPr>
                <w:r>
                  <w:rPr>
                    <w:sz w:val="16"/>
                  </w:rPr>
                  <w:t>Inflation Report: February 1999</w:t>
                </w:r>
              </w:p>
            </w:txbxContent>
          </v:textbox>
          <w10:wrap type="none"/>
        </v:shape>
      </w:pict>
    </w:r>
  </w:p>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247488" from="38.75pt,39pt" to="555.75pt,39pt" stroked="true" strokeweight=".125pt" strokecolor="#000000">
          <v:stroke dashstyle="solid"/>
          <w10:wrap type="none"/>
        </v:line>
      </w:pict>
    </w:r>
    <w:r>
      <w:rPr/>
      <w:pict>
        <v:shape style="position:absolute;margin-left:481.730011pt;margin-top:29.341093pt;width:74pt;height:10.9pt;mso-position-horizontal-relative:page;mso-position-vertical-relative:page;z-index:-21246976" type="#_x0000_t202" filled="false" stroked="false">
          <v:textbox inset="0,0,0,0">
            <w:txbxContent>
              <w:p>
                <w:pPr>
                  <w:spacing w:before="13"/>
                  <w:ind w:left="20" w:right="0" w:firstLine="0"/>
                  <w:jc w:val="left"/>
                  <w:rPr>
                    <w:i/>
                    <w:sz w:val="16"/>
                  </w:rPr>
                </w:pPr>
                <w:r>
                  <w:rPr>
                    <w:i/>
                    <w:sz w:val="16"/>
                  </w:rPr>
                  <w:t>Prospects for inflation</w:t>
                </w:r>
              </w:p>
            </w:txbxContent>
          </v:textbox>
          <w10:wrap type="none"/>
        </v:shape>
      </w:pict>
    </w: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245440" from="39pt,38pt" to="556pt,38pt" stroked="true" strokeweight=".125pt" strokecolor="#231f20">
          <v:stroke dashstyle="solid"/>
          <w10:wrap type="none"/>
        </v:line>
      </w:pict>
    </w:r>
    <w:r>
      <w:rPr/>
      <w:pict>
        <v:shape style="position:absolute;margin-left:463.809998pt;margin-top:28.461094pt;width:92.2pt;height:10.9pt;mso-position-horizontal-relative:page;mso-position-vertical-relative:page;z-index:-21244928" type="#_x0000_t202" filled="false" stroked="false">
          <v:textbox inset="0,0,0,0">
            <w:txbxContent>
              <w:p>
                <w:pPr>
                  <w:spacing w:before="13"/>
                  <w:ind w:left="20" w:right="0" w:firstLine="0"/>
                  <w:jc w:val="left"/>
                  <w:rPr>
                    <w:i/>
                    <w:sz w:val="16"/>
                  </w:rPr>
                </w:pPr>
                <w:r>
                  <w:rPr>
                    <w:i/>
                    <w:color w:val="231F20"/>
                    <w:sz w:val="16"/>
                  </w:rPr>
                  <w:t>Monetary Policy Committee</w:t>
                </w:r>
              </w:p>
            </w:txbxContent>
          </v:textbox>
          <w10:wrap type="none"/>
        </v:shape>
      </w:pict>
    </w:r>
  </w:p>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7.25pt;margin-top:28.461094pt;width:519pt;height:10.9pt;mso-position-horizontal-relative:page;mso-position-vertical-relative:page;z-index:-21244416" type="#_x0000_t202" filled="false" stroked="false">
          <v:textbox inset="0,0,0,0">
            <w:txbxContent>
              <w:p>
                <w:pPr>
                  <w:tabs>
                    <w:tab w:pos="10359" w:val="left" w:leader="none"/>
                  </w:tabs>
                  <w:spacing w:before="13"/>
                  <w:ind w:left="20" w:right="0" w:firstLine="0"/>
                  <w:jc w:val="left"/>
                  <w:rPr>
                    <w:sz w:val="16"/>
                  </w:rPr>
                </w:pPr>
                <w:r>
                  <w:rPr>
                    <w:color w:val="231F20"/>
                    <w:spacing w:val="-20"/>
                    <w:sz w:val="16"/>
                    <w:u w:val="single" w:color="231F20"/>
                  </w:rPr>
                  <w:t> </w:t>
                </w:r>
                <w:r>
                  <w:rPr>
                    <w:color w:val="231F20"/>
                    <w:sz w:val="16"/>
                    <w:u w:val="single" w:color="231F20"/>
                  </w:rPr>
                  <w:t>Inflation Report:  February 1999</w:t>
                  <w:tab/>
                </w:r>
              </w:p>
            </w:txbxContent>
          </v:textbox>
          <w10:wrap type="none"/>
        </v:shape>
      </w:pict>
    </w: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8pt;margin-top:29.461094pt;width:519pt;height:10.9pt;mso-position-horizontal-relative:page;mso-position-vertical-relative:page;z-index:-21283328" type="#_x0000_t202" filled="false" stroked="false">
          <v:textbox inset="0,0,0,0">
            <w:txbxContent>
              <w:p>
                <w:pPr>
                  <w:tabs>
                    <w:tab w:pos="10359" w:val="left" w:leader="none"/>
                  </w:tabs>
                  <w:spacing w:before="13"/>
                  <w:ind w:left="20" w:right="0" w:firstLine="0"/>
                  <w:jc w:val="left"/>
                  <w:rPr>
                    <w:sz w:val="16"/>
                  </w:rPr>
                </w:pPr>
                <w:r>
                  <w:rPr>
                    <w:spacing w:val="-20"/>
                    <w:sz w:val="16"/>
                    <w:u w:val="single"/>
                  </w:rPr>
                  <w:t> </w:t>
                </w:r>
                <w:r>
                  <w:rPr>
                    <w:sz w:val="16"/>
                    <w:u w:val="single"/>
                  </w:rPr>
                  <w:t>Inflation Report:  February 1999</w:t>
                  <w:tab/>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281792" from="38.25pt,39pt" to="555.25pt,39pt" stroked="true" strokeweight=".125pt" strokecolor="#000000">
          <v:stroke dashstyle="solid"/>
          <w10:wrap type="none"/>
        </v:line>
      </w:pict>
    </w:r>
    <w:r>
      <w:rPr/>
      <w:pict>
        <v:shape style="position:absolute;margin-left:459.75pt;margin-top:29.461094pt;width:95.55pt;height:10.9pt;mso-position-horizontal-relative:page;mso-position-vertical-relative:page;z-index:-21281280" type="#_x0000_t202" filled="false" stroked="false">
          <v:textbox inset="0,0,0,0">
            <w:txbxContent>
              <w:p>
                <w:pPr>
                  <w:spacing w:before="13"/>
                  <w:ind w:left="20" w:right="0" w:firstLine="0"/>
                  <w:jc w:val="left"/>
                  <w:rPr>
                    <w:i/>
                    <w:sz w:val="16"/>
                  </w:rPr>
                </w:pPr>
                <w:r>
                  <w:rPr>
                    <w:i/>
                    <w:sz w:val="16"/>
                  </w:rPr>
                  <w:t>Money and financial markets</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8pt;margin-top:29.461094pt;width:519pt;height:10.9pt;mso-position-horizontal-relative:page;mso-position-vertical-relative:page;z-index:-21280768" type="#_x0000_t202" filled="false" stroked="false">
          <v:textbox inset="0,0,0,0">
            <w:txbxContent>
              <w:p>
                <w:pPr>
                  <w:tabs>
                    <w:tab w:pos="10359" w:val="left" w:leader="none"/>
                  </w:tabs>
                  <w:spacing w:before="13"/>
                  <w:ind w:left="20" w:right="0" w:firstLine="0"/>
                  <w:jc w:val="left"/>
                  <w:rPr>
                    <w:sz w:val="16"/>
                  </w:rPr>
                </w:pPr>
                <w:r>
                  <w:rPr>
                    <w:spacing w:val="-20"/>
                    <w:sz w:val="16"/>
                    <w:u w:val="single"/>
                  </w:rPr>
                  <w:t> </w:t>
                </w:r>
                <w:r>
                  <w:rPr>
                    <w:sz w:val="16"/>
                    <w:u w:val="single"/>
                  </w:rPr>
                  <w:t>Inflation Report:  February 1999</w:t>
                  <w:tab/>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59.75pt;margin-top:29.461094pt;width:95.55pt;height:10.9pt;mso-position-horizontal-relative:page;mso-position-vertical-relative:page;z-index:-21279232" type="#_x0000_t202" filled="false" stroked="false">
          <v:textbox inset="0,0,0,0">
            <w:txbxContent>
              <w:p>
                <w:pPr>
                  <w:spacing w:before="13"/>
                  <w:ind w:left="20" w:right="0" w:firstLine="0"/>
                  <w:jc w:val="left"/>
                  <w:rPr>
                    <w:i/>
                    <w:sz w:val="16"/>
                  </w:rPr>
                </w:pPr>
                <w:r>
                  <w:rPr>
                    <w:i/>
                    <w:sz w:val="16"/>
                  </w:rPr>
                  <w:t>Money and financial markets</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8pt;margin-top:29.461094pt;width:519pt;height:10.9pt;mso-position-horizontal-relative:page;mso-position-vertical-relative:page;z-index:-21278720" type="#_x0000_t202" filled="false" stroked="false">
          <v:textbox inset="0,0,0,0">
            <w:txbxContent>
              <w:p>
                <w:pPr>
                  <w:tabs>
                    <w:tab w:pos="10359" w:val="left" w:leader="none"/>
                  </w:tabs>
                  <w:spacing w:before="13"/>
                  <w:ind w:left="20" w:right="0" w:firstLine="0"/>
                  <w:jc w:val="left"/>
                  <w:rPr>
                    <w:sz w:val="16"/>
                  </w:rPr>
                </w:pPr>
                <w:r>
                  <w:rPr>
                    <w:spacing w:val="-20"/>
                    <w:sz w:val="16"/>
                    <w:u w:val="single"/>
                  </w:rPr>
                  <w:t> </w:t>
                </w:r>
                <w:r>
                  <w:rPr>
                    <w:sz w:val="16"/>
                    <w:u w:val="single"/>
                  </w:rPr>
                  <w:t>Inflation Report:  February 1999</w:t>
                  <w:tab/>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7">
    <w:multiLevelType w:val="hybridMultilevel"/>
    <w:lvl w:ilvl="0">
      <w:start w:val="9"/>
      <w:numFmt w:val="decimal"/>
      <w:lvlText w:val="%1"/>
      <w:lvlJc w:val="left"/>
      <w:pPr>
        <w:ind w:left="184" w:hanging="481"/>
        <w:jc w:val="left"/>
      </w:pPr>
      <w:rPr>
        <w:rFonts w:hint="default" w:ascii="Times New Roman" w:hAnsi="Times New Roman" w:eastAsia="Times New Roman" w:cs="Times New Roman"/>
        <w:color w:val="231F20"/>
        <w:spacing w:val="-5"/>
        <w:w w:val="100"/>
        <w:sz w:val="18"/>
        <w:szCs w:val="18"/>
        <w:lang w:val="en-US" w:eastAsia="en-US" w:bidi="ar-SA"/>
      </w:rPr>
    </w:lvl>
    <w:lvl w:ilvl="1">
      <w:start w:val="0"/>
      <w:numFmt w:val="bullet"/>
      <w:lvlText w:val="•"/>
      <w:lvlJc w:val="left"/>
      <w:pPr>
        <w:ind w:left="689" w:hanging="481"/>
      </w:pPr>
      <w:rPr>
        <w:rFonts w:hint="default"/>
        <w:lang w:val="en-US" w:eastAsia="en-US" w:bidi="ar-SA"/>
      </w:rPr>
    </w:lvl>
    <w:lvl w:ilvl="2">
      <w:start w:val="0"/>
      <w:numFmt w:val="bullet"/>
      <w:lvlText w:val="•"/>
      <w:lvlJc w:val="left"/>
      <w:pPr>
        <w:ind w:left="1199" w:hanging="481"/>
      </w:pPr>
      <w:rPr>
        <w:rFonts w:hint="default"/>
        <w:lang w:val="en-US" w:eastAsia="en-US" w:bidi="ar-SA"/>
      </w:rPr>
    </w:lvl>
    <w:lvl w:ilvl="3">
      <w:start w:val="0"/>
      <w:numFmt w:val="bullet"/>
      <w:lvlText w:val="•"/>
      <w:lvlJc w:val="left"/>
      <w:pPr>
        <w:ind w:left="1708" w:hanging="481"/>
      </w:pPr>
      <w:rPr>
        <w:rFonts w:hint="default"/>
        <w:lang w:val="en-US" w:eastAsia="en-US" w:bidi="ar-SA"/>
      </w:rPr>
    </w:lvl>
    <w:lvl w:ilvl="4">
      <w:start w:val="0"/>
      <w:numFmt w:val="bullet"/>
      <w:lvlText w:val="•"/>
      <w:lvlJc w:val="left"/>
      <w:pPr>
        <w:ind w:left="2218" w:hanging="481"/>
      </w:pPr>
      <w:rPr>
        <w:rFonts w:hint="default"/>
        <w:lang w:val="en-US" w:eastAsia="en-US" w:bidi="ar-SA"/>
      </w:rPr>
    </w:lvl>
    <w:lvl w:ilvl="5">
      <w:start w:val="0"/>
      <w:numFmt w:val="bullet"/>
      <w:lvlText w:val="•"/>
      <w:lvlJc w:val="left"/>
      <w:pPr>
        <w:ind w:left="2727" w:hanging="481"/>
      </w:pPr>
      <w:rPr>
        <w:rFonts w:hint="default"/>
        <w:lang w:val="en-US" w:eastAsia="en-US" w:bidi="ar-SA"/>
      </w:rPr>
    </w:lvl>
    <w:lvl w:ilvl="6">
      <w:start w:val="0"/>
      <w:numFmt w:val="bullet"/>
      <w:lvlText w:val="•"/>
      <w:lvlJc w:val="left"/>
      <w:pPr>
        <w:ind w:left="3237" w:hanging="481"/>
      </w:pPr>
      <w:rPr>
        <w:rFonts w:hint="default"/>
        <w:lang w:val="en-US" w:eastAsia="en-US" w:bidi="ar-SA"/>
      </w:rPr>
    </w:lvl>
    <w:lvl w:ilvl="7">
      <w:start w:val="0"/>
      <w:numFmt w:val="bullet"/>
      <w:lvlText w:val="•"/>
      <w:lvlJc w:val="left"/>
      <w:pPr>
        <w:ind w:left="3746" w:hanging="481"/>
      </w:pPr>
      <w:rPr>
        <w:rFonts w:hint="default"/>
        <w:lang w:val="en-US" w:eastAsia="en-US" w:bidi="ar-SA"/>
      </w:rPr>
    </w:lvl>
    <w:lvl w:ilvl="8">
      <w:start w:val="0"/>
      <w:numFmt w:val="bullet"/>
      <w:lvlText w:val="•"/>
      <w:lvlJc w:val="left"/>
      <w:pPr>
        <w:ind w:left="4256" w:hanging="481"/>
      </w:pPr>
      <w:rPr>
        <w:rFonts w:hint="default"/>
        <w:lang w:val="en-US" w:eastAsia="en-US" w:bidi="ar-SA"/>
      </w:rPr>
    </w:lvl>
  </w:abstractNum>
  <w:abstractNum w:abstractNumId="46">
    <w:multiLevelType w:val="hybridMultilevel"/>
    <w:lvl w:ilvl="0">
      <w:start w:val="1"/>
      <w:numFmt w:val="upperRoman"/>
      <w:lvlText w:val="%1"/>
      <w:lvlJc w:val="left"/>
      <w:pPr>
        <w:ind w:left="664" w:hanging="481"/>
        <w:jc w:val="left"/>
      </w:pPr>
      <w:rPr>
        <w:rFonts w:hint="default" w:ascii="Times New Roman" w:hAnsi="Times New Roman" w:eastAsia="Times New Roman" w:cs="Times New Roman"/>
        <w:b/>
        <w:bCs/>
        <w:color w:val="009483"/>
        <w:w w:val="100"/>
        <w:sz w:val="22"/>
        <w:szCs w:val="22"/>
        <w:lang w:val="en-US" w:eastAsia="en-US" w:bidi="ar-SA"/>
      </w:rPr>
    </w:lvl>
    <w:lvl w:ilvl="1">
      <w:start w:val="0"/>
      <w:numFmt w:val="bullet"/>
      <w:lvlText w:val="•"/>
      <w:lvlJc w:val="left"/>
      <w:pPr>
        <w:ind w:left="1106" w:hanging="481"/>
      </w:pPr>
      <w:rPr>
        <w:rFonts w:hint="default"/>
        <w:lang w:val="en-US" w:eastAsia="en-US" w:bidi="ar-SA"/>
      </w:rPr>
    </w:lvl>
    <w:lvl w:ilvl="2">
      <w:start w:val="0"/>
      <w:numFmt w:val="bullet"/>
      <w:lvlText w:val="•"/>
      <w:lvlJc w:val="left"/>
      <w:pPr>
        <w:ind w:left="1552" w:hanging="481"/>
      </w:pPr>
      <w:rPr>
        <w:rFonts w:hint="default"/>
        <w:lang w:val="en-US" w:eastAsia="en-US" w:bidi="ar-SA"/>
      </w:rPr>
    </w:lvl>
    <w:lvl w:ilvl="3">
      <w:start w:val="0"/>
      <w:numFmt w:val="bullet"/>
      <w:lvlText w:val="•"/>
      <w:lvlJc w:val="left"/>
      <w:pPr>
        <w:ind w:left="1998" w:hanging="481"/>
      </w:pPr>
      <w:rPr>
        <w:rFonts w:hint="default"/>
        <w:lang w:val="en-US" w:eastAsia="en-US" w:bidi="ar-SA"/>
      </w:rPr>
    </w:lvl>
    <w:lvl w:ilvl="4">
      <w:start w:val="0"/>
      <w:numFmt w:val="bullet"/>
      <w:lvlText w:val="•"/>
      <w:lvlJc w:val="left"/>
      <w:pPr>
        <w:ind w:left="2445" w:hanging="481"/>
      </w:pPr>
      <w:rPr>
        <w:rFonts w:hint="default"/>
        <w:lang w:val="en-US" w:eastAsia="en-US" w:bidi="ar-SA"/>
      </w:rPr>
    </w:lvl>
    <w:lvl w:ilvl="5">
      <w:start w:val="0"/>
      <w:numFmt w:val="bullet"/>
      <w:lvlText w:val="•"/>
      <w:lvlJc w:val="left"/>
      <w:pPr>
        <w:ind w:left="2891" w:hanging="481"/>
      </w:pPr>
      <w:rPr>
        <w:rFonts w:hint="default"/>
        <w:lang w:val="en-US" w:eastAsia="en-US" w:bidi="ar-SA"/>
      </w:rPr>
    </w:lvl>
    <w:lvl w:ilvl="6">
      <w:start w:val="0"/>
      <w:numFmt w:val="bullet"/>
      <w:lvlText w:val="•"/>
      <w:lvlJc w:val="left"/>
      <w:pPr>
        <w:ind w:left="3337" w:hanging="481"/>
      </w:pPr>
      <w:rPr>
        <w:rFonts w:hint="default"/>
        <w:lang w:val="en-US" w:eastAsia="en-US" w:bidi="ar-SA"/>
      </w:rPr>
    </w:lvl>
    <w:lvl w:ilvl="7">
      <w:start w:val="0"/>
      <w:numFmt w:val="bullet"/>
      <w:lvlText w:val="•"/>
      <w:lvlJc w:val="left"/>
      <w:pPr>
        <w:ind w:left="3784" w:hanging="481"/>
      </w:pPr>
      <w:rPr>
        <w:rFonts w:hint="default"/>
        <w:lang w:val="en-US" w:eastAsia="en-US" w:bidi="ar-SA"/>
      </w:rPr>
    </w:lvl>
    <w:lvl w:ilvl="8">
      <w:start w:val="0"/>
      <w:numFmt w:val="bullet"/>
      <w:lvlText w:val="•"/>
      <w:lvlJc w:val="left"/>
      <w:pPr>
        <w:ind w:left="4230" w:hanging="481"/>
      </w:pPr>
      <w:rPr>
        <w:rFonts w:hint="default"/>
        <w:lang w:val="en-US" w:eastAsia="en-US" w:bidi="ar-SA"/>
      </w:rPr>
    </w:lvl>
  </w:abstractNum>
  <w:abstractNum w:abstractNumId="45">
    <w:multiLevelType w:val="hybridMultilevel"/>
    <w:lvl w:ilvl="0">
      <w:start w:val="1"/>
      <w:numFmt w:val="decimal"/>
      <w:lvlText w:val="%1"/>
      <w:lvlJc w:val="left"/>
      <w:pPr>
        <w:ind w:left="184" w:hanging="481"/>
        <w:jc w:val="left"/>
      </w:pPr>
      <w:rPr>
        <w:rFonts w:hint="default" w:ascii="Times New Roman" w:hAnsi="Times New Roman" w:eastAsia="Times New Roman" w:cs="Times New Roman"/>
        <w:color w:val="231F20"/>
        <w:spacing w:val="-5"/>
        <w:w w:val="100"/>
        <w:sz w:val="18"/>
        <w:szCs w:val="18"/>
        <w:lang w:val="en-US" w:eastAsia="en-US" w:bidi="ar-SA"/>
      </w:rPr>
    </w:lvl>
    <w:lvl w:ilvl="1">
      <w:start w:val="0"/>
      <w:numFmt w:val="bullet"/>
      <w:lvlText w:val="•"/>
      <w:lvlJc w:val="left"/>
      <w:pPr>
        <w:ind w:left="674" w:hanging="481"/>
      </w:pPr>
      <w:rPr>
        <w:rFonts w:hint="default"/>
        <w:lang w:val="en-US" w:eastAsia="en-US" w:bidi="ar-SA"/>
      </w:rPr>
    </w:lvl>
    <w:lvl w:ilvl="2">
      <w:start w:val="0"/>
      <w:numFmt w:val="bullet"/>
      <w:lvlText w:val="•"/>
      <w:lvlJc w:val="left"/>
      <w:pPr>
        <w:ind w:left="1168" w:hanging="481"/>
      </w:pPr>
      <w:rPr>
        <w:rFonts w:hint="default"/>
        <w:lang w:val="en-US" w:eastAsia="en-US" w:bidi="ar-SA"/>
      </w:rPr>
    </w:lvl>
    <w:lvl w:ilvl="3">
      <w:start w:val="0"/>
      <w:numFmt w:val="bullet"/>
      <w:lvlText w:val="•"/>
      <w:lvlJc w:val="left"/>
      <w:pPr>
        <w:ind w:left="1662" w:hanging="481"/>
      </w:pPr>
      <w:rPr>
        <w:rFonts w:hint="default"/>
        <w:lang w:val="en-US" w:eastAsia="en-US" w:bidi="ar-SA"/>
      </w:rPr>
    </w:lvl>
    <w:lvl w:ilvl="4">
      <w:start w:val="0"/>
      <w:numFmt w:val="bullet"/>
      <w:lvlText w:val="•"/>
      <w:lvlJc w:val="left"/>
      <w:pPr>
        <w:ind w:left="2157" w:hanging="481"/>
      </w:pPr>
      <w:rPr>
        <w:rFonts w:hint="default"/>
        <w:lang w:val="en-US" w:eastAsia="en-US" w:bidi="ar-SA"/>
      </w:rPr>
    </w:lvl>
    <w:lvl w:ilvl="5">
      <w:start w:val="0"/>
      <w:numFmt w:val="bullet"/>
      <w:lvlText w:val="•"/>
      <w:lvlJc w:val="left"/>
      <w:pPr>
        <w:ind w:left="2651" w:hanging="481"/>
      </w:pPr>
      <w:rPr>
        <w:rFonts w:hint="default"/>
        <w:lang w:val="en-US" w:eastAsia="en-US" w:bidi="ar-SA"/>
      </w:rPr>
    </w:lvl>
    <w:lvl w:ilvl="6">
      <w:start w:val="0"/>
      <w:numFmt w:val="bullet"/>
      <w:lvlText w:val="•"/>
      <w:lvlJc w:val="left"/>
      <w:pPr>
        <w:ind w:left="3145" w:hanging="481"/>
      </w:pPr>
      <w:rPr>
        <w:rFonts w:hint="default"/>
        <w:lang w:val="en-US" w:eastAsia="en-US" w:bidi="ar-SA"/>
      </w:rPr>
    </w:lvl>
    <w:lvl w:ilvl="7">
      <w:start w:val="0"/>
      <w:numFmt w:val="bullet"/>
      <w:lvlText w:val="•"/>
      <w:lvlJc w:val="left"/>
      <w:pPr>
        <w:ind w:left="3640" w:hanging="481"/>
      </w:pPr>
      <w:rPr>
        <w:rFonts w:hint="default"/>
        <w:lang w:val="en-US" w:eastAsia="en-US" w:bidi="ar-SA"/>
      </w:rPr>
    </w:lvl>
    <w:lvl w:ilvl="8">
      <w:start w:val="0"/>
      <w:numFmt w:val="bullet"/>
      <w:lvlText w:val="•"/>
      <w:lvlJc w:val="left"/>
      <w:pPr>
        <w:ind w:left="4134" w:hanging="481"/>
      </w:pPr>
      <w:rPr>
        <w:rFonts w:hint="default"/>
        <w:lang w:val="en-US" w:eastAsia="en-US" w:bidi="ar-SA"/>
      </w:rPr>
    </w:lvl>
  </w:abstractNum>
  <w:abstractNum w:abstractNumId="44">
    <w:multiLevelType w:val="hybridMultilevel"/>
    <w:lvl w:ilvl="0">
      <w:start w:val="1"/>
      <w:numFmt w:val="decimal"/>
      <w:lvlText w:val="%1"/>
      <w:lvlJc w:val="left"/>
      <w:pPr>
        <w:ind w:left="145" w:hanging="481"/>
        <w:jc w:val="left"/>
      </w:pPr>
      <w:rPr>
        <w:rFonts w:hint="default" w:ascii="Times New Roman" w:hAnsi="Times New Roman" w:eastAsia="Times New Roman" w:cs="Times New Roman"/>
        <w:color w:val="231F20"/>
        <w:spacing w:val="-3"/>
        <w:w w:val="100"/>
        <w:sz w:val="18"/>
        <w:szCs w:val="18"/>
        <w:lang w:val="en-US" w:eastAsia="en-US" w:bidi="ar-SA"/>
      </w:rPr>
    </w:lvl>
    <w:lvl w:ilvl="1">
      <w:start w:val="0"/>
      <w:numFmt w:val="bullet"/>
      <w:lvlText w:val="•"/>
      <w:lvlJc w:val="left"/>
      <w:pPr>
        <w:ind w:left="634" w:hanging="481"/>
      </w:pPr>
      <w:rPr>
        <w:rFonts w:hint="default"/>
        <w:lang w:val="en-US" w:eastAsia="en-US" w:bidi="ar-SA"/>
      </w:rPr>
    </w:lvl>
    <w:lvl w:ilvl="2">
      <w:start w:val="0"/>
      <w:numFmt w:val="bullet"/>
      <w:lvlText w:val="•"/>
      <w:lvlJc w:val="left"/>
      <w:pPr>
        <w:ind w:left="1128" w:hanging="481"/>
      </w:pPr>
      <w:rPr>
        <w:rFonts w:hint="default"/>
        <w:lang w:val="en-US" w:eastAsia="en-US" w:bidi="ar-SA"/>
      </w:rPr>
    </w:lvl>
    <w:lvl w:ilvl="3">
      <w:start w:val="0"/>
      <w:numFmt w:val="bullet"/>
      <w:lvlText w:val="•"/>
      <w:lvlJc w:val="left"/>
      <w:pPr>
        <w:ind w:left="1623" w:hanging="481"/>
      </w:pPr>
      <w:rPr>
        <w:rFonts w:hint="default"/>
        <w:lang w:val="en-US" w:eastAsia="en-US" w:bidi="ar-SA"/>
      </w:rPr>
    </w:lvl>
    <w:lvl w:ilvl="4">
      <w:start w:val="0"/>
      <w:numFmt w:val="bullet"/>
      <w:lvlText w:val="•"/>
      <w:lvlJc w:val="left"/>
      <w:pPr>
        <w:ind w:left="2117" w:hanging="481"/>
      </w:pPr>
      <w:rPr>
        <w:rFonts w:hint="default"/>
        <w:lang w:val="en-US" w:eastAsia="en-US" w:bidi="ar-SA"/>
      </w:rPr>
    </w:lvl>
    <w:lvl w:ilvl="5">
      <w:start w:val="0"/>
      <w:numFmt w:val="bullet"/>
      <w:lvlText w:val="•"/>
      <w:lvlJc w:val="left"/>
      <w:pPr>
        <w:ind w:left="2612" w:hanging="481"/>
      </w:pPr>
      <w:rPr>
        <w:rFonts w:hint="default"/>
        <w:lang w:val="en-US" w:eastAsia="en-US" w:bidi="ar-SA"/>
      </w:rPr>
    </w:lvl>
    <w:lvl w:ilvl="6">
      <w:start w:val="0"/>
      <w:numFmt w:val="bullet"/>
      <w:lvlText w:val="•"/>
      <w:lvlJc w:val="left"/>
      <w:pPr>
        <w:ind w:left="3106" w:hanging="481"/>
      </w:pPr>
      <w:rPr>
        <w:rFonts w:hint="default"/>
        <w:lang w:val="en-US" w:eastAsia="en-US" w:bidi="ar-SA"/>
      </w:rPr>
    </w:lvl>
    <w:lvl w:ilvl="7">
      <w:start w:val="0"/>
      <w:numFmt w:val="bullet"/>
      <w:lvlText w:val="•"/>
      <w:lvlJc w:val="left"/>
      <w:pPr>
        <w:ind w:left="3600" w:hanging="481"/>
      </w:pPr>
      <w:rPr>
        <w:rFonts w:hint="default"/>
        <w:lang w:val="en-US" w:eastAsia="en-US" w:bidi="ar-SA"/>
      </w:rPr>
    </w:lvl>
    <w:lvl w:ilvl="8">
      <w:start w:val="0"/>
      <w:numFmt w:val="bullet"/>
      <w:lvlText w:val="•"/>
      <w:lvlJc w:val="left"/>
      <w:pPr>
        <w:ind w:left="4095" w:hanging="481"/>
      </w:pPr>
      <w:rPr>
        <w:rFonts w:hint="default"/>
        <w:lang w:val="en-US" w:eastAsia="en-US" w:bidi="ar-SA"/>
      </w:rPr>
    </w:lvl>
  </w:abstractNum>
  <w:abstractNum w:abstractNumId="43">
    <w:multiLevelType w:val="hybridMultilevel"/>
    <w:lvl w:ilvl="0">
      <w:start w:val="1"/>
      <w:numFmt w:val="upperRoman"/>
      <w:lvlText w:val="%1"/>
      <w:lvlJc w:val="left"/>
      <w:pPr>
        <w:ind w:left="654" w:hanging="481"/>
        <w:jc w:val="left"/>
      </w:pPr>
      <w:rPr>
        <w:rFonts w:hint="default" w:ascii="Times New Roman" w:hAnsi="Times New Roman" w:eastAsia="Times New Roman" w:cs="Times New Roman"/>
        <w:b/>
        <w:bCs/>
        <w:color w:val="009483"/>
        <w:w w:val="100"/>
        <w:sz w:val="22"/>
        <w:szCs w:val="22"/>
        <w:lang w:val="en-US" w:eastAsia="en-US" w:bidi="ar-SA"/>
      </w:rPr>
    </w:lvl>
    <w:lvl w:ilvl="1">
      <w:start w:val="0"/>
      <w:numFmt w:val="bullet"/>
      <w:lvlText w:val="•"/>
      <w:lvlJc w:val="left"/>
      <w:pPr>
        <w:ind w:left="1105" w:hanging="481"/>
      </w:pPr>
      <w:rPr>
        <w:rFonts w:hint="default"/>
        <w:lang w:val="en-US" w:eastAsia="en-US" w:bidi="ar-SA"/>
      </w:rPr>
    </w:lvl>
    <w:lvl w:ilvl="2">
      <w:start w:val="0"/>
      <w:numFmt w:val="bullet"/>
      <w:lvlText w:val="•"/>
      <w:lvlJc w:val="left"/>
      <w:pPr>
        <w:ind w:left="1551" w:hanging="481"/>
      </w:pPr>
      <w:rPr>
        <w:rFonts w:hint="default"/>
        <w:lang w:val="en-US" w:eastAsia="en-US" w:bidi="ar-SA"/>
      </w:rPr>
    </w:lvl>
    <w:lvl w:ilvl="3">
      <w:start w:val="0"/>
      <w:numFmt w:val="bullet"/>
      <w:lvlText w:val="•"/>
      <w:lvlJc w:val="left"/>
      <w:pPr>
        <w:ind w:left="1997" w:hanging="481"/>
      </w:pPr>
      <w:rPr>
        <w:rFonts w:hint="default"/>
        <w:lang w:val="en-US" w:eastAsia="en-US" w:bidi="ar-SA"/>
      </w:rPr>
    </w:lvl>
    <w:lvl w:ilvl="4">
      <w:start w:val="0"/>
      <w:numFmt w:val="bullet"/>
      <w:lvlText w:val="•"/>
      <w:lvlJc w:val="left"/>
      <w:pPr>
        <w:ind w:left="2443" w:hanging="481"/>
      </w:pPr>
      <w:rPr>
        <w:rFonts w:hint="default"/>
        <w:lang w:val="en-US" w:eastAsia="en-US" w:bidi="ar-SA"/>
      </w:rPr>
    </w:lvl>
    <w:lvl w:ilvl="5">
      <w:start w:val="0"/>
      <w:numFmt w:val="bullet"/>
      <w:lvlText w:val="•"/>
      <w:lvlJc w:val="left"/>
      <w:pPr>
        <w:ind w:left="2889" w:hanging="481"/>
      </w:pPr>
      <w:rPr>
        <w:rFonts w:hint="default"/>
        <w:lang w:val="en-US" w:eastAsia="en-US" w:bidi="ar-SA"/>
      </w:rPr>
    </w:lvl>
    <w:lvl w:ilvl="6">
      <w:start w:val="0"/>
      <w:numFmt w:val="bullet"/>
      <w:lvlText w:val="•"/>
      <w:lvlJc w:val="left"/>
      <w:pPr>
        <w:ind w:left="3334" w:hanging="481"/>
      </w:pPr>
      <w:rPr>
        <w:rFonts w:hint="default"/>
        <w:lang w:val="en-US" w:eastAsia="en-US" w:bidi="ar-SA"/>
      </w:rPr>
    </w:lvl>
    <w:lvl w:ilvl="7">
      <w:start w:val="0"/>
      <w:numFmt w:val="bullet"/>
      <w:lvlText w:val="•"/>
      <w:lvlJc w:val="left"/>
      <w:pPr>
        <w:ind w:left="3780" w:hanging="481"/>
      </w:pPr>
      <w:rPr>
        <w:rFonts w:hint="default"/>
        <w:lang w:val="en-US" w:eastAsia="en-US" w:bidi="ar-SA"/>
      </w:rPr>
    </w:lvl>
    <w:lvl w:ilvl="8">
      <w:start w:val="0"/>
      <w:numFmt w:val="bullet"/>
      <w:lvlText w:val="•"/>
      <w:lvlJc w:val="left"/>
      <w:pPr>
        <w:ind w:left="4226" w:hanging="481"/>
      </w:pPr>
      <w:rPr>
        <w:rFonts w:hint="default"/>
        <w:lang w:val="en-US" w:eastAsia="en-US" w:bidi="ar-SA"/>
      </w:rPr>
    </w:lvl>
  </w:abstractNum>
  <w:abstractNum w:abstractNumId="42">
    <w:multiLevelType w:val="hybridMultilevel"/>
    <w:lvl w:ilvl="0">
      <w:start w:val="1"/>
      <w:numFmt w:val="decimal"/>
      <w:lvlText w:val="%1"/>
      <w:lvlJc w:val="left"/>
      <w:pPr>
        <w:ind w:left="174" w:hanging="481"/>
        <w:jc w:val="left"/>
      </w:pPr>
      <w:rPr>
        <w:rFonts w:hint="default" w:ascii="Times New Roman" w:hAnsi="Times New Roman" w:eastAsia="Times New Roman" w:cs="Times New Roman"/>
        <w:color w:val="231F20"/>
        <w:spacing w:val="-4"/>
        <w:w w:val="100"/>
        <w:sz w:val="18"/>
        <w:szCs w:val="18"/>
        <w:lang w:val="en-US" w:eastAsia="en-US" w:bidi="ar-SA"/>
      </w:rPr>
    </w:lvl>
    <w:lvl w:ilvl="1">
      <w:start w:val="0"/>
      <w:numFmt w:val="bullet"/>
      <w:lvlText w:val="•"/>
      <w:lvlJc w:val="left"/>
      <w:pPr>
        <w:ind w:left="673" w:hanging="481"/>
      </w:pPr>
      <w:rPr>
        <w:rFonts w:hint="default"/>
        <w:lang w:val="en-US" w:eastAsia="en-US" w:bidi="ar-SA"/>
      </w:rPr>
    </w:lvl>
    <w:lvl w:ilvl="2">
      <w:start w:val="0"/>
      <w:numFmt w:val="bullet"/>
      <w:lvlText w:val="•"/>
      <w:lvlJc w:val="left"/>
      <w:pPr>
        <w:ind w:left="1167" w:hanging="481"/>
      </w:pPr>
      <w:rPr>
        <w:rFonts w:hint="default"/>
        <w:lang w:val="en-US" w:eastAsia="en-US" w:bidi="ar-SA"/>
      </w:rPr>
    </w:lvl>
    <w:lvl w:ilvl="3">
      <w:start w:val="0"/>
      <w:numFmt w:val="bullet"/>
      <w:lvlText w:val="•"/>
      <w:lvlJc w:val="left"/>
      <w:pPr>
        <w:ind w:left="1661" w:hanging="481"/>
      </w:pPr>
      <w:rPr>
        <w:rFonts w:hint="default"/>
        <w:lang w:val="en-US" w:eastAsia="en-US" w:bidi="ar-SA"/>
      </w:rPr>
    </w:lvl>
    <w:lvl w:ilvl="4">
      <w:start w:val="0"/>
      <w:numFmt w:val="bullet"/>
      <w:lvlText w:val="•"/>
      <w:lvlJc w:val="left"/>
      <w:pPr>
        <w:ind w:left="2155" w:hanging="481"/>
      </w:pPr>
      <w:rPr>
        <w:rFonts w:hint="default"/>
        <w:lang w:val="en-US" w:eastAsia="en-US" w:bidi="ar-SA"/>
      </w:rPr>
    </w:lvl>
    <w:lvl w:ilvl="5">
      <w:start w:val="0"/>
      <w:numFmt w:val="bullet"/>
      <w:lvlText w:val="•"/>
      <w:lvlJc w:val="left"/>
      <w:pPr>
        <w:ind w:left="2649" w:hanging="481"/>
      </w:pPr>
      <w:rPr>
        <w:rFonts w:hint="default"/>
        <w:lang w:val="en-US" w:eastAsia="en-US" w:bidi="ar-SA"/>
      </w:rPr>
    </w:lvl>
    <w:lvl w:ilvl="6">
      <w:start w:val="0"/>
      <w:numFmt w:val="bullet"/>
      <w:lvlText w:val="•"/>
      <w:lvlJc w:val="left"/>
      <w:pPr>
        <w:ind w:left="3142" w:hanging="481"/>
      </w:pPr>
      <w:rPr>
        <w:rFonts w:hint="default"/>
        <w:lang w:val="en-US" w:eastAsia="en-US" w:bidi="ar-SA"/>
      </w:rPr>
    </w:lvl>
    <w:lvl w:ilvl="7">
      <w:start w:val="0"/>
      <w:numFmt w:val="bullet"/>
      <w:lvlText w:val="•"/>
      <w:lvlJc w:val="left"/>
      <w:pPr>
        <w:ind w:left="3636" w:hanging="481"/>
      </w:pPr>
      <w:rPr>
        <w:rFonts w:hint="default"/>
        <w:lang w:val="en-US" w:eastAsia="en-US" w:bidi="ar-SA"/>
      </w:rPr>
    </w:lvl>
    <w:lvl w:ilvl="8">
      <w:start w:val="0"/>
      <w:numFmt w:val="bullet"/>
      <w:lvlText w:val="•"/>
      <w:lvlJc w:val="left"/>
      <w:pPr>
        <w:ind w:left="4130" w:hanging="481"/>
      </w:pPr>
      <w:rPr>
        <w:rFonts w:hint="default"/>
        <w:lang w:val="en-US" w:eastAsia="en-US" w:bidi="ar-SA"/>
      </w:rPr>
    </w:lvl>
  </w:abstractNum>
  <w:abstractNum w:abstractNumId="41">
    <w:multiLevelType w:val="hybridMultilevel"/>
    <w:lvl w:ilvl="0">
      <w:start w:val="44"/>
      <w:numFmt w:val="decimal"/>
      <w:lvlText w:val="%1"/>
      <w:lvlJc w:val="left"/>
      <w:pPr>
        <w:ind w:left="160" w:hanging="481"/>
        <w:jc w:val="left"/>
      </w:pPr>
      <w:rPr>
        <w:rFonts w:hint="default" w:ascii="Times New Roman" w:hAnsi="Times New Roman" w:eastAsia="Times New Roman" w:cs="Times New Roman"/>
        <w:color w:val="231F20"/>
        <w:spacing w:val="-3"/>
        <w:w w:val="100"/>
        <w:sz w:val="18"/>
        <w:szCs w:val="18"/>
        <w:lang w:val="en-US" w:eastAsia="en-US" w:bidi="ar-SA"/>
      </w:rPr>
    </w:lvl>
    <w:lvl w:ilvl="1">
      <w:start w:val="0"/>
      <w:numFmt w:val="bullet"/>
      <w:lvlText w:val="•"/>
      <w:lvlJc w:val="left"/>
      <w:pPr>
        <w:ind w:left="671" w:hanging="481"/>
      </w:pPr>
      <w:rPr>
        <w:rFonts w:hint="default"/>
        <w:lang w:val="en-US" w:eastAsia="en-US" w:bidi="ar-SA"/>
      </w:rPr>
    </w:lvl>
    <w:lvl w:ilvl="2">
      <w:start w:val="0"/>
      <w:numFmt w:val="bullet"/>
      <w:lvlText w:val="•"/>
      <w:lvlJc w:val="left"/>
      <w:pPr>
        <w:ind w:left="1183" w:hanging="481"/>
      </w:pPr>
      <w:rPr>
        <w:rFonts w:hint="default"/>
        <w:lang w:val="en-US" w:eastAsia="en-US" w:bidi="ar-SA"/>
      </w:rPr>
    </w:lvl>
    <w:lvl w:ilvl="3">
      <w:start w:val="0"/>
      <w:numFmt w:val="bullet"/>
      <w:lvlText w:val="•"/>
      <w:lvlJc w:val="left"/>
      <w:pPr>
        <w:ind w:left="1694" w:hanging="481"/>
      </w:pPr>
      <w:rPr>
        <w:rFonts w:hint="default"/>
        <w:lang w:val="en-US" w:eastAsia="en-US" w:bidi="ar-SA"/>
      </w:rPr>
    </w:lvl>
    <w:lvl w:ilvl="4">
      <w:start w:val="0"/>
      <w:numFmt w:val="bullet"/>
      <w:lvlText w:val="•"/>
      <w:lvlJc w:val="left"/>
      <w:pPr>
        <w:ind w:left="2206" w:hanging="481"/>
      </w:pPr>
      <w:rPr>
        <w:rFonts w:hint="default"/>
        <w:lang w:val="en-US" w:eastAsia="en-US" w:bidi="ar-SA"/>
      </w:rPr>
    </w:lvl>
    <w:lvl w:ilvl="5">
      <w:start w:val="0"/>
      <w:numFmt w:val="bullet"/>
      <w:lvlText w:val="•"/>
      <w:lvlJc w:val="left"/>
      <w:pPr>
        <w:ind w:left="2717" w:hanging="481"/>
      </w:pPr>
      <w:rPr>
        <w:rFonts w:hint="default"/>
        <w:lang w:val="en-US" w:eastAsia="en-US" w:bidi="ar-SA"/>
      </w:rPr>
    </w:lvl>
    <w:lvl w:ilvl="6">
      <w:start w:val="0"/>
      <w:numFmt w:val="bullet"/>
      <w:lvlText w:val="•"/>
      <w:lvlJc w:val="left"/>
      <w:pPr>
        <w:ind w:left="3229" w:hanging="481"/>
      </w:pPr>
      <w:rPr>
        <w:rFonts w:hint="default"/>
        <w:lang w:val="en-US" w:eastAsia="en-US" w:bidi="ar-SA"/>
      </w:rPr>
    </w:lvl>
    <w:lvl w:ilvl="7">
      <w:start w:val="0"/>
      <w:numFmt w:val="bullet"/>
      <w:lvlText w:val="•"/>
      <w:lvlJc w:val="left"/>
      <w:pPr>
        <w:ind w:left="3740" w:hanging="481"/>
      </w:pPr>
      <w:rPr>
        <w:rFonts w:hint="default"/>
        <w:lang w:val="en-US" w:eastAsia="en-US" w:bidi="ar-SA"/>
      </w:rPr>
    </w:lvl>
    <w:lvl w:ilvl="8">
      <w:start w:val="0"/>
      <w:numFmt w:val="bullet"/>
      <w:lvlText w:val="•"/>
      <w:lvlJc w:val="left"/>
      <w:pPr>
        <w:ind w:left="4252" w:hanging="481"/>
      </w:pPr>
      <w:rPr>
        <w:rFonts w:hint="default"/>
        <w:lang w:val="en-US" w:eastAsia="en-US" w:bidi="ar-SA"/>
      </w:rPr>
    </w:lvl>
  </w:abstractNum>
  <w:abstractNum w:abstractNumId="40">
    <w:multiLevelType w:val="hybridMultilevel"/>
    <w:lvl w:ilvl="0">
      <w:start w:val="1"/>
      <w:numFmt w:val="decimal"/>
      <w:lvlText w:val="%1"/>
      <w:lvlJc w:val="left"/>
      <w:pPr>
        <w:ind w:left="160" w:hanging="481"/>
        <w:jc w:val="left"/>
      </w:pPr>
      <w:rPr>
        <w:rFonts w:hint="default" w:ascii="Times New Roman" w:hAnsi="Times New Roman" w:eastAsia="Times New Roman" w:cs="Times New Roman"/>
        <w:color w:val="231F20"/>
        <w:spacing w:val="-4"/>
        <w:w w:val="100"/>
        <w:sz w:val="18"/>
        <w:szCs w:val="18"/>
        <w:lang w:val="en-US" w:eastAsia="en-US" w:bidi="ar-SA"/>
      </w:rPr>
    </w:lvl>
    <w:lvl w:ilvl="1">
      <w:start w:val="0"/>
      <w:numFmt w:val="bullet"/>
      <w:lvlText w:val="•"/>
      <w:lvlJc w:val="left"/>
      <w:pPr>
        <w:ind w:left="653" w:hanging="481"/>
      </w:pPr>
      <w:rPr>
        <w:rFonts w:hint="default"/>
        <w:lang w:val="en-US" w:eastAsia="en-US" w:bidi="ar-SA"/>
      </w:rPr>
    </w:lvl>
    <w:lvl w:ilvl="2">
      <w:start w:val="0"/>
      <w:numFmt w:val="bullet"/>
      <w:lvlText w:val="•"/>
      <w:lvlJc w:val="left"/>
      <w:pPr>
        <w:ind w:left="1147" w:hanging="481"/>
      </w:pPr>
      <w:rPr>
        <w:rFonts w:hint="default"/>
        <w:lang w:val="en-US" w:eastAsia="en-US" w:bidi="ar-SA"/>
      </w:rPr>
    </w:lvl>
    <w:lvl w:ilvl="3">
      <w:start w:val="0"/>
      <w:numFmt w:val="bullet"/>
      <w:lvlText w:val="•"/>
      <w:lvlJc w:val="left"/>
      <w:pPr>
        <w:ind w:left="1641" w:hanging="481"/>
      </w:pPr>
      <w:rPr>
        <w:rFonts w:hint="default"/>
        <w:lang w:val="en-US" w:eastAsia="en-US" w:bidi="ar-SA"/>
      </w:rPr>
    </w:lvl>
    <w:lvl w:ilvl="4">
      <w:start w:val="0"/>
      <w:numFmt w:val="bullet"/>
      <w:lvlText w:val="•"/>
      <w:lvlJc w:val="left"/>
      <w:pPr>
        <w:ind w:left="2135" w:hanging="481"/>
      </w:pPr>
      <w:rPr>
        <w:rFonts w:hint="default"/>
        <w:lang w:val="en-US" w:eastAsia="en-US" w:bidi="ar-SA"/>
      </w:rPr>
    </w:lvl>
    <w:lvl w:ilvl="5">
      <w:start w:val="0"/>
      <w:numFmt w:val="bullet"/>
      <w:lvlText w:val="•"/>
      <w:lvlJc w:val="left"/>
      <w:pPr>
        <w:ind w:left="2629" w:hanging="481"/>
      </w:pPr>
      <w:rPr>
        <w:rFonts w:hint="default"/>
        <w:lang w:val="en-US" w:eastAsia="en-US" w:bidi="ar-SA"/>
      </w:rPr>
    </w:lvl>
    <w:lvl w:ilvl="6">
      <w:start w:val="0"/>
      <w:numFmt w:val="bullet"/>
      <w:lvlText w:val="•"/>
      <w:lvlJc w:val="left"/>
      <w:pPr>
        <w:ind w:left="3123" w:hanging="481"/>
      </w:pPr>
      <w:rPr>
        <w:rFonts w:hint="default"/>
        <w:lang w:val="en-US" w:eastAsia="en-US" w:bidi="ar-SA"/>
      </w:rPr>
    </w:lvl>
    <w:lvl w:ilvl="7">
      <w:start w:val="0"/>
      <w:numFmt w:val="bullet"/>
      <w:lvlText w:val="•"/>
      <w:lvlJc w:val="left"/>
      <w:pPr>
        <w:ind w:left="3617" w:hanging="481"/>
      </w:pPr>
      <w:rPr>
        <w:rFonts w:hint="default"/>
        <w:lang w:val="en-US" w:eastAsia="en-US" w:bidi="ar-SA"/>
      </w:rPr>
    </w:lvl>
    <w:lvl w:ilvl="8">
      <w:start w:val="0"/>
      <w:numFmt w:val="bullet"/>
      <w:lvlText w:val="•"/>
      <w:lvlJc w:val="left"/>
      <w:pPr>
        <w:ind w:left="4111" w:hanging="481"/>
      </w:pPr>
      <w:rPr>
        <w:rFonts w:hint="default"/>
        <w:lang w:val="en-US" w:eastAsia="en-US" w:bidi="ar-SA"/>
      </w:rPr>
    </w:lvl>
  </w:abstractNum>
  <w:abstractNum w:abstractNumId="39">
    <w:multiLevelType w:val="hybridMultilevel"/>
    <w:lvl w:ilvl="0">
      <w:start w:val="24"/>
      <w:numFmt w:val="decimal"/>
      <w:lvlText w:val="%1"/>
      <w:lvlJc w:val="left"/>
      <w:pPr>
        <w:ind w:left="165" w:hanging="481"/>
        <w:jc w:val="left"/>
      </w:pPr>
      <w:rPr>
        <w:rFonts w:hint="default" w:ascii="Times New Roman" w:hAnsi="Times New Roman" w:eastAsia="Times New Roman" w:cs="Times New Roman"/>
        <w:color w:val="231F20"/>
        <w:spacing w:val="-5"/>
        <w:w w:val="100"/>
        <w:sz w:val="18"/>
        <w:szCs w:val="18"/>
        <w:lang w:val="en-US" w:eastAsia="en-US" w:bidi="ar-SA"/>
      </w:rPr>
    </w:lvl>
    <w:lvl w:ilvl="1">
      <w:start w:val="0"/>
      <w:numFmt w:val="bullet"/>
      <w:lvlText w:val="•"/>
      <w:lvlJc w:val="left"/>
      <w:pPr>
        <w:ind w:left="672" w:hanging="481"/>
      </w:pPr>
      <w:rPr>
        <w:rFonts w:hint="default"/>
        <w:lang w:val="en-US" w:eastAsia="en-US" w:bidi="ar-SA"/>
      </w:rPr>
    </w:lvl>
    <w:lvl w:ilvl="2">
      <w:start w:val="0"/>
      <w:numFmt w:val="bullet"/>
      <w:lvlText w:val="•"/>
      <w:lvlJc w:val="left"/>
      <w:pPr>
        <w:ind w:left="1184" w:hanging="481"/>
      </w:pPr>
      <w:rPr>
        <w:rFonts w:hint="default"/>
        <w:lang w:val="en-US" w:eastAsia="en-US" w:bidi="ar-SA"/>
      </w:rPr>
    </w:lvl>
    <w:lvl w:ilvl="3">
      <w:start w:val="0"/>
      <w:numFmt w:val="bullet"/>
      <w:lvlText w:val="•"/>
      <w:lvlJc w:val="left"/>
      <w:pPr>
        <w:ind w:left="1696" w:hanging="481"/>
      </w:pPr>
      <w:rPr>
        <w:rFonts w:hint="default"/>
        <w:lang w:val="en-US" w:eastAsia="en-US" w:bidi="ar-SA"/>
      </w:rPr>
    </w:lvl>
    <w:lvl w:ilvl="4">
      <w:start w:val="0"/>
      <w:numFmt w:val="bullet"/>
      <w:lvlText w:val="•"/>
      <w:lvlJc w:val="left"/>
      <w:pPr>
        <w:ind w:left="2208" w:hanging="481"/>
      </w:pPr>
      <w:rPr>
        <w:rFonts w:hint="default"/>
        <w:lang w:val="en-US" w:eastAsia="en-US" w:bidi="ar-SA"/>
      </w:rPr>
    </w:lvl>
    <w:lvl w:ilvl="5">
      <w:start w:val="0"/>
      <w:numFmt w:val="bullet"/>
      <w:lvlText w:val="•"/>
      <w:lvlJc w:val="left"/>
      <w:pPr>
        <w:ind w:left="2720" w:hanging="481"/>
      </w:pPr>
      <w:rPr>
        <w:rFonts w:hint="default"/>
        <w:lang w:val="en-US" w:eastAsia="en-US" w:bidi="ar-SA"/>
      </w:rPr>
    </w:lvl>
    <w:lvl w:ilvl="6">
      <w:start w:val="0"/>
      <w:numFmt w:val="bullet"/>
      <w:lvlText w:val="•"/>
      <w:lvlJc w:val="left"/>
      <w:pPr>
        <w:ind w:left="3232" w:hanging="481"/>
      </w:pPr>
      <w:rPr>
        <w:rFonts w:hint="default"/>
        <w:lang w:val="en-US" w:eastAsia="en-US" w:bidi="ar-SA"/>
      </w:rPr>
    </w:lvl>
    <w:lvl w:ilvl="7">
      <w:start w:val="0"/>
      <w:numFmt w:val="bullet"/>
      <w:lvlText w:val="•"/>
      <w:lvlJc w:val="left"/>
      <w:pPr>
        <w:ind w:left="3744" w:hanging="481"/>
      </w:pPr>
      <w:rPr>
        <w:rFonts w:hint="default"/>
        <w:lang w:val="en-US" w:eastAsia="en-US" w:bidi="ar-SA"/>
      </w:rPr>
    </w:lvl>
    <w:lvl w:ilvl="8">
      <w:start w:val="0"/>
      <w:numFmt w:val="bullet"/>
      <w:lvlText w:val="•"/>
      <w:lvlJc w:val="left"/>
      <w:pPr>
        <w:ind w:left="4256" w:hanging="481"/>
      </w:pPr>
      <w:rPr>
        <w:rFonts w:hint="default"/>
        <w:lang w:val="en-US" w:eastAsia="en-US" w:bidi="ar-SA"/>
      </w:rPr>
    </w:lvl>
  </w:abstractNum>
  <w:abstractNum w:abstractNumId="38">
    <w:multiLevelType w:val="hybridMultilevel"/>
    <w:lvl w:ilvl="0">
      <w:start w:val="1"/>
      <w:numFmt w:val="upperRoman"/>
      <w:lvlText w:val="%1"/>
      <w:lvlJc w:val="left"/>
      <w:pPr>
        <w:ind w:left="650" w:hanging="481"/>
        <w:jc w:val="left"/>
      </w:pPr>
      <w:rPr>
        <w:rFonts w:hint="default" w:ascii="Times New Roman" w:hAnsi="Times New Roman" w:eastAsia="Times New Roman" w:cs="Times New Roman"/>
        <w:b/>
        <w:bCs/>
        <w:color w:val="009483"/>
        <w:spacing w:val="-3"/>
        <w:w w:val="100"/>
        <w:sz w:val="22"/>
        <w:szCs w:val="22"/>
        <w:lang w:val="en-US" w:eastAsia="en-US" w:bidi="ar-SA"/>
      </w:rPr>
    </w:lvl>
    <w:lvl w:ilvl="1">
      <w:start w:val="0"/>
      <w:numFmt w:val="bullet"/>
      <w:lvlText w:val="•"/>
      <w:lvlJc w:val="left"/>
      <w:pPr>
        <w:ind w:left="1103" w:hanging="481"/>
      </w:pPr>
      <w:rPr>
        <w:rFonts w:hint="default"/>
        <w:lang w:val="en-US" w:eastAsia="en-US" w:bidi="ar-SA"/>
      </w:rPr>
    </w:lvl>
    <w:lvl w:ilvl="2">
      <w:start w:val="0"/>
      <w:numFmt w:val="bullet"/>
      <w:lvlText w:val="•"/>
      <w:lvlJc w:val="left"/>
      <w:pPr>
        <w:ind w:left="1547" w:hanging="481"/>
      </w:pPr>
      <w:rPr>
        <w:rFonts w:hint="default"/>
        <w:lang w:val="en-US" w:eastAsia="en-US" w:bidi="ar-SA"/>
      </w:rPr>
    </w:lvl>
    <w:lvl w:ilvl="3">
      <w:start w:val="0"/>
      <w:numFmt w:val="bullet"/>
      <w:lvlText w:val="•"/>
      <w:lvlJc w:val="left"/>
      <w:pPr>
        <w:ind w:left="1991" w:hanging="481"/>
      </w:pPr>
      <w:rPr>
        <w:rFonts w:hint="default"/>
        <w:lang w:val="en-US" w:eastAsia="en-US" w:bidi="ar-SA"/>
      </w:rPr>
    </w:lvl>
    <w:lvl w:ilvl="4">
      <w:start w:val="0"/>
      <w:numFmt w:val="bullet"/>
      <w:lvlText w:val="•"/>
      <w:lvlJc w:val="left"/>
      <w:pPr>
        <w:ind w:left="2435" w:hanging="481"/>
      </w:pPr>
      <w:rPr>
        <w:rFonts w:hint="default"/>
        <w:lang w:val="en-US" w:eastAsia="en-US" w:bidi="ar-SA"/>
      </w:rPr>
    </w:lvl>
    <w:lvl w:ilvl="5">
      <w:start w:val="0"/>
      <w:numFmt w:val="bullet"/>
      <w:lvlText w:val="•"/>
      <w:lvlJc w:val="left"/>
      <w:pPr>
        <w:ind w:left="2879" w:hanging="481"/>
      </w:pPr>
      <w:rPr>
        <w:rFonts w:hint="default"/>
        <w:lang w:val="en-US" w:eastAsia="en-US" w:bidi="ar-SA"/>
      </w:rPr>
    </w:lvl>
    <w:lvl w:ilvl="6">
      <w:start w:val="0"/>
      <w:numFmt w:val="bullet"/>
      <w:lvlText w:val="•"/>
      <w:lvlJc w:val="left"/>
      <w:pPr>
        <w:ind w:left="3323" w:hanging="481"/>
      </w:pPr>
      <w:rPr>
        <w:rFonts w:hint="default"/>
        <w:lang w:val="en-US" w:eastAsia="en-US" w:bidi="ar-SA"/>
      </w:rPr>
    </w:lvl>
    <w:lvl w:ilvl="7">
      <w:start w:val="0"/>
      <w:numFmt w:val="bullet"/>
      <w:lvlText w:val="•"/>
      <w:lvlJc w:val="left"/>
      <w:pPr>
        <w:ind w:left="3766" w:hanging="481"/>
      </w:pPr>
      <w:rPr>
        <w:rFonts w:hint="default"/>
        <w:lang w:val="en-US" w:eastAsia="en-US" w:bidi="ar-SA"/>
      </w:rPr>
    </w:lvl>
    <w:lvl w:ilvl="8">
      <w:start w:val="0"/>
      <w:numFmt w:val="bullet"/>
      <w:lvlText w:val="•"/>
      <w:lvlJc w:val="left"/>
      <w:pPr>
        <w:ind w:left="4210" w:hanging="481"/>
      </w:pPr>
      <w:rPr>
        <w:rFonts w:hint="default"/>
        <w:lang w:val="en-US" w:eastAsia="en-US" w:bidi="ar-SA"/>
      </w:rPr>
    </w:lvl>
  </w:abstractNum>
  <w:abstractNum w:abstractNumId="37">
    <w:multiLevelType w:val="hybridMultilevel"/>
    <w:lvl w:ilvl="0">
      <w:start w:val="1"/>
      <w:numFmt w:val="decimal"/>
      <w:lvlText w:val="%1"/>
      <w:lvlJc w:val="left"/>
      <w:pPr>
        <w:ind w:left="170" w:hanging="481"/>
        <w:jc w:val="left"/>
      </w:pPr>
      <w:rPr>
        <w:rFonts w:hint="default" w:ascii="Times New Roman" w:hAnsi="Times New Roman" w:eastAsia="Times New Roman" w:cs="Times New Roman"/>
        <w:color w:val="231F20"/>
        <w:spacing w:val="-4"/>
        <w:w w:val="100"/>
        <w:sz w:val="18"/>
        <w:szCs w:val="18"/>
        <w:lang w:val="en-US" w:eastAsia="en-US" w:bidi="ar-SA"/>
      </w:rPr>
    </w:lvl>
    <w:lvl w:ilvl="1">
      <w:start w:val="0"/>
      <w:numFmt w:val="bullet"/>
      <w:lvlText w:val="•"/>
      <w:lvlJc w:val="left"/>
      <w:pPr>
        <w:ind w:left="671" w:hanging="481"/>
      </w:pPr>
      <w:rPr>
        <w:rFonts w:hint="default"/>
        <w:lang w:val="en-US" w:eastAsia="en-US" w:bidi="ar-SA"/>
      </w:rPr>
    </w:lvl>
    <w:lvl w:ilvl="2">
      <w:start w:val="0"/>
      <w:numFmt w:val="bullet"/>
      <w:lvlText w:val="•"/>
      <w:lvlJc w:val="left"/>
      <w:pPr>
        <w:ind w:left="1163" w:hanging="481"/>
      </w:pPr>
      <w:rPr>
        <w:rFonts w:hint="default"/>
        <w:lang w:val="en-US" w:eastAsia="en-US" w:bidi="ar-SA"/>
      </w:rPr>
    </w:lvl>
    <w:lvl w:ilvl="3">
      <w:start w:val="0"/>
      <w:numFmt w:val="bullet"/>
      <w:lvlText w:val="•"/>
      <w:lvlJc w:val="left"/>
      <w:pPr>
        <w:ind w:left="1655" w:hanging="481"/>
      </w:pPr>
      <w:rPr>
        <w:rFonts w:hint="default"/>
        <w:lang w:val="en-US" w:eastAsia="en-US" w:bidi="ar-SA"/>
      </w:rPr>
    </w:lvl>
    <w:lvl w:ilvl="4">
      <w:start w:val="0"/>
      <w:numFmt w:val="bullet"/>
      <w:lvlText w:val="•"/>
      <w:lvlJc w:val="left"/>
      <w:pPr>
        <w:ind w:left="2147" w:hanging="481"/>
      </w:pPr>
      <w:rPr>
        <w:rFonts w:hint="default"/>
        <w:lang w:val="en-US" w:eastAsia="en-US" w:bidi="ar-SA"/>
      </w:rPr>
    </w:lvl>
    <w:lvl w:ilvl="5">
      <w:start w:val="0"/>
      <w:numFmt w:val="bullet"/>
      <w:lvlText w:val="•"/>
      <w:lvlJc w:val="left"/>
      <w:pPr>
        <w:ind w:left="2639" w:hanging="481"/>
      </w:pPr>
      <w:rPr>
        <w:rFonts w:hint="default"/>
        <w:lang w:val="en-US" w:eastAsia="en-US" w:bidi="ar-SA"/>
      </w:rPr>
    </w:lvl>
    <w:lvl w:ilvl="6">
      <w:start w:val="0"/>
      <w:numFmt w:val="bullet"/>
      <w:lvlText w:val="•"/>
      <w:lvlJc w:val="left"/>
      <w:pPr>
        <w:ind w:left="3131" w:hanging="481"/>
      </w:pPr>
      <w:rPr>
        <w:rFonts w:hint="default"/>
        <w:lang w:val="en-US" w:eastAsia="en-US" w:bidi="ar-SA"/>
      </w:rPr>
    </w:lvl>
    <w:lvl w:ilvl="7">
      <w:start w:val="0"/>
      <w:numFmt w:val="bullet"/>
      <w:lvlText w:val="•"/>
      <w:lvlJc w:val="left"/>
      <w:pPr>
        <w:ind w:left="3622" w:hanging="481"/>
      </w:pPr>
      <w:rPr>
        <w:rFonts w:hint="default"/>
        <w:lang w:val="en-US" w:eastAsia="en-US" w:bidi="ar-SA"/>
      </w:rPr>
    </w:lvl>
    <w:lvl w:ilvl="8">
      <w:start w:val="0"/>
      <w:numFmt w:val="bullet"/>
      <w:lvlText w:val="•"/>
      <w:lvlJc w:val="left"/>
      <w:pPr>
        <w:ind w:left="4114" w:hanging="481"/>
      </w:pPr>
      <w:rPr>
        <w:rFonts w:hint="default"/>
        <w:lang w:val="en-US" w:eastAsia="en-US" w:bidi="ar-SA"/>
      </w:rPr>
    </w:lvl>
  </w:abstractNum>
  <w:abstractNum w:abstractNumId="36">
    <w:multiLevelType w:val="hybridMultilevel"/>
    <w:lvl w:ilvl="0">
      <w:start w:val="40"/>
      <w:numFmt w:val="decimal"/>
      <w:lvlText w:val="%1"/>
      <w:lvlJc w:val="left"/>
      <w:pPr>
        <w:ind w:left="160" w:hanging="481"/>
        <w:jc w:val="left"/>
      </w:pPr>
      <w:rPr>
        <w:rFonts w:hint="default" w:ascii="Times New Roman" w:hAnsi="Times New Roman" w:eastAsia="Times New Roman" w:cs="Times New Roman"/>
        <w:color w:val="231F20"/>
        <w:spacing w:val="-3"/>
        <w:w w:val="100"/>
        <w:sz w:val="18"/>
        <w:szCs w:val="18"/>
        <w:lang w:val="en-US" w:eastAsia="en-US" w:bidi="ar-SA"/>
      </w:rPr>
    </w:lvl>
    <w:lvl w:ilvl="1">
      <w:start w:val="0"/>
      <w:numFmt w:val="bullet"/>
      <w:lvlText w:val="•"/>
      <w:lvlJc w:val="left"/>
      <w:pPr>
        <w:ind w:left="671" w:hanging="481"/>
      </w:pPr>
      <w:rPr>
        <w:rFonts w:hint="default"/>
        <w:lang w:val="en-US" w:eastAsia="en-US" w:bidi="ar-SA"/>
      </w:rPr>
    </w:lvl>
    <w:lvl w:ilvl="2">
      <w:start w:val="0"/>
      <w:numFmt w:val="bullet"/>
      <w:lvlText w:val="•"/>
      <w:lvlJc w:val="left"/>
      <w:pPr>
        <w:ind w:left="1182" w:hanging="481"/>
      </w:pPr>
      <w:rPr>
        <w:rFonts w:hint="default"/>
        <w:lang w:val="en-US" w:eastAsia="en-US" w:bidi="ar-SA"/>
      </w:rPr>
    </w:lvl>
    <w:lvl w:ilvl="3">
      <w:start w:val="0"/>
      <w:numFmt w:val="bullet"/>
      <w:lvlText w:val="•"/>
      <w:lvlJc w:val="left"/>
      <w:pPr>
        <w:ind w:left="1693" w:hanging="481"/>
      </w:pPr>
      <w:rPr>
        <w:rFonts w:hint="default"/>
        <w:lang w:val="en-US" w:eastAsia="en-US" w:bidi="ar-SA"/>
      </w:rPr>
    </w:lvl>
    <w:lvl w:ilvl="4">
      <w:start w:val="0"/>
      <w:numFmt w:val="bullet"/>
      <w:lvlText w:val="•"/>
      <w:lvlJc w:val="left"/>
      <w:pPr>
        <w:ind w:left="2204" w:hanging="481"/>
      </w:pPr>
      <w:rPr>
        <w:rFonts w:hint="default"/>
        <w:lang w:val="en-US" w:eastAsia="en-US" w:bidi="ar-SA"/>
      </w:rPr>
    </w:lvl>
    <w:lvl w:ilvl="5">
      <w:start w:val="0"/>
      <w:numFmt w:val="bullet"/>
      <w:lvlText w:val="•"/>
      <w:lvlJc w:val="left"/>
      <w:pPr>
        <w:ind w:left="2715" w:hanging="481"/>
      </w:pPr>
      <w:rPr>
        <w:rFonts w:hint="default"/>
        <w:lang w:val="en-US" w:eastAsia="en-US" w:bidi="ar-SA"/>
      </w:rPr>
    </w:lvl>
    <w:lvl w:ilvl="6">
      <w:start w:val="0"/>
      <w:numFmt w:val="bullet"/>
      <w:lvlText w:val="•"/>
      <w:lvlJc w:val="left"/>
      <w:pPr>
        <w:ind w:left="3226" w:hanging="481"/>
      </w:pPr>
      <w:rPr>
        <w:rFonts w:hint="default"/>
        <w:lang w:val="en-US" w:eastAsia="en-US" w:bidi="ar-SA"/>
      </w:rPr>
    </w:lvl>
    <w:lvl w:ilvl="7">
      <w:start w:val="0"/>
      <w:numFmt w:val="bullet"/>
      <w:lvlText w:val="•"/>
      <w:lvlJc w:val="left"/>
      <w:pPr>
        <w:ind w:left="3737" w:hanging="481"/>
      </w:pPr>
      <w:rPr>
        <w:rFonts w:hint="default"/>
        <w:lang w:val="en-US" w:eastAsia="en-US" w:bidi="ar-SA"/>
      </w:rPr>
    </w:lvl>
    <w:lvl w:ilvl="8">
      <w:start w:val="0"/>
      <w:numFmt w:val="bullet"/>
      <w:lvlText w:val="•"/>
      <w:lvlJc w:val="left"/>
      <w:pPr>
        <w:ind w:left="4248" w:hanging="481"/>
      </w:pPr>
      <w:rPr>
        <w:rFonts w:hint="default"/>
        <w:lang w:val="en-US" w:eastAsia="en-US" w:bidi="ar-SA"/>
      </w:rPr>
    </w:lvl>
  </w:abstractNum>
  <w:abstractNum w:abstractNumId="35">
    <w:multiLevelType w:val="hybridMultilevel"/>
    <w:lvl w:ilvl="0">
      <w:start w:val="36"/>
      <w:numFmt w:val="decimal"/>
      <w:lvlText w:val="%1"/>
      <w:lvlJc w:val="left"/>
      <w:pPr>
        <w:ind w:left="180" w:hanging="481"/>
        <w:jc w:val="left"/>
      </w:pPr>
      <w:rPr>
        <w:rFonts w:hint="default" w:ascii="Times New Roman" w:hAnsi="Times New Roman" w:eastAsia="Times New Roman" w:cs="Times New Roman"/>
        <w:color w:val="231F20"/>
        <w:spacing w:val="-4"/>
        <w:w w:val="100"/>
        <w:sz w:val="18"/>
        <w:szCs w:val="18"/>
        <w:lang w:val="en-US" w:eastAsia="en-US" w:bidi="ar-SA"/>
      </w:rPr>
    </w:lvl>
    <w:lvl w:ilvl="1">
      <w:start w:val="0"/>
      <w:numFmt w:val="bullet"/>
      <w:lvlText w:val="•"/>
      <w:lvlJc w:val="left"/>
      <w:pPr>
        <w:ind w:left="689" w:hanging="481"/>
      </w:pPr>
      <w:rPr>
        <w:rFonts w:hint="default"/>
        <w:lang w:val="en-US" w:eastAsia="en-US" w:bidi="ar-SA"/>
      </w:rPr>
    </w:lvl>
    <w:lvl w:ilvl="2">
      <w:start w:val="0"/>
      <w:numFmt w:val="bullet"/>
      <w:lvlText w:val="•"/>
      <w:lvlJc w:val="left"/>
      <w:pPr>
        <w:ind w:left="1198" w:hanging="481"/>
      </w:pPr>
      <w:rPr>
        <w:rFonts w:hint="default"/>
        <w:lang w:val="en-US" w:eastAsia="en-US" w:bidi="ar-SA"/>
      </w:rPr>
    </w:lvl>
    <w:lvl w:ilvl="3">
      <w:start w:val="0"/>
      <w:numFmt w:val="bullet"/>
      <w:lvlText w:val="•"/>
      <w:lvlJc w:val="left"/>
      <w:pPr>
        <w:ind w:left="1707" w:hanging="481"/>
      </w:pPr>
      <w:rPr>
        <w:rFonts w:hint="default"/>
        <w:lang w:val="en-US" w:eastAsia="en-US" w:bidi="ar-SA"/>
      </w:rPr>
    </w:lvl>
    <w:lvl w:ilvl="4">
      <w:start w:val="0"/>
      <w:numFmt w:val="bullet"/>
      <w:lvlText w:val="•"/>
      <w:lvlJc w:val="left"/>
      <w:pPr>
        <w:ind w:left="2217" w:hanging="481"/>
      </w:pPr>
      <w:rPr>
        <w:rFonts w:hint="default"/>
        <w:lang w:val="en-US" w:eastAsia="en-US" w:bidi="ar-SA"/>
      </w:rPr>
    </w:lvl>
    <w:lvl w:ilvl="5">
      <w:start w:val="0"/>
      <w:numFmt w:val="bullet"/>
      <w:lvlText w:val="•"/>
      <w:lvlJc w:val="left"/>
      <w:pPr>
        <w:ind w:left="2726" w:hanging="481"/>
      </w:pPr>
      <w:rPr>
        <w:rFonts w:hint="default"/>
        <w:lang w:val="en-US" w:eastAsia="en-US" w:bidi="ar-SA"/>
      </w:rPr>
    </w:lvl>
    <w:lvl w:ilvl="6">
      <w:start w:val="0"/>
      <w:numFmt w:val="bullet"/>
      <w:lvlText w:val="•"/>
      <w:lvlJc w:val="left"/>
      <w:pPr>
        <w:ind w:left="3235" w:hanging="481"/>
      </w:pPr>
      <w:rPr>
        <w:rFonts w:hint="default"/>
        <w:lang w:val="en-US" w:eastAsia="en-US" w:bidi="ar-SA"/>
      </w:rPr>
    </w:lvl>
    <w:lvl w:ilvl="7">
      <w:start w:val="0"/>
      <w:numFmt w:val="bullet"/>
      <w:lvlText w:val="•"/>
      <w:lvlJc w:val="left"/>
      <w:pPr>
        <w:ind w:left="3744" w:hanging="481"/>
      </w:pPr>
      <w:rPr>
        <w:rFonts w:hint="default"/>
        <w:lang w:val="en-US" w:eastAsia="en-US" w:bidi="ar-SA"/>
      </w:rPr>
    </w:lvl>
    <w:lvl w:ilvl="8">
      <w:start w:val="0"/>
      <w:numFmt w:val="bullet"/>
      <w:lvlText w:val="•"/>
      <w:lvlJc w:val="left"/>
      <w:pPr>
        <w:ind w:left="4254" w:hanging="481"/>
      </w:pPr>
      <w:rPr>
        <w:rFonts w:hint="default"/>
        <w:lang w:val="en-US" w:eastAsia="en-US" w:bidi="ar-SA"/>
      </w:rPr>
    </w:lvl>
  </w:abstractNum>
  <w:abstractNum w:abstractNumId="34">
    <w:multiLevelType w:val="hybridMultilevel"/>
    <w:lvl w:ilvl="0">
      <w:start w:val="17"/>
      <w:numFmt w:val="decimal"/>
      <w:lvlText w:val="%1"/>
      <w:lvlJc w:val="left"/>
      <w:pPr>
        <w:ind w:left="174" w:hanging="481"/>
        <w:jc w:val="left"/>
      </w:pPr>
      <w:rPr>
        <w:rFonts w:hint="default" w:ascii="Times New Roman" w:hAnsi="Times New Roman" w:eastAsia="Times New Roman" w:cs="Times New Roman"/>
        <w:color w:val="231F20"/>
        <w:spacing w:val="-6"/>
        <w:w w:val="100"/>
        <w:sz w:val="18"/>
        <w:szCs w:val="18"/>
        <w:lang w:val="en-US" w:eastAsia="en-US" w:bidi="ar-SA"/>
      </w:rPr>
    </w:lvl>
    <w:lvl w:ilvl="1">
      <w:start w:val="0"/>
      <w:numFmt w:val="bullet"/>
      <w:lvlText w:val="•"/>
      <w:lvlJc w:val="left"/>
      <w:pPr>
        <w:ind w:left="672" w:hanging="481"/>
      </w:pPr>
      <w:rPr>
        <w:rFonts w:hint="default"/>
        <w:lang w:val="en-US" w:eastAsia="en-US" w:bidi="ar-SA"/>
      </w:rPr>
    </w:lvl>
    <w:lvl w:ilvl="2">
      <w:start w:val="0"/>
      <w:numFmt w:val="bullet"/>
      <w:lvlText w:val="•"/>
      <w:lvlJc w:val="left"/>
      <w:pPr>
        <w:ind w:left="1164" w:hanging="481"/>
      </w:pPr>
      <w:rPr>
        <w:rFonts w:hint="default"/>
        <w:lang w:val="en-US" w:eastAsia="en-US" w:bidi="ar-SA"/>
      </w:rPr>
    </w:lvl>
    <w:lvl w:ilvl="3">
      <w:start w:val="0"/>
      <w:numFmt w:val="bullet"/>
      <w:lvlText w:val="•"/>
      <w:lvlJc w:val="left"/>
      <w:pPr>
        <w:ind w:left="1657" w:hanging="481"/>
      </w:pPr>
      <w:rPr>
        <w:rFonts w:hint="default"/>
        <w:lang w:val="en-US" w:eastAsia="en-US" w:bidi="ar-SA"/>
      </w:rPr>
    </w:lvl>
    <w:lvl w:ilvl="4">
      <w:start w:val="0"/>
      <w:numFmt w:val="bullet"/>
      <w:lvlText w:val="•"/>
      <w:lvlJc w:val="left"/>
      <w:pPr>
        <w:ind w:left="2149" w:hanging="481"/>
      </w:pPr>
      <w:rPr>
        <w:rFonts w:hint="default"/>
        <w:lang w:val="en-US" w:eastAsia="en-US" w:bidi="ar-SA"/>
      </w:rPr>
    </w:lvl>
    <w:lvl w:ilvl="5">
      <w:start w:val="0"/>
      <w:numFmt w:val="bullet"/>
      <w:lvlText w:val="•"/>
      <w:lvlJc w:val="left"/>
      <w:pPr>
        <w:ind w:left="2641" w:hanging="481"/>
      </w:pPr>
      <w:rPr>
        <w:rFonts w:hint="default"/>
        <w:lang w:val="en-US" w:eastAsia="en-US" w:bidi="ar-SA"/>
      </w:rPr>
    </w:lvl>
    <w:lvl w:ilvl="6">
      <w:start w:val="0"/>
      <w:numFmt w:val="bullet"/>
      <w:lvlText w:val="•"/>
      <w:lvlJc w:val="left"/>
      <w:pPr>
        <w:ind w:left="3134" w:hanging="481"/>
      </w:pPr>
      <w:rPr>
        <w:rFonts w:hint="default"/>
        <w:lang w:val="en-US" w:eastAsia="en-US" w:bidi="ar-SA"/>
      </w:rPr>
    </w:lvl>
    <w:lvl w:ilvl="7">
      <w:start w:val="0"/>
      <w:numFmt w:val="bullet"/>
      <w:lvlText w:val="•"/>
      <w:lvlJc w:val="left"/>
      <w:pPr>
        <w:ind w:left="3626" w:hanging="481"/>
      </w:pPr>
      <w:rPr>
        <w:rFonts w:hint="default"/>
        <w:lang w:val="en-US" w:eastAsia="en-US" w:bidi="ar-SA"/>
      </w:rPr>
    </w:lvl>
    <w:lvl w:ilvl="8">
      <w:start w:val="0"/>
      <w:numFmt w:val="bullet"/>
      <w:lvlText w:val="•"/>
      <w:lvlJc w:val="left"/>
      <w:pPr>
        <w:ind w:left="4119" w:hanging="481"/>
      </w:pPr>
      <w:rPr>
        <w:rFonts w:hint="default"/>
        <w:lang w:val="en-US" w:eastAsia="en-US" w:bidi="ar-SA"/>
      </w:rPr>
    </w:lvl>
  </w:abstractNum>
  <w:abstractNum w:abstractNumId="33">
    <w:multiLevelType w:val="hybridMultilevel"/>
    <w:lvl w:ilvl="0">
      <w:start w:val="1"/>
      <w:numFmt w:val="decimal"/>
      <w:lvlText w:val="%1"/>
      <w:lvlJc w:val="left"/>
      <w:pPr>
        <w:ind w:left="160" w:hanging="481"/>
        <w:jc w:val="left"/>
      </w:pPr>
      <w:rPr>
        <w:rFonts w:hint="default" w:ascii="Times New Roman" w:hAnsi="Times New Roman" w:eastAsia="Times New Roman" w:cs="Times New Roman"/>
        <w:color w:val="231F20"/>
        <w:spacing w:val="-4"/>
        <w:w w:val="100"/>
        <w:sz w:val="18"/>
        <w:szCs w:val="18"/>
        <w:lang w:val="en-US" w:eastAsia="en-US" w:bidi="ar-SA"/>
      </w:rPr>
    </w:lvl>
    <w:lvl w:ilvl="1">
      <w:start w:val="0"/>
      <w:numFmt w:val="bullet"/>
      <w:lvlText w:val="•"/>
      <w:lvlJc w:val="left"/>
      <w:pPr>
        <w:ind w:left="654" w:hanging="481"/>
      </w:pPr>
      <w:rPr>
        <w:rFonts w:hint="default"/>
        <w:lang w:val="en-US" w:eastAsia="en-US" w:bidi="ar-SA"/>
      </w:rPr>
    </w:lvl>
    <w:lvl w:ilvl="2">
      <w:start w:val="0"/>
      <w:numFmt w:val="bullet"/>
      <w:lvlText w:val="•"/>
      <w:lvlJc w:val="left"/>
      <w:pPr>
        <w:ind w:left="1148" w:hanging="481"/>
      </w:pPr>
      <w:rPr>
        <w:rFonts w:hint="default"/>
        <w:lang w:val="en-US" w:eastAsia="en-US" w:bidi="ar-SA"/>
      </w:rPr>
    </w:lvl>
    <w:lvl w:ilvl="3">
      <w:start w:val="0"/>
      <w:numFmt w:val="bullet"/>
      <w:lvlText w:val="•"/>
      <w:lvlJc w:val="left"/>
      <w:pPr>
        <w:ind w:left="1643" w:hanging="481"/>
      </w:pPr>
      <w:rPr>
        <w:rFonts w:hint="default"/>
        <w:lang w:val="en-US" w:eastAsia="en-US" w:bidi="ar-SA"/>
      </w:rPr>
    </w:lvl>
    <w:lvl w:ilvl="4">
      <w:start w:val="0"/>
      <w:numFmt w:val="bullet"/>
      <w:lvlText w:val="•"/>
      <w:lvlJc w:val="left"/>
      <w:pPr>
        <w:ind w:left="2137" w:hanging="481"/>
      </w:pPr>
      <w:rPr>
        <w:rFonts w:hint="default"/>
        <w:lang w:val="en-US" w:eastAsia="en-US" w:bidi="ar-SA"/>
      </w:rPr>
    </w:lvl>
    <w:lvl w:ilvl="5">
      <w:start w:val="0"/>
      <w:numFmt w:val="bullet"/>
      <w:lvlText w:val="•"/>
      <w:lvlJc w:val="left"/>
      <w:pPr>
        <w:ind w:left="2631" w:hanging="481"/>
      </w:pPr>
      <w:rPr>
        <w:rFonts w:hint="default"/>
        <w:lang w:val="en-US" w:eastAsia="en-US" w:bidi="ar-SA"/>
      </w:rPr>
    </w:lvl>
    <w:lvl w:ilvl="6">
      <w:start w:val="0"/>
      <w:numFmt w:val="bullet"/>
      <w:lvlText w:val="•"/>
      <w:lvlJc w:val="left"/>
      <w:pPr>
        <w:ind w:left="3126" w:hanging="481"/>
      </w:pPr>
      <w:rPr>
        <w:rFonts w:hint="default"/>
        <w:lang w:val="en-US" w:eastAsia="en-US" w:bidi="ar-SA"/>
      </w:rPr>
    </w:lvl>
    <w:lvl w:ilvl="7">
      <w:start w:val="0"/>
      <w:numFmt w:val="bullet"/>
      <w:lvlText w:val="•"/>
      <w:lvlJc w:val="left"/>
      <w:pPr>
        <w:ind w:left="3620" w:hanging="481"/>
      </w:pPr>
      <w:rPr>
        <w:rFonts w:hint="default"/>
        <w:lang w:val="en-US" w:eastAsia="en-US" w:bidi="ar-SA"/>
      </w:rPr>
    </w:lvl>
    <w:lvl w:ilvl="8">
      <w:start w:val="0"/>
      <w:numFmt w:val="bullet"/>
      <w:lvlText w:val="•"/>
      <w:lvlJc w:val="left"/>
      <w:pPr>
        <w:ind w:left="4114" w:hanging="481"/>
      </w:pPr>
      <w:rPr>
        <w:rFonts w:hint="default"/>
        <w:lang w:val="en-US" w:eastAsia="en-US" w:bidi="ar-SA"/>
      </w:rPr>
    </w:lvl>
  </w:abstractNum>
  <w:abstractNum w:abstractNumId="32">
    <w:multiLevelType w:val="hybridMultilevel"/>
    <w:lvl w:ilvl="0">
      <w:start w:val="1"/>
      <w:numFmt w:val="lowerLetter"/>
      <w:lvlText w:val="(%1)"/>
      <w:lvlJc w:val="left"/>
      <w:pPr>
        <w:ind w:left="454" w:hanging="280"/>
        <w:jc w:val="left"/>
      </w:pPr>
      <w:rPr>
        <w:rFonts w:hint="default" w:ascii="Times New Roman" w:hAnsi="Times New Roman" w:eastAsia="Times New Roman" w:cs="Times New Roman"/>
        <w:spacing w:val="-5"/>
        <w:w w:val="100"/>
        <w:sz w:val="12"/>
        <w:szCs w:val="12"/>
        <w:lang w:val="en-US" w:eastAsia="en-US" w:bidi="ar-SA"/>
      </w:rPr>
    </w:lvl>
    <w:lvl w:ilvl="1">
      <w:start w:val="0"/>
      <w:numFmt w:val="bullet"/>
      <w:lvlText w:val="•"/>
      <w:lvlJc w:val="left"/>
      <w:pPr>
        <w:ind w:left="858" w:hanging="280"/>
      </w:pPr>
      <w:rPr>
        <w:rFonts w:hint="default"/>
        <w:lang w:val="en-US" w:eastAsia="en-US" w:bidi="ar-SA"/>
      </w:rPr>
    </w:lvl>
    <w:lvl w:ilvl="2">
      <w:start w:val="0"/>
      <w:numFmt w:val="bullet"/>
      <w:lvlText w:val="•"/>
      <w:lvlJc w:val="left"/>
      <w:pPr>
        <w:ind w:left="1257" w:hanging="280"/>
      </w:pPr>
      <w:rPr>
        <w:rFonts w:hint="default"/>
        <w:lang w:val="en-US" w:eastAsia="en-US" w:bidi="ar-SA"/>
      </w:rPr>
    </w:lvl>
    <w:lvl w:ilvl="3">
      <w:start w:val="0"/>
      <w:numFmt w:val="bullet"/>
      <w:lvlText w:val="•"/>
      <w:lvlJc w:val="left"/>
      <w:pPr>
        <w:ind w:left="1656" w:hanging="280"/>
      </w:pPr>
      <w:rPr>
        <w:rFonts w:hint="default"/>
        <w:lang w:val="en-US" w:eastAsia="en-US" w:bidi="ar-SA"/>
      </w:rPr>
    </w:lvl>
    <w:lvl w:ilvl="4">
      <w:start w:val="0"/>
      <w:numFmt w:val="bullet"/>
      <w:lvlText w:val="•"/>
      <w:lvlJc w:val="left"/>
      <w:pPr>
        <w:ind w:left="2054" w:hanging="280"/>
      </w:pPr>
      <w:rPr>
        <w:rFonts w:hint="default"/>
        <w:lang w:val="en-US" w:eastAsia="en-US" w:bidi="ar-SA"/>
      </w:rPr>
    </w:lvl>
    <w:lvl w:ilvl="5">
      <w:start w:val="0"/>
      <w:numFmt w:val="bullet"/>
      <w:lvlText w:val="•"/>
      <w:lvlJc w:val="left"/>
      <w:pPr>
        <w:ind w:left="2453" w:hanging="280"/>
      </w:pPr>
      <w:rPr>
        <w:rFonts w:hint="default"/>
        <w:lang w:val="en-US" w:eastAsia="en-US" w:bidi="ar-SA"/>
      </w:rPr>
    </w:lvl>
    <w:lvl w:ilvl="6">
      <w:start w:val="0"/>
      <w:numFmt w:val="bullet"/>
      <w:lvlText w:val="•"/>
      <w:lvlJc w:val="left"/>
      <w:pPr>
        <w:ind w:left="2852" w:hanging="280"/>
      </w:pPr>
      <w:rPr>
        <w:rFonts w:hint="default"/>
        <w:lang w:val="en-US" w:eastAsia="en-US" w:bidi="ar-SA"/>
      </w:rPr>
    </w:lvl>
    <w:lvl w:ilvl="7">
      <w:start w:val="0"/>
      <w:numFmt w:val="bullet"/>
      <w:lvlText w:val="•"/>
      <w:lvlJc w:val="left"/>
      <w:pPr>
        <w:ind w:left="3250" w:hanging="280"/>
      </w:pPr>
      <w:rPr>
        <w:rFonts w:hint="default"/>
        <w:lang w:val="en-US" w:eastAsia="en-US" w:bidi="ar-SA"/>
      </w:rPr>
    </w:lvl>
    <w:lvl w:ilvl="8">
      <w:start w:val="0"/>
      <w:numFmt w:val="bullet"/>
      <w:lvlText w:val="•"/>
      <w:lvlJc w:val="left"/>
      <w:pPr>
        <w:ind w:left="3649" w:hanging="280"/>
      </w:pPr>
      <w:rPr>
        <w:rFonts w:hint="default"/>
        <w:lang w:val="en-US" w:eastAsia="en-US" w:bidi="ar-SA"/>
      </w:rPr>
    </w:lvl>
  </w:abstractNum>
  <w:abstractNum w:abstractNumId="31">
    <w:multiLevelType w:val="hybridMultilevel"/>
    <w:lvl w:ilvl="0">
      <w:start w:val="1"/>
      <w:numFmt w:val="lowerLetter"/>
      <w:lvlText w:val="(%1)"/>
      <w:lvlJc w:val="left"/>
      <w:pPr>
        <w:ind w:left="439" w:hanging="250"/>
        <w:jc w:val="left"/>
      </w:pPr>
      <w:rPr>
        <w:rFonts w:hint="default" w:ascii="Times New Roman" w:hAnsi="Times New Roman" w:eastAsia="Times New Roman" w:cs="Times New Roman"/>
        <w:spacing w:val="-4"/>
        <w:w w:val="100"/>
        <w:sz w:val="12"/>
        <w:szCs w:val="12"/>
        <w:lang w:val="en-US" w:eastAsia="en-US" w:bidi="ar-SA"/>
      </w:rPr>
    </w:lvl>
    <w:lvl w:ilvl="1">
      <w:start w:val="1"/>
      <w:numFmt w:val="decimal"/>
      <w:lvlText w:val="(%2)"/>
      <w:lvlJc w:val="left"/>
      <w:pPr>
        <w:ind w:left="838" w:hanging="200"/>
        <w:jc w:val="left"/>
      </w:pPr>
      <w:rPr>
        <w:rFonts w:hint="default" w:ascii="Times New Roman" w:hAnsi="Times New Roman" w:eastAsia="Times New Roman" w:cs="Times New Roman"/>
        <w:spacing w:val="-1"/>
        <w:w w:val="100"/>
        <w:sz w:val="12"/>
        <w:szCs w:val="12"/>
        <w:lang w:val="en-US" w:eastAsia="en-US" w:bidi="ar-SA"/>
      </w:rPr>
    </w:lvl>
    <w:lvl w:ilvl="2">
      <w:start w:val="0"/>
      <w:numFmt w:val="bullet"/>
      <w:lvlText w:val="•"/>
      <w:lvlJc w:val="left"/>
      <w:pPr>
        <w:ind w:left="1235" w:hanging="200"/>
      </w:pPr>
      <w:rPr>
        <w:rFonts w:hint="default"/>
        <w:lang w:val="en-US" w:eastAsia="en-US" w:bidi="ar-SA"/>
      </w:rPr>
    </w:lvl>
    <w:lvl w:ilvl="3">
      <w:start w:val="0"/>
      <w:numFmt w:val="bullet"/>
      <w:lvlText w:val="•"/>
      <w:lvlJc w:val="left"/>
      <w:pPr>
        <w:ind w:left="1630" w:hanging="200"/>
      </w:pPr>
      <w:rPr>
        <w:rFonts w:hint="default"/>
        <w:lang w:val="en-US" w:eastAsia="en-US" w:bidi="ar-SA"/>
      </w:rPr>
    </w:lvl>
    <w:lvl w:ilvl="4">
      <w:start w:val="0"/>
      <w:numFmt w:val="bullet"/>
      <w:lvlText w:val="•"/>
      <w:lvlJc w:val="left"/>
      <w:pPr>
        <w:ind w:left="2025" w:hanging="200"/>
      </w:pPr>
      <w:rPr>
        <w:rFonts w:hint="default"/>
        <w:lang w:val="en-US" w:eastAsia="en-US" w:bidi="ar-SA"/>
      </w:rPr>
    </w:lvl>
    <w:lvl w:ilvl="5">
      <w:start w:val="0"/>
      <w:numFmt w:val="bullet"/>
      <w:lvlText w:val="•"/>
      <w:lvlJc w:val="left"/>
      <w:pPr>
        <w:ind w:left="2421" w:hanging="200"/>
      </w:pPr>
      <w:rPr>
        <w:rFonts w:hint="default"/>
        <w:lang w:val="en-US" w:eastAsia="en-US" w:bidi="ar-SA"/>
      </w:rPr>
    </w:lvl>
    <w:lvl w:ilvl="6">
      <w:start w:val="0"/>
      <w:numFmt w:val="bullet"/>
      <w:lvlText w:val="•"/>
      <w:lvlJc w:val="left"/>
      <w:pPr>
        <w:ind w:left="2816" w:hanging="200"/>
      </w:pPr>
      <w:rPr>
        <w:rFonts w:hint="default"/>
        <w:lang w:val="en-US" w:eastAsia="en-US" w:bidi="ar-SA"/>
      </w:rPr>
    </w:lvl>
    <w:lvl w:ilvl="7">
      <w:start w:val="0"/>
      <w:numFmt w:val="bullet"/>
      <w:lvlText w:val="•"/>
      <w:lvlJc w:val="left"/>
      <w:pPr>
        <w:ind w:left="3211" w:hanging="200"/>
      </w:pPr>
      <w:rPr>
        <w:rFonts w:hint="default"/>
        <w:lang w:val="en-US" w:eastAsia="en-US" w:bidi="ar-SA"/>
      </w:rPr>
    </w:lvl>
    <w:lvl w:ilvl="8">
      <w:start w:val="0"/>
      <w:numFmt w:val="bullet"/>
      <w:lvlText w:val="•"/>
      <w:lvlJc w:val="left"/>
      <w:pPr>
        <w:ind w:left="3607" w:hanging="200"/>
      </w:pPr>
      <w:rPr>
        <w:rFonts w:hint="default"/>
        <w:lang w:val="en-US" w:eastAsia="en-US" w:bidi="ar-SA"/>
      </w:rPr>
    </w:lvl>
  </w:abstractNum>
  <w:abstractNum w:abstractNumId="30">
    <w:multiLevelType w:val="hybridMultilevel"/>
    <w:lvl w:ilvl="0">
      <w:start w:val="1"/>
      <w:numFmt w:val="decimal"/>
      <w:lvlText w:val="(%1)"/>
      <w:lvlJc w:val="left"/>
      <w:pPr>
        <w:ind w:left="429" w:hanging="241"/>
        <w:jc w:val="left"/>
      </w:pPr>
      <w:rPr>
        <w:rFonts w:hint="default" w:ascii="Times New Roman" w:hAnsi="Times New Roman" w:eastAsia="Times New Roman" w:cs="Times New Roman"/>
        <w:w w:val="100"/>
        <w:sz w:val="16"/>
        <w:szCs w:val="16"/>
        <w:lang w:val="en-US" w:eastAsia="en-US" w:bidi="ar-SA"/>
      </w:rPr>
    </w:lvl>
    <w:lvl w:ilvl="1">
      <w:start w:val="1"/>
      <w:numFmt w:val="decimal"/>
      <w:lvlText w:val="(%2)"/>
      <w:lvlJc w:val="left"/>
      <w:pPr>
        <w:ind w:left="5209" w:hanging="241"/>
        <w:jc w:val="left"/>
      </w:pPr>
      <w:rPr>
        <w:rFonts w:hint="default" w:ascii="Times New Roman" w:hAnsi="Times New Roman" w:eastAsia="Times New Roman" w:cs="Times New Roman"/>
        <w:w w:val="100"/>
        <w:sz w:val="16"/>
        <w:szCs w:val="16"/>
        <w:lang w:val="en-US" w:eastAsia="en-US" w:bidi="ar-SA"/>
      </w:rPr>
    </w:lvl>
    <w:lvl w:ilvl="2">
      <w:start w:val="0"/>
      <w:numFmt w:val="bullet"/>
      <w:lvlText w:val="•"/>
      <w:lvlJc w:val="left"/>
      <w:pPr>
        <w:ind w:left="5276" w:hanging="241"/>
      </w:pPr>
      <w:rPr>
        <w:rFonts w:hint="default"/>
        <w:lang w:val="en-US" w:eastAsia="en-US" w:bidi="ar-SA"/>
      </w:rPr>
    </w:lvl>
    <w:lvl w:ilvl="3">
      <w:start w:val="0"/>
      <w:numFmt w:val="bullet"/>
      <w:lvlText w:val="•"/>
      <w:lvlJc w:val="left"/>
      <w:pPr>
        <w:ind w:left="5353" w:hanging="241"/>
      </w:pPr>
      <w:rPr>
        <w:rFonts w:hint="default"/>
        <w:lang w:val="en-US" w:eastAsia="en-US" w:bidi="ar-SA"/>
      </w:rPr>
    </w:lvl>
    <w:lvl w:ilvl="4">
      <w:start w:val="0"/>
      <w:numFmt w:val="bullet"/>
      <w:lvlText w:val="•"/>
      <w:lvlJc w:val="left"/>
      <w:pPr>
        <w:ind w:left="5430" w:hanging="241"/>
      </w:pPr>
      <w:rPr>
        <w:rFonts w:hint="default"/>
        <w:lang w:val="en-US" w:eastAsia="en-US" w:bidi="ar-SA"/>
      </w:rPr>
    </w:lvl>
    <w:lvl w:ilvl="5">
      <w:start w:val="0"/>
      <w:numFmt w:val="bullet"/>
      <w:lvlText w:val="•"/>
      <w:lvlJc w:val="left"/>
      <w:pPr>
        <w:ind w:left="5506" w:hanging="241"/>
      </w:pPr>
      <w:rPr>
        <w:rFonts w:hint="default"/>
        <w:lang w:val="en-US" w:eastAsia="en-US" w:bidi="ar-SA"/>
      </w:rPr>
    </w:lvl>
    <w:lvl w:ilvl="6">
      <w:start w:val="0"/>
      <w:numFmt w:val="bullet"/>
      <w:lvlText w:val="•"/>
      <w:lvlJc w:val="left"/>
      <w:pPr>
        <w:ind w:left="5583" w:hanging="241"/>
      </w:pPr>
      <w:rPr>
        <w:rFonts w:hint="default"/>
        <w:lang w:val="en-US" w:eastAsia="en-US" w:bidi="ar-SA"/>
      </w:rPr>
    </w:lvl>
    <w:lvl w:ilvl="7">
      <w:start w:val="0"/>
      <w:numFmt w:val="bullet"/>
      <w:lvlText w:val="•"/>
      <w:lvlJc w:val="left"/>
      <w:pPr>
        <w:ind w:left="5660" w:hanging="241"/>
      </w:pPr>
      <w:rPr>
        <w:rFonts w:hint="default"/>
        <w:lang w:val="en-US" w:eastAsia="en-US" w:bidi="ar-SA"/>
      </w:rPr>
    </w:lvl>
    <w:lvl w:ilvl="8">
      <w:start w:val="0"/>
      <w:numFmt w:val="bullet"/>
      <w:lvlText w:val="•"/>
      <w:lvlJc w:val="left"/>
      <w:pPr>
        <w:ind w:left="5736" w:hanging="241"/>
      </w:pPr>
      <w:rPr>
        <w:rFonts w:hint="default"/>
        <w:lang w:val="en-US" w:eastAsia="en-US" w:bidi="ar-SA"/>
      </w:rPr>
    </w:lvl>
  </w:abstractNum>
  <w:abstractNum w:abstractNumId="29">
    <w:multiLevelType w:val="hybridMultilevel"/>
    <w:lvl w:ilvl="0">
      <w:start w:val="6"/>
      <w:numFmt w:val="decimal"/>
      <w:lvlText w:val="%1"/>
      <w:lvlJc w:val="left"/>
      <w:pPr>
        <w:ind w:left="5670" w:hanging="722"/>
        <w:jc w:val="left"/>
      </w:pPr>
      <w:rPr>
        <w:rFonts w:hint="default"/>
        <w:lang w:val="en-US" w:eastAsia="en-US" w:bidi="ar-SA"/>
      </w:rPr>
    </w:lvl>
    <w:lvl w:ilvl="1">
      <w:start w:val="2"/>
      <w:numFmt w:val="decimal"/>
      <w:lvlText w:val="%1.%2"/>
      <w:lvlJc w:val="left"/>
      <w:pPr>
        <w:ind w:left="5670" w:hanging="722"/>
        <w:jc w:val="right"/>
      </w:pPr>
      <w:rPr>
        <w:rFonts w:hint="default" w:ascii="Times New Roman" w:hAnsi="Times New Roman" w:eastAsia="Times New Roman" w:cs="Times New Roman"/>
        <w:b/>
        <w:bCs/>
        <w:color w:val="009483"/>
        <w:spacing w:val="-6"/>
        <w:w w:val="100"/>
        <w:sz w:val="28"/>
        <w:szCs w:val="28"/>
        <w:u w:val="thick" w:color="0093C1"/>
        <w:lang w:val="en-US" w:eastAsia="en-US" w:bidi="ar-SA"/>
      </w:rPr>
    </w:lvl>
    <w:lvl w:ilvl="2">
      <w:start w:val="0"/>
      <w:numFmt w:val="bullet"/>
      <w:lvlText w:val="•"/>
      <w:lvlJc w:val="left"/>
      <w:pPr>
        <w:ind w:left="6676" w:hanging="722"/>
      </w:pPr>
      <w:rPr>
        <w:rFonts w:hint="default"/>
        <w:lang w:val="en-US" w:eastAsia="en-US" w:bidi="ar-SA"/>
      </w:rPr>
    </w:lvl>
    <w:lvl w:ilvl="3">
      <w:start w:val="0"/>
      <w:numFmt w:val="bullet"/>
      <w:lvlText w:val="•"/>
      <w:lvlJc w:val="left"/>
      <w:pPr>
        <w:ind w:left="7174" w:hanging="722"/>
      </w:pPr>
      <w:rPr>
        <w:rFonts w:hint="default"/>
        <w:lang w:val="en-US" w:eastAsia="en-US" w:bidi="ar-SA"/>
      </w:rPr>
    </w:lvl>
    <w:lvl w:ilvl="4">
      <w:start w:val="0"/>
      <w:numFmt w:val="bullet"/>
      <w:lvlText w:val="•"/>
      <w:lvlJc w:val="left"/>
      <w:pPr>
        <w:ind w:left="7672" w:hanging="722"/>
      </w:pPr>
      <w:rPr>
        <w:rFonts w:hint="default"/>
        <w:lang w:val="en-US" w:eastAsia="en-US" w:bidi="ar-SA"/>
      </w:rPr>
    </w:lvl>
    <w:lvl w:ilvl="5">
      <w:start w:val="0"/>
      <w:numFmt w:val="bullet"/>
      <w:lvlText w:val="•"/>
      <w:lvlJc w:val="left"/>
      <w:pPr>
        <w:ind w:left="8170" w:hanging="722"/>
      </w:pPr>
      <w:rPr>
        <w:rFonts w:hint="default"/>
        <w:lang w:val="en-US" w:eastAsia="en-US" w:bidi="ar-SA"/>
      </w:rPr>
    </w:lvl>
    <w:lvl w:ilvl="6">
      <w:start w:val="0"/>
      <w:numFmt w:val="bullet"/>
      <w:lvlText w:val="•"/>
      <w:lvlJc w:val="left"/>
      <w:pPr>
        <w:ind w:left="8668" w:hanging="722"/>
      </w:pPr>
      <w:rPr>
        <w:rFonts w:hint="default"/>
        <w:lang w:val="en-US" w:eastAsia="en-US" w:bidi="ar-SA"/>
      </w:rPr>
    </w:lvl>
    <w:lvl w:ilvl="7">
      <w:start w:val="0"/>
      <w:numFmt w:val="bullet"/>
      <w:lvlText w:val="•"/>
      <w:lvlJc w:val="left"/>
      <w:pPr>
        <w:ind w:left="9166" w:hanging="722"/>
      </w:pPr>
      <w:rPr>
        <w:rFonts w:hint="default"/>
        <w:lang w:val="en-US" w:eastAsia="en-US" w:bidi="ar-SA"/>
      </w:rPr>
    </w:lvl>
    <w:lvl w:ilvl="8">
      <w:start w:val="0"/>
      <w:numFmt w:val="bullet"/>
      <w:lvlText w:val="•"/>
      <w:lvlJc w:val="left"/>
      <w:pPr>
        <w:ind w:left="9664" w:hanging="722"/>
      </w:pPr>
      <w:rPr>
        <w:rFonts w:hint="default"/>
        <w:lang w:val="en-US" w:eastAsia="en-US" w:bidi="ar-SA"/>
      </w:rPr>
    </w:lvl>
  </w:abstractNum>
  <w:abstractNum w:abstractNumId="28">
    <w:multiLevelType w:val="hybridMultilevel"/>
    <w:lvl w:ilvl="0">
      <w:start w:val="1"/>
      <w:numFmt w:val="decimal"/>
      <w:lvlText w:val="(%1)"/>
      <w:lvlJc w:val="left"/>
      <w:pPr>
        <w:ind w:left="400" w:hanging="241"/>
        <w:jc w:val="left"/>
      </w:pPr>
      <w:rPr>
        <w:rFonts w:hint="default" w:ascii="Times New Roman" w:hAnsi="Times New Roman" w:eastAsia="Times New Roman" w:cs="Times New Roman"/>
        <w:w w:val="100"/>
        <w:sz w:val="16"/>
        <w:szCs w:val="16"/>
        <w:lang w:val="en-US" w:eastAsia="en-US" w:bidi="ar-SA"/>
      </w:rPr>
    </w:lvl>
    <w:lvl w:ilvl="1">
      <w:start w:val="1"/>
      <w:numFmt w:val="lowerLetter"/>
      <w:lvlText w:val="(%2)"/>
      <w:lvlJc w:val="left"/>
      <w:pPr>
        <w:ind w:left="409" w:hanging="241"/>
        <w:jc w:val="left"/>
      </w:pPr>
      <w:rPr>
        <w:rFonts w:hint="default" w:ascii="Times New Roman" w:hAnsi="Times New Roman" w:eastAsia="Times New Roman" w:cs="Times New Roman"/>
        <w:spacing w:val="-18"/>
        <w:w w:val="100"/>
        <w:sz w:val="16"/>
        <w:szCs w:val="16"/>
        <w:lang w:val="en-US" w:eastAsia="en-US" w:bidi="ar-SA"/>
      </w:rPr>
    </w:lvl>
    <w:lvl w:ilvl="2">
      <w:start w:val="0"/>
      <w:numFmt w:val="bullet"/>
      <w:lvlText w:val="•"/>
      <w:lvlJc w:val="left"/>
      <w:pPr>
        <w:ind w:left="1488" w:hanging="241"/>
      </w:pPr>
      <w:rPr>
        <w:rFonts w:hint="default"/>
        <w:lang w:val="en-US" w:eastAsia="en-US" w:bidi="ar-SA"/>
      </w:rPr>
    </w:lvl>
    <w:lvl w:ilvl="3">
      <w:start w:val="0"/>
      <w:numFmt w:val="bullet"/>
      <w:lvlText w:val="•"/>
      <w:lvlJc w:val="left"/>
      <w:pPr>
        <w:ind w:left="2033" w:hanging="241"/>
      </w:pPr>
      <w:rPr>
        <w:rFonts w:hint="default"/>
        <w:lang w:val="en-US" w:eastAsia="en-US" w:bidi="ar-SA"/>
      </w:rPr>
    </w:lvl>
    <w:lvl w:ilvl="4">
      <w:start w:val="0"/>
      <w:numFmt w:val="bullet"/>
      <w:lvlText w:val="•"/>
      <w:lvlJc w:val="left"/>
      <w:pPr>
        <w:ind w:left="2577" w:hanging="241"/>
      </w:pPr>
      <w:rPr>
        <w:rFonts w:hint="default"/>
        <w:lang w:val="en-US" w:eastAsia="en-US" w:bidi="ar-SA"/>
      </w:rPr>
    </w:lvl>
    <w:lvl w:ilvl="5">
      <w:start w:val="0"/>
      <w:numFmt w:val="bullet"/>
      <w:lvlText w:val="•"/>
      <w:lvlJc w:val="left"/>
      <w:pPr>
        <w:ind w:left="3122" w:hanging="241"/>
      </w:pPr>
      <w:rPr>
        <w:rFonts w:hint="default"/>
        <w:lang w:val="en-US" w:eastAsia="en-US" w:bidi="ar-SA"/>
      </w:rPr>
    </w:lvl>
    <w:lvl w:ilvl="6">
      <w:start w:val="0"/>
      <w:numFmt w:val="bullet"/>
      <w:lvlText w:val="•"/>
      <w:lvlJc w:val="left"/>
      <w:pPr>
        <w:ind w:left="3666" w:hanging="241"/>
      </w:pPr>
      <w:rPr>
        <w:rFonts w:hint="default"/>
        <w:lang w:val="en-US" w:eastAsia="en-US" w:bidi="ar-SA"/>
      </w:rPr>
    </w:lvl>
    <w:lvl w:ilvl="7">
      <w:start w:val="0"/>
      <w:numFmt w:val="bullet"/>
      <w:lvlText w:val="•"/>
      <w:lvlJc w:val="left"/>
      <w:pPr>
        <w:ind w:left="4211" w:hanging="241"/>
      </w:pPr>
      <w:rPr>
        <w:rFonts w:hint="default"/>
        <w:lang w:val="en-US" w:eastAsia="en-US" w:bidi="ar-SA"/>
      </w:rPr>
    </w:lvl>
    <w:lvl w:ilvl="8">
      <w:start w:val="0"/>
      <w:numFmt w:val="bullet"/>
      <w:lvlText w:val="•"/>
      <w:lvlJc w:val="left"/>
      <w:pPr>
        <w:ind w:left="4755" w:hanging="241"/>
      </w:pPr>
      <w:rPr>
        <w:rFonts w:hint="default"/>
        <w:lang w:val="en-US" w:eastAsia="en-US" w:bidi="ar-SA"/>
      </w:rPr>
    </w:lvl>
  </w:abstractNum>
  <w:abstractNum w:abstractNumId="27">
    <w:multiLevelType w:val="hybridMultilevel"/>
    <w:lvl w:ilvl="0">
      <w:start w:val="1"/>
      <w:numFmt w:val="lowerLetter"/>
      <w:lvlText w:val="(%1)"/>
      <w:lvlJc w:val="left"/>
      <w:pPr>
        <w:ind w:left="399" w:hanging="240"/>
        <w:jc w:val="left"/>
      </w:pPr>
      <w:rPr>
        <w:rFonts w:hint="default" w:ascii="Times New Roman" w:hAnsi="Times New Roman" w:eastAsia="Times New Roman" w:cs="Times New Roman"/>
        <w:spacing w:val="-14"/>
        <w:w w:val="100"/>
        <w:sz w:val="12"/>
        <w:szCs w:val="12"/>
        <w:lang w:val="en-US" w:eastAsia="en-US" w:bidi="ar-SA"/>
      </w:rPr>
    </w:lvl>
    <w:lvl w:ilvl="1">
      <w:start w:val="0"/>
      <w:numFmt w:val="bullet"/>
      <w:lvlText w:val="•"/>
      <w:lvlJc w:val="left"/>
      <w:pPr>
        <w:ind w:left="788" w:hanging="240"/>
      </w:pPr>
      <w:rPr>
        <w:rFonts w:hint="default"/>
        <w:lang w:val="en-US" w:eastAsia="en-US" w:bidi="ar-SA"/>
      </w:rPr>
    </w:lvl>
    <w:lvl w:ilvl="2">
      <w:start w:val="0"/>
      <w:numFmt w:val="bullet"/>
      <w:lvlText w:val="•"/>
      <w:lvlJc w:val="left"/>
      <w:pPr>
        <w:ind w:left="1176" w:hanging="240"/>
      </w:pPr>
      <w:rPr>
        <w:rFonts w:hint="default"/>
        <w:lang w:val="en-US" w:eastAsia="en-US" w:bidi="ar-SA"/>
      </w:rPr>
    </w:lvl>
    <w:lvl w:ilvl="3">
      <w:start w:val="0"/>
      <w:numFmt w:val="bullet"/>
      <w:lvlText w:val="•"/>
      <w:lvlJc w:val="left"/>
      <w:pPr>
        <w:ind w:left="1564" w:hanging="240"/>
      </w:pPr>
      <w:rPr>
        <w:rFonts w:hint="default"/>
        <w:lang w:val="en-US" w:eastAsia="en-US" w:bidi="ar-SA"/>
      </w:rPr>
    </w:lvl>
    <w:lvl w:ilvl="4">
      <w:start w:val="0"/>
      <w:numFmt w:val="bullet"/>
      <w:lvlText w:val="•"/>
      <w:lvlJc w:val="left"/>
      <w:pPr>
        <w:ind w:left="1952" w:hanging="240"/>
      </w:pPr>
      <w:rPr>
        <w:rFonts w:hint="default"/>
        <w:lang w:val="en-US" w:eastAsia="en-US" w:bidi="ar-SA"/>
      </w:rPr>
    </w:lvl>
    <w:lvl w:ilvl="5">
      <w:start w:val="0"/>
      <w:numFmt w:val="bullet"/>
      <w:lvlText w:val="•"/>
      <w:lvlJc w:val="left"/>
      <w:pPr>
        <w:ind w:left="2340" w:hanging="240"/>
      </w:pPr>
      <w:rPr>
        <w:rFonts w:hint="default"/>
        <w:lang w:val="en-US" w:eastAsia="en-US" w:bidi="ar-SA"/>
      </w:rPr>
    </w:lvl>
    <w:lvl w:ilvl="6">
      <w:start w:val="0"/>
      <w:numFmt w:val="bullet"/>
      <w:lvlText w:val="•"/>
      <w:lvlJc w:val="left"/>
      <w:pPr>
        <w:ind w:left="2729" w:hanging="240"/>
      </w:pPr>
      <w:rPr>
        <w:rFonts w:hint="default"/>
        <w:lang w:val="en-US" w:eastAsia="en-US" w:bidi="ar-SA"/>
      </w:rPr>
    </w:lvl>
    <w:lvl w:ilvl="7">
      <w:start w:val="0"/>
      <w:numFmt w:val="bullet"/>
      <w:lvlText w:val="•"/>
      <w:lvlJc w:val="left"/>
      <w:pPr>
        <w:ind w:left="3117" w:hanging="240"/>
      </w:pPr>
      <w:rPr>
        <w:rFonts w:hint="default"/>
        <w:lang w:val="en-US" w:eastAsia="en-US" w:bidi="ar-SA"/>
      </w:rPr>
    </w:lvl>
    <w:lvl w:ilvl="8">
      <w:start w:val="0"/>
      <w:numFmt w:val="bullet"/>
      <w:lvlText w:val="•"/>
      <w:lvlJc w:val="left"/>
      <w:pPr>
        <w:ind w:left="3505" w:hanging="240"/>
      </w:pPr>
      <w:rPr>
        <w:rFonts w:hint="default"/>
        <w:lang w:val="en-US" w:eastAsia="en-US" w:bidi="ar-SA"/>
      </w:rPr>
    </w:lvl>
  </w:abstractNum>
  <w:abstractNum w:abstractNumId="26">
    <w:multiLevelType w:val="hybridMultilevel"/>
    <w:lvl w:ilvl="0">
      <w:start w:val="4"/>
      <w:numFmt w:val="decimal"/>
      <w:lvlText w:val="%1"/>
      <w:lvlJc w:val="left"/>
      <w:pPr>
        <w:ind w:left="3174" w:hanging="2995"/>
        <w:jc w:val="left"/>
      </w:pPr>
      <w:rPr>
        <w:rFonts w:hint="default"/>
        <w:lang w:val="en-US" w:eastAsia="en-US" w:bidi="ar-SA"/>
      </w:rPr>
    </w:lvl>
    <w:lvl w:ilvl="1">
      <w:start w:val="6"/>
      <w:numFmt w:val="decimal"/>
      <w:lvlText w:val="%1.%2"/>
      <w:lvlJc w:val="left"/>
      <w:pPr>
        <w:ind w:left="3174" w:hanging="2995"/>
        <w:jc w:val="left"/>
      </w:pPr>
      <w:rPr>
        <w:rFonts w:hint="default" w:ascii="Times New Roman" w:hAnsi="Times New Roman" w:eastAsia="Times New Roman" w:cs="Times New Roman"/>
        <w:b/>
        <w:bCs/>
        <w:color w:val="009483"/>
        <w:w w:val="100"/>
        <w:sz w:val="28"/>
        <w:szCs w:val="28"/>
        <w:u w:val="thick" w:color="0093C1"/>
        <w:lang w:val="en-US" w:eastAsia="en-US" w:bidi="ar-SA"/>
      </w:rPr>
    </w:lvl>
    <w:lvl w:ilvl="2">
      <w:start w:val="1"/>
      <w:numFmt w:val="decimal"/>
      <w:lvlText w:val="(%3)"/>
      <w:lvlJc w:val="left"/>
      <w:pPr>
        <w:ind w:left="5200" w:hanging="241"/>
        <w:jc w:val="left"/>
      </w:pPr>
      <w:rPr>
        <w:rFonts w:hint="default" w:ascii="Times New Roman" w:hAnsi="Times New Roman" w:eastAsia="Times New Roman" w:cs="Times New Roman"/>
        <w:w w:val="100"/>
        <w:sz w:val="16"/>
        <w:szCs w:val="16"/>
        <w:lang w:val="en-US" w:eastAsia="en-US" w:bidi="ar-SA"/>
      </w:rPr>
    </w:lvl>
    <w:lvl w:ilvl="3">
      <w:start w:val="0"/>
      <w:numFmt w:val="bullet"/>
      <w:lvlText w:val="•"/>
      <w:lvlJc w:val="left"/>
      <w:pPr>
        <w:ind w:left="5349" w:hanging="241"/>
      </w:pPr>
      <w:rPr>
        <w:rFonts w:hint="default"/>
        <w:lang w:val="en-US" w:eastAsia="en-US" w:bidi="ar-SA"/>
      </w:rPr>
    </w:lvl>
    <w:lvl w:ilvl="4">
      <w:start w:val="0"/>
      <w:numFmt w:val="bullet"/>
      <w:lvlText w:val="•"/>
      <w:lvlJc w:val="left"/>
      <w:pPr>
        <w:ind w:left="5424" w:hanging="241"/>
      </w:pPr>
      <w:rPr>
        <w:rFonts w:hint="default"/>
        <w:lang w:val="en-US" w:eastAsia="en-US" w:bidi="ar-SA"/>
      </w:rPr>
    </w:lvl>
    <w:lvl w:ilvl="5">
      <w:start w:val="0"/>
      <w:numFmt w:val="bullet"/>
      <w:lvlText w:val="•"/>
      <w:lvlJc w:val="left"/>
      <w:pPr>
        <w:ind w:left="5499" w:hanging="241"/>
      </w:pPr>
      <w:rPr>
        <w:rFonts w:hint="default"/>
        <w:lang w:val="en-US" w:eastAsia="en-US" w:bidi="ar-SA"/>
      </w:rPr>
    </w:lvl>
    <w:lvl w:ilvl="6">
      <w:start w:val="0"/>
      <w:numFmt w:val="bullet"/>
      <w:lvlText w:val="•"/>
      <w:lvlJc w:val="left"/>
      <w:pPr>
        <w:ind w:left="5573" w:hanging="241"/>
      </w:pPr>
      <w:rPr>
        <w:rFonts w:hint="default"/>
        <w:lang w:val="en-US" w:eastAsia="en-US" w:bidi="ar-SA"/>
      </w:rPr>
    </w:lvl>
    <w:lvl w:ilvl="7">
      <w:start w:val="0"/>
      <w:numFmt w:val="bullet"/>
      <w:lvlText w:val="•"/>
      <w:lvlJc w:val="left"/>
      <w:pPr>
        <w:ind w:left="5648" w:hanging="241"/>
      </w:pPr>
      <w:rPr>
        <w:rFonts w:hint="default"/>
        <w:lang w:val="en-US" w:eastAsia="en-US" w:bidi="ar-SA"/>
      </w:rPr>
    </w:lvl>
    <w:lvl w:ilvl="8">
      <w:start w:val="0"/>
      <w:numFmt w:val="bullet"/>
      <w:lvlText w:val="•"/>
      <w:lvlJc w:val="left"/>
      <w:pPr>
        <w:ind w:left="5723" w:hanging="241"/>
      </w:pPr>
      <w:rPr>
        <w:rFonts w:hint="default"/>
        <w:lang w:val="en-US" w:eastAsia="en-US" w:bidi="ar-SA"/>
      </w:rPr>
    </w:lvl>
  </w:abstractNum>
  <w:abstractNum w:abstractNumId="25">
    <w:multiLevelType w:val="hybridMultilevel"/>
    <w:lvl w:ilvl="0">
      <w:start w:val="1"/>
      <w:numFmt w:val="lowerLetter"/>
      <w:lvlText w:val="(%1)"/>
      <w:lvlJc w:val="left"/>
      <w:pPr>
        <w:ind w:left="405" w:hanging="240"/>
        <w:jc w:val="left"/>
      </w:pPr>
      <w:rPr>
        <w:rFonts w:hint="default" w:ascii="Times New Roman" w:hAnsi="Times New Roman" w:eastAsia="Times New Roman" w:cs="Times New Roman"/>
        <w:spacing w:val="-14"/>
        <w:w w:val="100"/>
        <w:sz w:val="12"/>
        <w:szCs w:val="12"/>
        <w:lang w:val="en-US" w:eastAsia="en-US" w:bidi="ar-SA"/>
      </w:rPr>
    </w:lvl>
    <w:lvl w:ilvl="1">
      <w:start w:val="0"/>
      <w:numFmt w:val="bullet"/>
      <w:lvlText w:val="•"/>
      <w:lvlJc w:val="left"/>
      <w:pPr>
        <w:ind w:left="773" w:hanging="240"/>
      </w:pPr>
      <w:rPr>
        <w:rFonts w:hint="default"/>
        <w:lang w:val="en-US" w:eastAsia="en-US" w:bidi="ar-SA"/>
      </w:rPr>
    </w:lvl>
    <w:lvl w:ilvl="2">
      <w:start w:val="0"/>
      <w:numFmt w:val="bullet"/>
      <w:lvlText w:val="•"/>
      <w:lvlJc w:val="left"/>
      <w:pPr>
        <w:ind w:left="1146" w:hanging="240"/>
      </w:pPr>
      <w:rPr>
        <w:rFonts w:hint="default"/>
        <w:lang w:val="en-US" w:eastAsia="en-US" w:bidi="ar-SA"/>
      </w:rPr>
    </w:lvl>
    <w:lvl w:ilvl="3">
      <w:start w:val="0"/>
      <w:numFmt w:val="bullet"/>
      <w:lvlText w:val="•"/>
      <w:lvlJc w:val="left"/>
      <w:pPr>
        <w:ind w:left="1520" w:hanging="240"/>
      </w:pPr>
      <w:rPr>
        <w:rFonts w:hint="default"/>
        <w:lang w:val="en-US" w:eastAsia="en-US" w:bidi="ar-SA"/>
      </w:rPr>
    </w:lvl>
    <w:lvl w:ilvl="4">
      <w:start w:val="0"/>
      <w:numFmt w:val="bullet"/>
      <w:lvlText w:val="•"/>
      <w:lvlJc w:val="left"/>
      <w:pPr>
        <w:ind w:left="1893" w:hanging="240"/>
      </w:pPr>
      <w:rPr>
        <w:rFonts w:hint="default"/>
        <w:lang w:val="en-US" w:eastAsia="en-US" w:bidi="ar-SA"/>
      </w:rPr>
    </w:lvl>
    <w:lvl w:ilvl="5">
      <w:start w:val="0"/>
      <w:numFmt w:val="bullet"/>
      <w:lvlText w:val="•"/>
      <w:lvlJc w:val="left"/>
      <w:pPr>
        <w:ind w:left="2267" w:hanging="240"/>
      </w:pPr>
      <w:rPr>
        <w:rFonts w:hint="default"/>
        <w:lang w:val="en-US" w:eastAsia="en-US" w:bidi="ar-SA"/>
      </w:rPr>
    </w:lvl>
    <w:lvl w:ilvl="6">
      <w:start w:val="0"/>
      <w:numFmt w:val="bullet"/>
      <w:lvlText w:val="•"/>
      <w:lvlJc w:val="left"/>
      <w:pPr>
        <w:ind w:left="2640" w:hanging="240"/>
      </w:pPr>
      <w:rPr>
        <w:rFonts w:hint="default"/>
        <w:lang w:val="en-US" w:eastAsia="en-US" w:bidi="ar-SA"/>
      </w:rPr>
    </w:lvl>
    <w:lvl w:ilvl="7">
      <w:start w:val="0"/>
      <w:numFmt w:val="bullet"/>
      <w:lvlText w:val="•"/>
      <w:lvlJc w:val="left"/>
      <w:pPr>
        <w:ind w:left="3014" w:hanging="240"/>
      </w:pPr>
      <w:rPr>
        <w:rFonts w:hint="default"/>
        <w:lang w:val="en-US" w:eastAsia="en-US" w:bidi="ar-SA"/>
      </w:rPr>
    </w:lvl>
    <w:lvl w:ilvl="8">
      <w:start w:val="0"/>
      <w:numFmt w:val="bullet"/>
      <w:lvlText w:val="•"/>
      <w:lvlJc w:val="left"/>
      <w:pPr>
        <w:ind w:left="3387" w:hanging="240"/>
      </w:pPr>
      <w:rPr>
        <w:rFonts w:hint="default"/>
        <w:lang w:val="en-US" w:eastAsia="en-US" w:bidi="ar-SA"/>
      </w:rPr>
    </w:lvl>
  </w:abstractNum>
  <w:abstractNum w:abstractNumId="24">
    <w:multiLevelType w:val="hybridMultilevel"/>
    <w:lvl w:ilvl="0">
      <w:start w:val="4"/>
      <w:numFmt w:val="decimal"/>
      <w:lvlText w:val="%1"/>
      <w:lvlJc w:val="left"/>
      <w:pPr>
        <w:ind w:left="1303" w:hanging="1159"/>
        <w:jc w:val="left"/>
      </w:pPr>
      <w:rPr>
        <w:rFonts w:hint="default"/>
        <w:lang w:val="en-US" w:eastAsia="en-US" w:bidi="ar-SA"/>
      </w:rPr>
    </w:lvl>
    <w:lvl w:ilvl="1">
      <w:start w:val="4"/>
      <w:numFmt w:val="decimal"/>
      <w:lvlText w:val="%1.%2"/>
      <w:lvlJc w:val="left"/>
      <w:pPr>
        <w:ind w:left="1303" w:hanging="1159"/>
        <w:jc w:val="left"/>
      </w:pPr>
      <w:rPr>
        <w:rFonts w:hint="default"/>
        <w:b/>
        <w:bCs/>
        <w:w w:val="100"/>
        <w:u w:val="thick" w:color="0093C1"/>
        <w:lang w:val="en-US" w:eastAsia="en-US" w:bidi="ar-SA"/>
      </w:rPr>
    </w:lvl>
    <w:lvl w:ilvl="2">
      <w:start w:val="0"/>
      <w:numFmt w:val="bullet"/>
      <w:lvlText w:val="•"/>
      <w:lvlJc w:val="left"/>
      <w:pPr>
        <w:ind w:left="2213" w:hanging="1159"/>
      </w:pPr>
      <w:rPr>
        <w:rFonts w:hint="default"/>
        <w:lang w:val="en-US" w:eastAsia="en-US" w:bidi="ar-SA"/>
      </w:rPr>
    </w:lvl>
    <w:lvl w:ilvl="3">
      <w:start w:val="0"/>
      <w:numFmt w:val="bullet"/>
      <w:lvlText w:val="•"/>
      <w:lvlJc w:val="left"/>
      <w:pPr>
        <w:ind w:left="2669" w:hanging="1159"/>
      </w:pPr>
      <w:rPr>
        <w:rFonts w:hint="default"/>
        <w:lang w:val="en-US" w:eastAsia="en-US" w:bidi="ar-SA"/>
      </w:rPr>
    </w:lvl>
    <w:lvl w:ilvl="4">
      <w:start w:val="0"/>
      <w:numFmt w:val="bullet"/>
      <w:lvlText w:val="•"/>
      <w:lvlJc w:val="left"/>
      <w:pPr>
        <w:ind w:left="3126" w:hanging="1159"/>
      </w:pPr>
      <w:rPr>
        <w:rFonts w:hint="default"/>
        <w:lang w:val="en-US" w:eastAsia="en-US" w:bidi="ar-SA"/>
      </w:rPr>
    </w:lvl>
    <w:lvl w:ilvl="5">
      <w:start w:val="0"/>
      <w:numFmt w:val="bullet"/>
      <w:lvlText w:val="•"/>
      <w:lvlJc w:val="left"/>
      <w:pPr>
        <w:ind w:left="3582" w:hanging="1159"/>
      </w:pPr>
      <w:rPr>
        <w:rFonts w:hint="default"/>
        <w:lang w:val="en-US" w:eastAsia="en-US" w:bidi="ar-SA"/>
      </w:rPr>
    </w:lvl>
    <w:lvl w:ilvl="6">
      <w:start w:val="0"/>
      <w:numFmt w:val="bullet"/>
      <w:lvlText w:val="•"/>
      <w:lvlJc w:val="left"/>
      <w:pPr>
        <w:ind w:left="4039" w:hanging="1159"/>
      </w:pPr>
      <w:rPr>
        <w:rFonts w:hint="default"/>
        <w:lang w:val="en-US" w:eastAsia="en-US" w:bidi="ar-SA"/>
      </w:rPr>
    </w:lvl>
    <w:lvl w:ilvl="7">
      <w:start w:val="0"/>
      <w:numFmt w:val="bullet"/>
      <w:lvlText w:val="•"/>
      <w:lvlJc w:val="left"/>
      <w:pPr>
        <w:ind w:left="4495" w:hanging="1159"/>
      </w:pPr>
      <w:rPr>
        <w:rFonts w:hint="default"/>
        <w:lang w:val="en-US" w:eastAsia="en-US" w:bidi="ar-SA"/>
      </w:rPr>
    </w:lvl>
    <w:lvl w:ilvl="8">
      <w:start w:val="0"/>
      <w:numFmt w:val="bullet"/>
      <w:lvlText w:val="•"/>
      <w:lvlJc w:val="left"/>
      <w:pPr>
        <w:ind w:left="4952" w:hanging="1159"/>
      </w:pPr>
      <w:rPr>
        <w:rFonts w:hint="default"/>
        <w:lang w:val="en-US" w:eastAsia="en-US" w:bidi="ar-SA"/>
      </w:rPr>
    </w:lvl>
  </w:abstractNum>
  <w:abstractNum w:abstractNumId="23">
    <w:multiLevelType w:val="hybridMultilevel"/>
    <w:lvl w:ilvl="0">
      <w:start w:val="1"/>
      <w:numFmt w:val="lowerLetter"/>
      <w:lvlText w:val="(%1)"/>
      <w:lvlJc w:val="left"/>
      <w:pPr>
        <w:ind w:left="385" w:hanging="240"/>
        <w:jc w:val="left"/>
      </w:pPr>
      <w:rPr>
        <w:rFonts w:hint="default" w:ascii="Times New Roman" w:hAnsi="Times New Roman" w:eastAsia="Times New Roman" w:cs="Times New Roman"/>
        <w:spacing w:val="-14"/>
        <w:w w:val="100"/>
        <w:sz w:val="12"/>
        <w:szCs w:val="12"/>
        <w:lang w:val="en-US" w:eastAsia="en-US" w:bidi="ar-SA"/>
      </w:rPr>
    </w:lvl>
    <w:lvl w:ilvl="1">
      <w:start w:val="0"/>
      <w:numFmt w:val="bullet"/>
      <w:lvlText w:val="•"/>
      <w:lvlJc w:val="left"/>
      <w:pPr>
        <w:ind w:left="717" w:hanging="240"/>
      </w:pPr>
      <w:rPr>
        <w:rFonts w:hint="default"/>
        <w:lang w:val="en-US" w:eastAsia="en-US" w:bidi="ar-SA"/>
      </w:rPr>
    </w:lvl>
    <w:lvl w:ilvl="2">
      <w:start w:val="0"/>
      <w:numFmt w:val="bullet"/>
      <w:lvlText w:val="•"/>
      <w:lvlJc w:val="left"/>
      <w:pPr>
        <w:ind w:left="1055" w:hanging="240"/>
      </w:pPr>
      <w:rPr>
        <w:rFonts w:hint="default"/>
        <w:lang w:val="en-US" w:eastAsia="en-US" w:bidi="ar-SA"/>
      </w:rPr>
    </w:lvl>
    <w:lvl w:ilvl="3">
      <w:start w:val="0"/>
      <w:numFmt w:val="bullet"/>
      <w:lvlText w:val="•"/>
      <w:lvlJc w:val="left"/>
      <w:pPr>
        <w:ind w:left="1392" w:hanging="240"/>
      </w:pPr>
      <w:rPr>
        <w:rFonts w:hint="default"/>
        <w:lang w:val="en-US" w:eastAsia="en-US" w:bidi="ar-SA"/>
      </w:rPr>
    </w:lvl>
    <w:lvl w:ilvl="4">
      <w:start w:val="0"/>
      <w:numFmt w:val="bullet"/>
      <w:lvlText w:val="•"/>
      <w:lvlJc w:val="left"/>
      <w:pPr>
        <w:ind w:left="1730" w:hanging="240"/>
      </w:pPr>
      <w:rPr>
        <w:rFonts w:hint="default"/>
        <w:lang w:val="en-US" w:eastAsia="en-US" w:bidi="ar-SA"/>
      </w:rPr>
    </w:lvl>
    <w:lvl w:ilvl="5">
      <w:start w:val="0"/>
      <w:numFmt w:val="bullet"/>
      <w:lvlText w:val="•"/>
      <w:lvlJc w:val="left"/>
      <w:pPr>
        <w:ind w:left="2067" w:hanging="240"/>
      </w:pPr>
      <w:rPr>
        <w:rFonts w:hint="default"/>
        <w:lang w:val="en-US" w:eastAsia="en-US" w:bidi="ar-SA"/>
      </w:rPr>
    </w:lvl>
    <w:lvl w:ilvl="6">
      <w:start w:val="0"/>
      <w:numFmt w:val="bullet"/>
      <w:lvlText w:val="•"/>
      <w:lvlJc w:val="left"/>
      <w:pPr>
        <w:ind w:left="2405" w:hanging="240"/>
      </w:pPr>
      <w:rPr>
        <w:rFonts w:hint="default"/>
        <w:lang w:val="en-US" w:eastAsia="en-US" w:bidi="ar-SA"/>
      </w:rPr>
    </w:lvl>
    <w:lvl w:ilvl="7">
      <w:start w:val="0"/>
      <w:numFmt w:val="bullet"/>
      <w:lvlText w:val="•"/>
      <w:lvlJc w:val="left"/>
      <w:pPr>
        <w:ind w:left="2743" w:hanging="240"/>
      </w:pPr>
      <w:rPr>
        <w:rFonts w:hint="default"/>
        <w:lang w:val="en-US" w:eastAsia="en-US" w:bidi="ar-SA"/>
      </w:rPr>
    </w:lvl>
    <w:lvl w:ilvl="8">
      <w:start w:val="0"/>
      <w:numFmt w:val="bullet"/>
      <w:lvlText w:val="•"/>
      <w:lvlJc w:val="left"/>
      <w:pPr>
        <w:ind w:left="3080" w:hanging="240"/>
      </w:pPr>
      <w:rPr>
        <w:rFonts w:hint="default"/>
        <w:lang w:val="en-US" w:eastAsia="en-US" w:bidi="ar-SA"/>
      </w:rPr>
    </w:lvl>
  </w:abstractNum>
  <w:abstractNum w:abstractNumId="22">
    <w:multiLevelType w:val="hybridMultilevel"/>
    <w:lvl w:ilvl="0">
      <w:start w:val="4"/>
      <w:numFmt w:val="decimal"/>
      <w:lvlText w:val="%1"/>
      <w:lvlJc w:val="left"/>
      <w:pPr>
        <w:ind w:left="1192" w:hanging="833"/>
        <w:jc w:val="left"/>
      </w:pPr>
      <w:rPr>
        <w:rFonts w:hint="default"/>
        <w:lang w:val="en-US" w:eastAsia="en-US" w:bidi="ar-SA"/>
      </w:rPr>
    </w:lvl>
    <w:lvl w:ilvl="1">
      <w:start w:val="1"/>
      <w:numFmt w:val="decimal"/>
      <w:lvlText w:val="%1.%2"/>
      <w:lvlJc w:val="left"/>
      <w:pPr>
        <w:ind w:left="1192" w:hanging="833"/>
        <w:jc w:val="right"/>
      </w:pPr>
      <w:rPr>
        <w:rFonts w:hint="default" w:ascii="Times New Roman" w:hAnsi="Times New Roman" w:eastAsia="Times New Roman" w:cs="Times New Roman"/>
        <w:b/>
        <w:bCs/>
        <w:color w:val="009483"/>
        <w:w w:val="100"/>
        <w:sz w:val="28"/>
        <w:szCs w:val="28"/>
        <w:u w:val="thick" w:color="0093C1"/>
        <w:lang w:val="en-US" w:eastAsia="en-US" w:bidi="ar-SA"/>
      </w:rPr>
    </w:lvl>
    <w:lvl w:ilvl="2">
      <w:start w:val="0"/>
      <w:numFmt w:val="bullet"/>
      <w:lvlText w:val="•"/>
      <w:lvlJc w:val="left"/>
      <w:pPr>
        <w:ind w:left="2172" w:hanging="833"/>
      </w:pPr>
      <w:rPr>
        <w:rFonts w:hint="default"/>
        <w:lang w:val="en-US" w:eastAsia="en-US" w:bidi="ar-SA"/>
      </w:rPr>
    </w:lvl>
    <w:lvl w:ilvl="3">
      <w:start w:val="0"/>
      <w:numFmt w:val="bullet"/>
      <w:lvlText w:val="•"/>
      <w:lvlJc w:val="left"/>
      <w:pPr>
        <w:ind w:left="2658" w:hanging="833"/>
      </w:pPr>
      <w:rPr>
        <w:rFonts w:hint="default"/>
        <w:lang w:val="en-US" w:eastAsia="en-US" w:bidi="ar-SA"/>
      </w:rPr>
    </w:lvl>
    <w:lvl w:ilvl="4">
      <w:start w:val="0"/>
      <w:numFmt w:val="bullet"/>
      <w:lvlText w:val="•"/>
      <w:lvlJc w:val="left"/>
      <w:pPr>
        <w:ind w:left="3144" w:hanging="833"/>
      </w:pPr>
      <w:rPr>
        <w:rFonts w:hint="default"/>
        <w:lang w:val="en-US" w:eastAsia="en-US" w:bidi="ar-SA"/>
      </w:rPr>
    </w:lvl>
    <w:lvl w:ilvl="5">
      <w:start w:val="0"/>
      <w:numFmt w:val="bullet"/>
      <w:lvlText w:val="•"/>
      <w:lvlJc w:val="left"/>
      <w:pPr>
        <w:ind w:left="3630" w:hanging="833"/>
      </w:pPr>
      <w:rPr>
        <w:rFonts w:hint="default"/>
        <w:lang w:val="en-US" w:eastAsia="en-US" w:bidi="ar-SA"/>
      </w:rPr>
    </w:lvl>
    <w:lvl w:ilvl="6">
      <w:start w:val="0"/>
      <w:numFmt w:val="bullet"/>
      <w:lvlText w:val="•"/>
      <w:lvlJc w:val="left"/>
      <w:pPr>
        <w:ind w:left="4116" w:hanging="833"/>
      </w:pPr>
      <w:rPr>
        <w:rFonts w:hint="default"/>
        <w:lang w:val="en-US" w:eastAsia="en-US" w:bidi="ar-SA"/>
      </w:rPr>
    </w:lvl>
    <w:lvl w:ilvl="7">
      <w:start w:val="0"/>
      <w:numFmt w:val="bullet"/>
      <w:lvlText w:val="•"/>
      <w:lvlJc w:val="left"/>
      <w:pPr>
        <w:ind w:left="4602" w:hanging="833"/>
      </w:pPr>
      <w:rPr>
        <w:rFonts w:hint="default"/>
        <w:lang w:val="en-US" w:eastAsia="en-US" w:bidi="ar-SA"/>
      </w:rPr>
    </w:lvl>
    <w:lvl w:ilvl="8">
      <w:start w:val="0"/>
      <w:numFmt w:val="bullet"/>
      <w:lvlText w:val="•"/>
      <w:lvlJc w:val="left"/>
      <w:pPr>
        <w:ind w:left="5088" w:hanging="833"/>
      </w:pPr>
      <w:rPr>
        <w:rFonts w:hint="default"/>
        <w:lang w:val="en-US" w:eastAsia="en-US" w:bidi="ar-SA"/>
      </w:rPr>
    </w:lvl>
  </w:abstractNum>
  <w:abstractNum w:abstractNumId="21">
    <w:multiLevelType w:val="hybridMultilevel"/>
    <w:lvl w:ilvl="0">
      <w:start w:val="1"/>
      <w:numFmt w:val="decimal"/>
      <w:lvlText w:val="(%1)"/>
      <w:lvlJc w:val="left"/>
      <w:pPr>
        <w:ind w:left="750" w:hanging="241"/>
        <w:jc w:val="left"/>
      </w:pPr>
      <w:rPr>
        <w:rFonts w:hint="default" w:ascii="Times New Roman" w:hAnsi="Times New Roman" w:eastAsia="Times New Roman" w:cs="Times New Roman"/>
        <w:spacing w:val="-3"/>
        <w:w w:val="100"/>
        <w:sz w:val="14"/>
        <w:szCs w:val="14"/>
        <w:lang w:val="en-US" w:eastAsia="en-US" w:bidi="ar-SA"/>
      </w:rPr>
    </w:lvl>
    <w:lvl w:ilvl="1">
      <w:start w:val="0"/>
      <w:numFmt w:val="bullet"/>
      <w:lvlText w:val="•"/>
      <w:lvlJc w:val="left"/>
      <w:pPr>
        <w:ind w:left="1750" w:hanging="241"/>
      </w:pPr>
      <w:rPr>
        <w:rFonts w:hint="default"/>
        <w:lang w:val="en-US" w:eastAsia="en-US" w:bidi="ar-SA"/>
      </w:rPr>
    </w:lvl>
    <w:lvl w:ilvl="2">
      <w:start w:val="0"/>
      <w:numFmt w:val="bullet"/>
      <w:lvlText w:val="•"/>
      <w:lvlJc w:val="left"/>
      <w:pPr>
        <w:ind w:left="2740" w:hanging="241"/>
      </w:pPr>
      <w:rPr>
        <w:rFonts w:hint="default"/>
        <w:lang w:val="en-US" w:eastAsia="en-US" w:bidi="ar-SA"/>
      </w:rPr>
    </w:lvl>
    <w:lvl w:ilvl="3">
      <w:start w:val="0"/>
      <w:numFmt w:val="bullet"/>
      <w:lvlText w:val="•"/>
      <w:lvlJc w:val="left"/>
      <w:pPr>
        <w:ind w:left="3730" w:hanging="241"/>
      </w:pPr>
      <w:rPr>
        <w:rFonts w:hint="default"/>
        <w:lang w:val="en-US" w:eastAsia="en-US" w:bidi="ar-SA"/>
      </w:rPr>
    </w:lvl>
    <w:lvl w:ilvl="4">
      <w:start w:val="0"/>
      <w:numFmt w:val="bullet"/>
      <w:lvlText w:val="•"/>
      <w:lvlJc w:val="left"/>
      <w:pPr>
        <w:ind w:left="4720" w:hanging="241"/>
      </w:pPr>
      <w:rPr>
        <w:rFonts w:hint="default"/>
        <w:lang w:val="en-US" w:eastAsia="en-US" w:bidi="ar-SA"/>
      </w:rPr>
    </w:lvl>
    <w:lvl w:ilvl="5">
      <w:start w:val="0"/>
      <w:numFmt w:val="bullet"/>
      <w:lvlText w:val="•"/>
      <w:lvlJc w:val="left"/>
      <w:pPr>
        <w:ind w:left="5710" w:hanging="241"/>
      </w:pPr>
      <w:rPr>
        <w:rFonts w:hint="default"/>
        <w:lang w:val="en-US" w:eastAsia="en-US" w:bidi="ar-SA"/>
      </w:rPr>
    </w:lvl>
    <w:lvl w:ilvl="6">
      <w:start w:val="0"/>
      <w:numFmt w:val="bullet"/>
      <w:lvlText w:val="•"/>
      <w:lvlJc w:val="left"/>
      <w:pPr>
        <w:ind w:left="6700" w:hanging="241"/>
      </w:pPr>
      <w:rPr>
        <w:rFonts w:hint="default"/>
        <w:lang w:val="en-US" w:eastAsia="en-US" w:bidi="ar-SA"/>
      </w:rPr>
    </w:lvl>
    <w:lvl w:ilvl="7">
      <w:start w:val="0"/>
      <w:numFmt w:val="bullet"/>
      <w:lvlText w:val="•"/>
      <w:lvlJc w:val="left"/>
      <w:pPr>
        <w:ind w:left="7690" w:hanging="241"/>
      </w:pPr>
      <w:rPr>
        <w:rFonts w:hint="default"/>
        <w:lang w:val="en-US" w:eastAsia="en-US" w:bidi="ar-SA"/>
      </w:rPr>
    </w:lvl>
    <w:lvl w:ilvl="8">
      <w:start w:val="0"/>
      <w:numFmt w:val="bullet"/>
      <w:lvlText w:val="•"/>
      <w:lvlJc w:val="left"/>
      <w:pPr>
        <w:ind w:left="8680" w:hanging="241"/>
      </w:pPr>
      <w:rPr>
        <w:rFonts w:hint="default"/>
        <w:lang w:val="en-US" w:eastAsia="en-US" w:bidi="ar-SA"/>
      </w:rPr>
    </w:lvl>
  </w:abstractNum>
  <w:abstractNum w:abstractNumId="20">
    <w:multiLevelType w:val="hybridMultilevel"/>
    <w:lvl w:ilvl="0">
      <w:start w:val="1"/>
      <w:numFmt w:val="lowerLetter"/>
      <w:lvlText w:val="(%1)"/>
      <w:lvlJc w:val="left"/>
      <w:pPr>
        <w:ind w:left="399" w:hanging="240"/>
        <w:jc w:val="left"/>
      </w:pPr>
      <w:rPr>
        <w:rFonts w:hint="default" w:ascii="Times New Roman" w:hAnsi="Times New Roman" w:eastAsia="Times New Roman" w:cs="Times New Roman"/>
        <w:spacing w:val="-14"/>
        <w:w w:val="100"/>
        <w:sz w:val="12"/>
        <w:szCs w:val="12"/>
        <w:lang w:val="en-US" w:eastAsia="en-US" w:bidi="ar-SA"/>
      </w:rPr>
    </w:lvl>
    <w:lvl w:ilvl="1">
      <w:start w:val="0"/>
      <w:numFmt w:val="bullet"/>
      <w:lvlText w:val="•"/>
      <w:lvlJc w:val="left"/>
      <w:pPr>
        <w:ind w:left="778" w:hanging="240"/>
      </w:pPr>
      <w:rPr>
        <w:rFonts w:hint="default"/>
        <w:lang w:val="en-US" w:eastAsia="en-US" w:bidi="ar-SA"/>
      </w:rPr>
    </w:lvl>
    <w:lvl w:ilvl="2">
      <w:start w:val="0"/>
      <w:numFmt w:val="bullet"/>
      <w:lvlText w:val="•"/>
      <w:lvlJc w:val="left"/>
      <w:pPr>
        <w:ind w:left="1157" w:hanging="240"/>
      </w:pPr>
      <w:rPr>
        <w:rFonts w:hint="default"/>
        <w:lang w:val="en-US" w:eastAsia="en-US" w:bidi="ar-SA"/>
      </w:rPr>
    </w:lvl>
    <w:lvl w:ilvl="3">
      <w:start w:val="0"/>
      <w:numFmt w:val="bullet"/>
      <w:lvlText w:val="•"/>
      <w:lvlJc w:val="left"/>
      <w:pPr>
        <w:ind w:left="1535" w:hanging="240"/>
      </w:pPr>
      <w:rPr>
        <w:rFonts w:hint="default"/>
        <w:lang w:val="en-US" w:eastAsia="en-US" w:bidi="ar-SA"/>
      </w:rPr>
    </w:lvl>
    <w:lvl w:ilvl="4">
      <w:start w:val="0"/>
      <w:numFmt w:val="bullet"/>
      <w:lvlText w:val="•"/>
      <w:lvlJc w:val="left"/>
      <w:pPr>
        <w:ind w:left="1914" w:hanging="240"/>
      </w:pPr>
      <w:rPr>
        <w:rFonts w:hint="default"/>
        <w:lang w:val="en-US" w:eastAsia="en-US" w:bidi="ar-SA"/>
      </w:rPr>
    </w:lvl>
    <w:lvl w:ilvl="5">
      <w:start w:val="0"/>
      <w:numFmt w:val="bullet"/>
      <w:lvlText w:val="•"/>
      <w:lvlJc w:val="left"/>
      <w:pPr>
        <w:ind w:left="2292" w:hanging="240"/>
      </w:pPr>
      <w:rPr>
        <w:rFonts w:hint="default"/>
        <w:lang w:val="en-US" w:eastAsia="en-US" w:bidi="ar-SA"/>
      </w:rPr>
    </w:lvl>
    <w:lvl w:ilvl="6">
      <w:start w:val="0"/>
      <w:numFmt w:val="bullet"/>
      <w:lvlText w:val="•"/>
      <w:lvlJc w:val="left"/>
      <w:pPr>
        <w:ind w:left="2671" w:hanging="240"/>
      </w:pPr>
      <w:rPr>
        <w:rFonts w:hint="default"/>
        <w:lang w:val="en-US" w:eastAsia="en-US" w:bidi="ar-SA"/>
      </w:rPr>
    </w:lvl>
    <w:lvl w:ilvl="7">
      <w:start w:val="0"/>
      <w:numFmt w:val="bullet"/>
      <w:lvlText w:val="•"/>
      <w:lvlJc w:val="left"/>
      <w:pPr>
        <w:ind w:left="3050" w:hanging="240"/>
      </w:pPr>
      <w:rPr>
        <w:rFonts w:hint="default"/>
        <w:lang w:val="en-US" w:eastAsia="en-US" w:bidi="ar-SA"/>
      </w:rPr>
    </w:lvl>
    <w:lvl w:ilvl="8">
      <w:start w:val="0"/>
      <w:numFmt w:val="bullet"/>
      <w:lvlText w:val="•"/>
      <w:lvlJc w:val="left"/>
      <w:pPr>
        <w:ind w:left="3428" w:hanging="240"/>
      </w:pPr>
      <w:rPr>
        <w:rFonts w:hint="default"/>
        <w:lang w:val="en-US" w:eastAsia="en-US" w:bidi="ar-SA"/>
      </w:rPr>
    </w:lvl>
  </w:abstractNum>
  <w:abstractNum w:abstractNumId="19">
    <w:multiLevelType w:val="hybridMultilevel"/>
    <w:lvl w:ilvl="0">
      <w:start w:val="1"/>
      <w:numFmt w:val="lowerLetter"/>
      <w:lvlText w:val="(%1)"/>
      <w:lvlJc w:val="left"/>
      <w:pPr>
        <w:ind w:left="403" w:hanging="240"/>
        <w:jc w:val="left"/>
      </w:pPr>
      <w:rPr>
        <w:rFonts w:hint="default" w:ascii="Times New Roman" w:hAnsi="Times New Roman" w:eastAsia="Times New Roman" w:cs="Times New Roman"/>
        <w:spacing w:val="-14"/>
        <w:w w:val="100"/>
        <w:sz w:val="12"/>
        <w:szCs w:val="12"/>
        <w:lang w:val="en-US" w:eastAsia="en-US" w:bidi="ar-SA"/>
      </w:rPr>
    </w:lvl>
    <w:lvl w:ilvl="1">
      <w:start w:val="0"/>
      <w:numFmt w:val="bullet"/>
      <w:lvlText w:val="•"/>
      <w:lvlJc w:val="left"/>
      <w:pPr>
        <w:ind w:left="778" w:hanging="240"/>
      </w:pPr>
      <w:rPr>
        <w:rFonts w:hint="default"/>
        <w:lang w:val="en-US" w:eastAsia="en-US" w:bidi="ar-SA"/>
      </w:rPr>
    </w:lvl>
    <w:lvl w:ilvl="2">
      <w:start w:val="0"/>
      <w:numFmt w:val="bullet"/>
      <w:lvlText w:val="•"/>
      <w:lvlJc w:val="left"/>
      <w:pPr>
        <w:ind w:left="1157" w:hanging="240"/>
      </w:pPr>
      <w:rPr>
        <w:rFonts w:hint="default"/>
        <w:lang w:val="en-US" w:eastAsia="en-US" w:bidi="ar-SA"/>
      </w:rPr>
    </w:lvl>
    <w:lvl w:ilvl="3">
      <w:start w:val="0"/>
      <w:numFmt w:val="bullet"/>
      <w:lvlText w:val="•"/>
      <w:lvlJc w:val="left"/>
      <w:pPr>
        <w:ind w:left="1535" w:hanging="240"/>
      </w:pPr>
      <w:rPr>
        <w:rFonts w:hint="default"/>
        <w:lang w:val="en-US" w:eastAsia="en-US" w:bidi="ar-SA"/>
      </w:rPr>
    </w:lvl>
    <w:lvl w:ilvl="4">
      <w:start w:val="0"/>
      <w:numFmt w:val="bullet"/>
      <w:lvlText w:val="•"/>
      <w:lvlJc w:val="left"/>
      <w:pPr>
        <w:ind w:left="1914" w:hanging="240"/>
      </w:pPr>
      <w:rPr>
        <w:rFonts w:hint="default"/>
        <w:lang w:val="en-US" w:eastAsia="en-US" w:bidi="ar-SA"/>
      </w:rPr>
    </w:lvl>
    <w:lvl w:ilvl="5">
      <w:start w:val="0"/>
      <w:numFmt w:val="bullet"/>
      <w:lvlText w:val="•"/>
      <w:lvlJc w:val="left"/>
      <w:pPr>
        <w:ind w:left="2292" w:hanging="240"/>
      </w:pPr>
      <w:rPr>
        <w:rFonts w:hint="default"/>
        <w:lang w:val="en-US" w:eastAsia="en-US" w:bidi="ar-SA"/>
      </w:rPr>
    </w:lvl>
    <w:lvl w:ilvl="6">
      <w:start w:val="0"/>
      <w:numFmt w:val="bullet"/>
      <w:lvlText w:val="•"/>
      <w:lvlJc w:val="left"/>
      <w:pPr>
        <w:ind w:left="2671" w:hanging="240"/>
      </w:pPr>
      <w:rPr>
        <w:rFonts w:hint="default"/>
        <w:lang w:val="en-US" w:eastAsia="en-US" w:bidi="ar-SA"/>
      </w:rPr>
    </w:lvl>
    <w:lvl w:ilvl="7">
      <w:start w:val="0"/>
      <w:numFmt w:val="bullet"/>
      <w:lvlText w:val="•"/>
      <w:lvlJc w:val="left"/>
      <w:pPr>
        <w:ind w:left="3050" w:hanging="240"/>
      </w:pPr>
      <w:rPr>
        <w:rFonts w:hint="default"/>
        <w:lang w:val="en-US" w:eastAsia="en-US" w:bidi="ar-SA"/>
      </w:rPr>
    </w:lvl>
    <w:lvl w:ilvl="8">
      <w:start w:val="0"/>
      <w:numFmt w:val="bullet"/>
      <w:lvlText w:val="•"/>
      <w:lvlJc w:val="left"/>
      <w:pPr>
        <w:ind w:left="3428" w:hanging="240"/>
      </w:pPr>
      <w:rPr>
        <w:rFonts w:hint="default"/>
        <w:lang w:val="en-US" w:eastAsia="en-US" w:bidi="ar-SA"/>
      </w:rPr>
    </w:lvl>
  </w:abstractNum>
  <w:abstractNum w:abstractNumId="18">
    <w:multiLevelType w:val="hybridMultilevel"/>
    <w:lvl w:ilvl="0">
      <w:start w:val="1"/>
      <w:numFmt w:val="lowerLetter"/>
      <w:lvlText w:val="(%1)"/>
      <w:lvlJc w:val="left"/>
      <w:pPr>
        <w:ind w:left="413" w:hanging="240"/>
        <w:jc w:val="left"/>
      </w:pPr>
      <w:rPr>
        <w:rFonts w:hint="default" w:ascii="Times New Roman" w:hAnsi="Times New Roman" w:eastAsia="Times New Roman" w:cs="Times New Roman"/>
        <w:spacing w:val="-14"/>
        <w:w w:val="100"/>
        <w:sz w:val="12"/>
        <w:szCs w:val="12"/>
        <w:lang w:val="en-US" w:eastAsia="en-US" w:bidi="ar-SA"/>
      </w:rPr>
    </w:lvl>
    <w:lvl w:ilvl="1">
      <w:start w:val="0"/>
      <w:numFmt w:val="bullet"/>
      <w:lvlText w:val="•"/>
      <w:lvlJc w:val="left"/>
      <w:pPr>
        <w:ind w:left="758" w:hanging="240"/>
      </w:pPr>
      <w:rPr>
        <w:rFonts w:hint="default"/>
        <w:lang w:val="en-US" w:eastAsia="en-US" w:bidi="ar-SA"/>
      </w:rPr>
    </w:lvl>
    <w:lvl w:ilvl="2">
      <w:start w:val="0"/>
      <w:numFmt w:val="bullet"/>
      <w:lvlText w:val="•"/>
      <w:lvlJc w:val="left"/>
      <w:pPr>
        <w:ind w:left="1096" w:hanging="240"/>
      </w:pPr>
      <w:rPr>
        <w:rFonts w:hint="default"/>
        <w:lang w:val="en-US" w:eastAsia="en-US" w:bidi="ar-SA"/>
      </w:rPr>
    </w:lvl>
    <w:lvl w:ilvl="3">
      <w:start w:val="0"/>
      <w:numFmt w:val="bullet"/>
      <w:lvlText w:val="•"/>
      <w:lvlJc w:val="left"/>
      <w:pPr>
        <w:ind w:left="1434" w:hanging="240"/>
      </w:pPr>
      <w:rPr>
        <w:rFonts w:hint="default"/>
        <w:lang w:val="en-US" w:eastAsia="en-US" w:bidi="ar-SA"/>
      </w:rPr>
    </w:lvl>
    <w:lvl w:ilvl="4">
      <w:start w:val="0"/>
      <w:numFmt w:val="bullet"/>
      <w:lvlText w:val="•"/>
      <w:lvlJc w:val="left"/>
      <w:pPr>
        <w:ind w:left="1772" w:hanging="240"/>
      </w:pPr>
      <w:rPr>
        <w:rFonts w:hint="default"/>
        <w:lang w:val="en-US" w:eastAsia="en-US" w:bidi="ar-SA"/>
      </w:rPr>
    </w:lvl>
    <w:lvl w:ilvl="5">
      <w:start w:val="0"/>
      <w:numFmt w:val="bullet"/>
      <w:lvlText w:val="•"/>
      <w:lvlJc w:val="left"/>
      <w:pPr>
        <w:ind w:left="2110" w:hanging="240"/>
      </w:pPr>
      <w:rPr>
        <w:rFonts w:hint="default"/>
        <w:lang w:val="en-US" w:eastAsia="en-US" w:bidi="ar-SA"/>
      </w:rPr>
    </w:lvl>
    <w:lvl w:ilvl="6">
      <w:start w:val="0"/>
      <w:numFmt w:val="bullet"/>
      <w:lvlText w:val="•"/>
      <w:lvlJc w:val="left"/>
      <w:pPr>
        <w:ind w:left="2448" w:hanging="240"/>
      </w:pPr>
      <w:rPr>
        <w:rFonts w:hint="default"/>
        <w:lang w:val="en-US" w:eastAsia="en-US" w:bidi="ar-SA"/>
      </w:rPr>
    </w:lvl>
    <w:lvl w:ilvl="7">
      <w:start w:val="0"/>
      <w:numFmt w:val="bullet"/>
      <w:lvlText w:val="•"/>
      <w:lvlJc w:val="left"/>
      <w:pPr>
        <w:ind w:left="2786" w:hanging="240"/>
      </w:pPr>
      <w:rPr>
        <w:rFonts w:hint="default"/>
        <w:lang w:val="en-US" w:eastAsia="en-US" w:bidi="ar-SA"/>
      </w:rPr>
    </w:lvl>
    <w:lvl w:ilvl="8">
      <w:start w:val="0"/>
      <w:numFmt w:val="bullet"/>
      <w:lvlText w:val="•"/>
      <w:lvlJc w:val="left"/>
      <w:pPr>
        <w:ind w:left="3124" w:hanging="240"/>
      </w:pPr>
      <w:rPr>
        <w:rFonts w:hint="default"/>
        <w:lang w:val="en-US" w:eastAsia="en-US" w:bidi="ar-SA"/>
      </w:rPr>
    </w:lvl>
  </w:abstractNum>
  <w:abstractNum w:abstractNumId="17">
    <w:multiLevelType w:val="hybridMultilevel"/>
    <w:lvl w:ilvl="0">
      <w:start w:val="3"/>
      <w:numFmt w:val="decimal"/>
      <w:lvlText w:val="%1"/>
      <w:lvlJc w:val="left"/>
      <w:pPr>
        <w:ind w:left="1549" w:hanging="1361"/>
        <w:jc w:val="left"/>
      </w:pPr>
      <w:rPr>
        <w:rFonts w:hint="default"/>
        <w:lang w:val="en-US" w:eastAsia="en-US" w:bidi="ar-SA"/>
      </w:rPr>
    </w:lvl>
    <w:lvl w:ilvl="1">
      <w:start w:val="2"/>
      <w:numFmt w:val="decimal"/>
      <w:lvlText w:val="%1.%2"/>
      <w:lvlJc w:val="left"/>
      <w:pPr>
        <w:ind w:left="1549" w:hanging="1361"/>
        <w:jc w:val="right"/>
      </w:pPr>
      <w:rPr>
        <w:rFonts w:hint="default" w:ascii="Times New Roman" w:hAnsi="Times New Roman" w:eastAsia="Times New Roman" w:cs="Times New Roman"/>
        <w:b/>
        <w:bCs/>
        <w:color w:val="009483"/>
        <w:spacing w:val="-26"/>
        <w:w w:val="100"/>
        <w:sz w:val="28"/>
        <w:szCs w:val="28"/>
        <w:u w:val="thick" w:color="0093C1"/>
        <w:lang w:val="en-US" w:eastAsia="en-US" w:bidi="ar-SA"/>
      </w:rPr>
    </w:lvl>
    <w:lvl w:ilvl="2">
      <w:start w:val="1"/>
      <w:numFmt w:val="decimal"/>
      <w:lvlText w:val="(%3)"/>
      <w:lvlJc w:val="left"/>
      <w:pPr>
        <w:ind w:left="5190" w:hanging="241"/>
        <w:jc w:val="left"/>
      </w:pPr>
      <w:rPr>
        <w:rFonts w:hint="default" w:ascii="Times New Roman" w:hAnsi="Times New Roman" w:eastAsia="Times New Roman" w:cs="Times New Roman"/>
        <w:w w:val="100"/>
        <w:sz w:val="16"/>
        <w:szCs w:val="16"/>
        <w:lang w:val="en-US" w:eastAsia="en-US" w:bidi="ar-SA"/>
      </w:rPr>
    </w:lvl>
    <w:lvl w:ilvl="3">
      <w:start w:val="0"/>
      <w:numFmt w:val="bullet"/>
      <w:lvlText w:val="•"/>
      <w:lvlJc w:val="left"/>
      <w:pPr>
        <w:ind w:left="5346" w:hanging="241"/>
      </w:pPr>
      <w:rPr>
        <w:rFonts w:hint="default"/>
        <w:lang w:val="en-US" w:eastAsia="en-US" w:bidi="ar-SA"/>
      </w:rPr>
    </w:lvl>
    <w:lvl w:ilvl="4">
      <w:start w:val="0"/>
      <w:numFmt w:val="bullet"/>
      <w:lvlText w:val="•"/>
      <w:lvlJc w:val="left"/>
      <w:pPr>
        <w:ind w:left="5420" w:hanging="241"/>
      </w:pPr>
      <w:rPr>
        <w:rFonts w:hint="default"/>
        <w:lang w:val="en-US" w:eastAsia="en-US" w:bidi="ar-SA"/>
      </w:rPr>
    </w:lvl>
    <w:lvl w:ilvl="5">
      <w:start w:val="0"/>
      <w:numFmt w:val="bullet"/>
      <w:lvlText w:val="•"/>
      <w:lvlJc w:val="left"/>
      <w:pPr>
        <w:ind w:left="5493" w:hanging="241"/>
      </w:pPr>
      <w:rPr>
        <w:rFonts w:hint="default"/>
        <w:lang w:val="en-US" w:eastAsia="en-US" w:bidi="ar-SA"/>
      </w:rPr>
    </w:lvl>
    <w:lvl w:ilvl="6">
      <w:start w:val="0"/>
      <w:numFmt w:val="bullet"/>
      <w:lvlText w:val="•"/>
      <w:lvlJc w:val="left"/>
      <w:pPr>
        <w:ind w:left="5567" w:hanging="241"/>
      </w:pPr>
      <w:rPr>
        <w:rFonts w:hint="default"/>
        <w:lang w:val="en-US" w:eastAsia="en-US" w:bidi="ar-SA"/>
      </w:rPr>
    </w:lvl>
    <w:lvl w:ilvl="7">
      <w:start w:val="0"/>
      <w:numFmt w:val="bullet"/>
      <w:lvlText w:val="•"/>
      <w:lvlJc w:val="left"/>
      <w:pPr>
        <w:ind w:left="5640" w:hanging="241"/>
      </w:pPr>
      <w:rPr>
        <w:rFonts w:hint="default"/>
        <w:lang w:val="en-US" w:eastAsia="en-US" w:bidi="ar-SA"/>
      </w:rPr>
    </w:lvl>
    <w:lvl w:ilvl="8">
      <w:start w:val="0"/>
      <w:numFmt w:val="bullet"/>
      <w:lvlText w:val="•"/>
      <w:lvlJc w:val="left"/>
      <w:pPr>
        <w:ind w:left="5714" w:hanging="241"/>
      </w:pPr>
      <w:rPr>
        <w:rFonts w:hint="default"/>
        <w:lang w:val="en-US" w:eastAsia="en-US" w:bidi="ar-SA"/>
      </w:rPr>
    </w:lvl>
  </w:abstractNum>
  <w:abstractNum w:abstractNumId="16">
    <w:multiLevelType w:val="hybridMultilevel"/>
    <w:lvl w:ilvl="0">
      <w:start w:val="5"/>
      <w:numFmt w:val="decimal"/>
      <w:lvlText w:val="%1"/>
      <w:lvlJc w:val="left"/>
      <w:pPr>
        <w:ind w:left="165" w:hanging="301"/>
        <w:jc w:val="left"/>
      </w:pPr>
      <w:rPr>
        <w:rFonts w:hint="default"/>
        <w:lang w:val="en-US" w:eastAsia="en-US" w:bidi="ar-SA"/>
      </w:rPr>
    </w:lvl>
    <w:lvl w:ilvl="1">
      <w:start w:val="1"/>
      <w:numFmt w:val="decimal"/>
      <w:lvlText w:val="%1.%2"/>
      <w:lvlJc w:val="left"/>
      <w:pPr>
        <w:ind w:left="165" w:hanging="301"/>
        <w:jc w:val="left"/>
      </w:pPr>
      <w:rPr>
        <w:rFonts w:hint="default" w:ascii="Times New Roman" w:hAnsi="Times New Roman" w:eastAsia="Times New Roman" w:cs="Times New Roman"/>
        <w:spacing w:val="-6"/>
        <w:w w:val="100"/>
        <w:sz w:val="22"/>
        <w:szCs w:val="22"/>
        <w:lang w:val="en-US" w:eastAsia="en-US" w:bidi="ar-SA"/>
      </w:rPr>
    </w:lvl>
    <w:lvl w:ilvl="2">
      <w:start w:val="1"/>
      <w:numFmt w:val="decimal"/>
      <w:lvlText w:val="(%3)"/>
      <w:lvlJc w:val="left"/>
      <w:pPr>
        <w:ind w:left="5200" w:hanging="241"/>
        <w:jc w:val="left"/>
      </w:pPr>
      <w:rPr>
        <w:rFonts w:hint="default" w:ascii="Times New Roman" w:hAnsi="Times New Roman" w:eastAsia="Times New Roman" w:cs="Times New Roman"/>
        <w:w w:val="100"/>
        <w:sz w:val="16"/>
        <w:szCs w:val="16"/>
        <w:lang w:val="en-US" w:eastAsia="en-US" w:bidi="ar-SA"/>
      </w:rPr>
    </w:lvl>
    <w:lvl w:ilvl="3">
      <w:start w:val="0"/>
      <w:numFmt w:val="bullet"/>
      <w:lvlText w:val="•"/>
      <w:lvlJc w:val="left"/>
      <w:pPr>
        <w:ind w:left="5347" w:hanging="241"/>
      </w:pPr>
      <w:rPr>
        <w:rFonts w:hint="default"/>
        <w:lang w:val="en-US" w:eastAsia="en-US" w:bidi="ar-SA"/>
      </w:rPr>
    </w:lvl>
    <w:lvl w:ilvl="4">
      <w:start w:val="0"/>
      <w:numFmt w:val="bullet"/>
      <w:lvlText w:val="•"/>
      <w:lvlJc w:val="left"/>
      <w:pPr>
        <w:ind w:left="5421" w:hanging="241"/>
      </w:pPr>
      <w:rPr>
        <w:rFonts w:hint="default"/>
        <w:lang w:val="en-US" w:eastAsia="en-US" w:bidi="ar-SA"/>
      </w:rPr>
    </w:lvl>
    <w:lvl w:ilvl="5">
      <w:start w:val="0"/>
      <w:numFmt w:val="bullet"/>
      <w:lvlText w:val="•"/>
      <w:lvlJc w:val="left"/>
      <w:pPr>
        <w:ind w:left="5495" w:hanging="241"/>
      </w:pPr>
      <w:rPr>
        <w:rFonts w:hint="default"/>
        <w:lang w:val="en-US" w:eastAsia="en-US" w:bidi="ar-SA"/>
      </w:rPr>
    </w:lvl>
    <w:lvl w:ilvl="6">
      <w:start w:val="0"/>
      <w:numFmt w:val="bullet"/>
      <w:lvlText w:val="•"/>
      <w:lvlJc w:val="left"/>
      <w:pPr>
        <w:ind w:left="5569" w:hanging="241"/>
      </w:pPr>
      <w:rPr>
        <w:rFonts w:hint="default"/>
        <w:lang w:val="en-US" w:eastAsia="en-US" w:bidi="ar-SA"/>
      </w:rPr>
    </w:lvl>
    <w:lvl w:ilvl="7">
      <w:start w:val="0"/>
      <w:numFmt w:val="bullet"/>
      <w:lvlText w:val="•"/>
      <w:lvlJc w:val="left"/>
      <w:pPr>
        <w:ind w:left="5643" w:hanging="241"/>
      </w:pPr>
      <w:rPr>
        <w:rFonts w:hint="default"/>
        <w:lang w:val="en-US" w:eastAsia="en-US" w:bidi="ar-SA"/>
      </w:rPr>
    </w:lvl>
    <w:lvl w:ilvl="8">
      <w:start w:val="0"/>
      <w:numFmt w:val="bullet"/>
      <w:lvlText w:val="•"/>
      <w:lvlJc w:val="left"/>
      <w:pPr>
        <w:ind w:left="5717" w:hanging="241"/>
      </w:pPr>
      <w:rPr>
        <w:rFonts w:hint="default"/>
        <w:lang w:val="en-US" w:eastAsia="en-US" w:bidi="ar-SA"/>
      </w:rPr>
    </w:lvl>
  </w:abstractNum>
  <w:abstractNum w:abstractNumId="15">
    <w:multiLevelType w:val="hybridMultilevel"/>
    <w:lvl w:ilvl="0">
      <w:start w:val="3"/>
      <w:numFmt w:val="decimal"/>
      <w:lvlText w:val="%1"/>
      <w:lvlJc w:val="left"/>
      <w:pPr>
        <w:ind w:left="4375" w:hanging="4196"/>
        <w:jc w:val="left"/>
      </w:pPr>
      <w:rPr>
        <w:rFonts w:hint="default"/>
        <w:lang w:val="en-US" w:eastAsia="en-US" w:bidi="ar-SA"/>
      </w:rPr>
    </w:lvl>
    <w:lvl w:ilvl="1">
      <w:start w:val="1"/>
      <w:numFmt w:val="decimal"/>
      <w:lvlText w:val="%1.%2"/>
      <w:lvlJc w:val="left"/>
      <w:pPr>
        <w:ind w:left="4375" w:hanging="4196"/>
        <w:jc w:val="left"/>
      </w:pPr>
      <w:rPr>
        <w:rFonts w:hint="default" w:ascii="Times New Roman" w:hAnsi="Times New Roman" w:eastAsia="Times New Roman" w:cs="Times New Roman"/>
        <w:b/>
        <w:bCs/>
        <w:color w:val="009483"/>
        <w:spacing w:val="-5"/>
        <w:w w:val="100"/>
        <w:sz w:val="28"/>
        <w:szCs w:val="28"/>
        <w:u w:val="thick" w:color="0093C1"/>
        <w:lang w:val="en-US" w:eastAsia="en-US" w:bidi="ar-SA"/>
      </w:rPr>
    </w:lvl>
    <w:lvl w:ilvl="2">
      <w:start w:val="1"/>
      <w:numFmt w:val="decimal"/>
      <w:lvlText w:val="(%3)"/>
      <w:lvlJc w:val="left"/>
      <w:pPr>
        <w:ind w:left="5200" w:hanging="241"/>
        <w:jc w:val="left"/>
      </w:pPr>
      <w:rPr>
        <w:rFonts w:hint="default" w:ascii="Times New Roman" w:hAnsi="Times New Roman" w:eastAsia="Times New Roman" w:cs="Times New Roman"/>
        <w:w w:val="100"/>
        <w:sz w:val="16"/>
        <w:szCs w:val="16"/>
        <w:lang w:val="en-US" w:eastAsia="en-US" w:bidi="ar-SA"/>
      </w:rPr>
    </w:lvl>
    <w:lvl w:ilvl="3">
      <w:start w:val="0"/>
      <w:numFmt w:val="bullet"/>
      <w:lvlText w:val="•"/>
      <w:lvlJc w:val="left"/>
      <w:pPr>
        <w:ind w:left="5351" w:hanging="241"/>
      </w:pPr>
      <w:rPr>
        <w:rFonts w:hint="default"/>
        <w:lang w:val="en-US" w:eastAsia="en-US" w:bidi="ar-SA"/>
      </w:rPr>
    </w:lvl>
    <w:lvl w:ilvl="4">
      <w:start w:val="0"/>
      <w:numFmt w:val="bullet"/>
      <w:lvlText w:val="•"/>
      <w:lvlJc w:val="left"/>
      <w:pPr>
        <w:ind w:left="5426" w:hanging="241"/>
      </w:pPr>
      <w:rPr>
        <w:rFonts w:hint="default"/>
        <w:lang w:val="en-US" w:eastAsia="en-US" w:bidi="ar-SA"/>
      </w:rPr>
    </w:lvl>
    <w:lvl w:ilvl="5">
      <w:start w:val="0"/>
      <w:numFmt w:val="bullet"/>
      <w:lvlText w:val="•"/>
      <w:lvlJc w:val="left"/>
      <w:pPr>
        <w:ind w:left="5502" w:hanging="241"/>
      </w:pPr>
      <w:rPr>
        <w:rFonts w:hint="default"/>
        <w:lang w:val="en-US" w:eastAsia="en-US" w:bidi="ar-SA"/>
      </w:rPr>
    </w:lvl>
    <w:lvl w:ilvl="6">
      <w:start w:val="0"/>
      <w:numFmt w:val="bullet"/>
      <w:lvlText w:val="•"/>
      <w:lvlJc w:val="left"/>
      <w:pPr>
        <w:ind w:left="5577" w:hanging="241"/>
      </w:pPr>
      <w:rPr>
        <w:rFonts w:hint="default"/>
        <w:lang w:val="en-US" w:eastAsia="en-US" w:bidi="ar-SA"/>
      </w:rPr>
    </w:lvl>
    <w:lvl w:ilvl="7">
      <w:start w:val="0"/>
      <w:numFmt w:val="bullet"/>
      <w:lvlText w:val="•"/>
      <w:lvlJc w:val="left"/>
      <w:pPr>
        <w:ind w:left="5653" w:hanging="241"/>
      </w:pPr>
      <w:rPr>
        <w:rFonts w:hint="default"/>
        <w:lang w:val="en-US" w:eastAsia="en-US" w:bidi="ar-SA"/>
      </w:rPr>
    </w:lvl>
    <w:lvl w:ilvl="8">
      <w:start w:val="0"/>
      <w:numFmt w:val="bullet"/>
      <w:lvlText w:val="•"/>
      <w:lvlJc w:val="left"/>
      <w:pPr>
        <w:ind w:left="5728" w:hanging="241"/>
      </w:pPr>
      <w:rPr>
        <w:rFonts w:hint="default"/>
        <w:lang w:val="en-US" w:eastAsia="en-US" w:bidi="ar-SA"/>
      </w:rPr>
    </w:lvl>
  </w:abstractNum>
  <w:abstractNum w:abstractNumId="14">
    <w:multiLevelType w:val="hybridMultilevel"/>
    <w:lvl w:ilvl="0">
      <w:start w:val="3"/>
      <w:numFmt w:val="decimal"/>
      <w:lvlText w:val="%1"/>
      <w:lvlJc w:val="left"/>
      <w:pPr>
        <w:ind w:left="160" w:hanging="180"/>
        <w:jc w:val="left"/>
      </w:pPr>
      <w:rPr>
        <w:rFonts w:hint="default"/>
        <w:spacing w:val="-14"/>
        <w:w w:val="100"/>
        <w:lang w:val="en-US" w:eastAsia="en-US" w:bidi="ar-SA"/>
      </w:rPr>
    </w:lvl>
    <w:lvl w:ilvl="1">
      <w:start w:val="0"/>
      <w:numFmt w:val="bullet"/>
      <w:lvlText w:val="•"/>
      <w:lvlJc w:val="left"/>
      <w:pPr>
        <w:ind w:left="520" w:hanging="180"/>
      </w:pPr>
      <w:rPr>
        <w:rFonts w:hint="default"/>
        <w:lang w:val="en-US" w:eastAsia="en-US" w:bidi="ar-SA"/>
      </w:rPr>
    </w:lvl>
    <w:lvl w:ilvl="2">
      <w:start w:val="0"/>
      <w:numFmt w:val="bullet"/>
      <w:lvlText w:val="•"/>
      <w:lvlJc w:val="left"/>
      <w:pPr>
        <w:ind w:left="492" w:hanging="180"/>
      </w:pPr>
      <w:rPr>
        <w:rFonts w:hint="default"/>
        <w:lang w:val="en-US" w:eastAsia="en-US" w:bidi="ar-SA"/>
      </w:rPr>
    </w:lvl>
    <w:lvl w:ilvl="3">
      <w:start w:val="0"/>
      <w:numFmt w:val="bullet"/>
      <w:lvlText w:val="•"/>
      <w:lvlJc w:val="left"/>
      <w:pPr>
        <w:ind w:left="464" w:hanging="180"/>
      </w:pPr>
      <w:rPr>
        <w:rFonts w:hint="default"/>
        <w:lang w:val="en-US" w:eastAsia="en-US" w:bidi="ar-SA"/>
      </w:rPr>
    </w:lvl>
    <w:lvl w:ilvl="4">
      <w:start w:val="0"/>
      <w:numFmt w:val="bullet"/>
      <w:lvlText w:val="•"/>
      <w:lvlJc w:val="left"/>
      <w:pPr>
        <w:ind w:left="436" w:hanging="180"/>
      </w:pPr>
      <w:rPr>
        <w:rFonts w:hint="default"/>
        <w:lang w:val="en-US" w:eastAsia="en-US" w:bidi="ar-SA"/>
      </w:rPr>
    </w:lvl>
    <w:lvl w:ilvl="5">
      <w:start w:val="0"/>
      <w:numFmt w:val="bullet"/>
      <w:lvlText w:val="•"/>
      <w:lvlJc w:val="left"/>
      <w:pPr>
        <w:ind w:left="409" w:hanging="180"/>
      </w:pPr>
      <w:rPr>
        <w:rFonts w:hint="default"/>
        <w:lang w:val="en-US" w:eastAsia="en-US" w:bidi="ar-SA"/>
      </w:rPr>
    </w:lvl>
    <w:lvl w:ilvl="6">
      <w:start w:val="0"/>
      <w:numFmt w:val="bullet"/>
      <w:lvlText w:val="•"/>
      <w:lvlJc w:val="left"/>
      <w:pPr>
        <w:ind w:left="381" w:hanging="180"/>
      </w:pPr>
      <w:rPr>
        <w:rFonts w:hint="default"/>
        <w:lang w:val="en-US" w:eastAsia="en-US" w:bidi="ar-SA"/>
      </w:rPr>
    </w:lvl>
    <w:lvl w:ilvl="7">
      <w:start w:val="0"/>
      <w:numFmt w:val="bullet"/>
      <w:lvlText w:val="•"/>
      <w:lvlJc w:val="left"/>
      <w:pPr>
        <w:ind w:left="353" w:hanging="180"/>
      </w:pPr>
      <w:rPr>
        <w:rFonts w:hint="default"/>
        <w:lang w:val="en-US" w:eastAsia="en-US" w:bidi="ar-SA"/>
      </w:rPr>
    </w:lvl>
    <w:lvl w:ilvl="8">
      <w:start w:val="0"/>
      <w:numFmt w:val="bullet"/>
      <w:lvlText w:val="•"/>
      <w:lvlJc w:val="left"/>
      <w:pPr>
        <w:ind w:left="326" w:hanging="180"/>
      </w:pPr>
      <w:rPr>
        <w:rFonts w:hint="default"/>
        <w:lang w:val="en-US" w:eastAsia="en-US" w:bidi="ar-SA"/>
      </w:rPr>
    </w:lvl>
  </w:abstractNum>
  <w:abstractNum w:abstractNumId="13">
    <w:multiLevelType w:val="hybridMultilevel"/>
    <w:lvl w:ilvl="0">
      <w:start w:val="1"/>
      <w:numFmt w:val="lowerLetter"/>
      <w:lvlText w:val="(%1)"/>
      <w:lvlJc w:val="left"/>
      <w:pPr>
        <w:ind w:left="389" w:hanging="240"/>
        <w:jc w:val="left"/>
      </w:pPr>
      <w:rPr>
        <w:rFonts w:hint="default" w:ascii="Times New Roman" w:hAnsi="Times New Roman" w:eastAsia="Times New Roman" w:cs="Times New Roman"/>
        <w:color w:val="231F20"/>
        <w:spacing w:val="-14"/>
        <w:w w:val="100"/>
        <w:sz w:val="12"/>
        <w:szCs w:val="12"/>
        <w:lang w:val="en-US" w:eastAsia="en-US" w:bidi="ar-SA"/>
      </w:rPr>
    </w:lvl>
    <w:lvl w:ilvl="1">
      <w:start w:val="1"/>
      <w:numFmt w:val="decimal"/>
      <w:lvlText w:val="(%2)"/>
      <w:lvlJc w:val="left"/>
      <w:pPr>
        <w:ind w:left="390" w:hanging="241"/>
        <w:jc w:val="left"/>
      </w:pPr>
      <w:rPr>
        <w:rFonts w:hint="default" w:ascii="Times New Roman" w:hAnsi="Times New Roman" w:eastAsia="Times New Roman" w:cs="Times New Roman"/>
        <w:color w:val="231F20"/>
        <w:w w:val="100"/>
        <w:sz w:val="16"/>
        <w:szCs w:val="16"/>
        <w:lang w:val="en-US" w:eastAsia="en-US" w:bidi="ar-SA"/>
      </w:rPr>
    </w:lvl>
    <w:lvl w:ilvl="2">
      <w:start w:val="1"/>
      <w:numFmt w:val="lowerLetter"/>
      <w:lvlText w:val="(%3)"/>
      <w:lvlJc w:val="left"/>
      <w:pPr>
        <w:ind w:left="410" w:hanging="240"/>
        <w:jc w:val="left"/>
      </w:pPr>
      <w:rPr>
        <w:rFonts w:hint="default" w:ascii="Times New Roman" w:hAnsi="Times New Roman" w:eastAsia="Times New Roman" w:cs="Times New Roman"/>
        <w:color w:val="231F20"/>
        <w:spacing w:val="-14"/>
        <w:w w:val="100"/>
        <w:sz w:val="12"/>
        <w:szCs w:val="12"/>
        <w:lang w:val="en-US" w:eastAsia="en-US" w:bidi="ar-SA"/>
      </w:rPr>
    </w:lvl>
    <w:lvl w:ilvl="3">
      <w:start w:val="0"/>
      <w:numFmt w:val="bullet"/>
      <w:lvlText w:val="•"/>
      <w:lvlJc w:val="left"/>
      <w:pPr>
        <w:ind w:left="113" w:hanging="240"/>
      </w:pPr>
      <w:rPr>
        <w:rFonts w:hint="default"/>
        <w:lang w:val="en-US" w:eastAsia="en-US" w:bidi="ar-SA"/>
      </w:rPr>
    </w:lvl>
    <w:lvl w:ilvl="4">
      <w:start w:val="0"/>
      <w:numFmt w:val="bullet"/>
      <w:lvlText w:val="•"/>
      <w:lvlJc w:val="left"/>
      <w:pPr>
        <w:ind w:left="-41" w:hanging="240"/>
      </w:pPr>
      <w:rPr>
        <w:rFonts w:hint="default"/>
        <w:lang w:val="en-US" w:eastAsia="en-US" w:bidi="ar-SA"/>
      </w:rPr>
    </w:lvl>
    <w:lvl w:ilvl="5">
      <w:start w:val="0"/>
      <w:numFmt w:val="bullet"/>
      <w:lvlText w:val="•"/>
      <w:lvlJc w:val="left"/>
      <w:pPr>
        <w:ind w:left="-194" w:hanging="240"/>
      </w:pPr>
      <w:rPr>
        <w:rFonts w:hint="default"/>
        <w:lang w:val="en-US" w:eastAsia="en-US" w:bidi="ar-SA"/>
      </w:rPr>
    </w:lvl>
    <w:lvl w:ilvl="6">
      <w:start w:val="0"/>
      <w:numFmt w:val="bullet"/>
      <w:lvlText w:val="•"/>
      <w:lvlJc w:val="left"/>
      <w:pPr>
        <w:ind w:left="-348" w:hanging="240"/>
      </w:pPr>
      <w:rPr>
        <w:rFonts w:hint="default"/>
        <w:lang w:val="en-US" w:eastAsia="en-US" w:bidi="ar-SA"/>
      </w:rPr>
    </w:lvl>
    <w:lvl w:ilvl="7">
      <w:start w:val="0"/>
      <w:numFmt w:val="bullet"/>
      <w:lvlText w:val="•"/>
      <w:lvlJc w:val="left"/>
      <w:pPr>
        <w:ind w:left="-501" w:hanging="240"/>
      </w:pPr>
      <w:rPr>
        <w:rFonts w:hint="default"/>
        <w:lang w:val="en-US" w:eastAsia="en-US" w:bidi="ar-SA"/>
      </w:rPr>
    </w:lvl>
    <w:lvl w:ilvl="8">
      <w:start w:val="0"/>
      <w:numFmt w:val="bullet"/>
      <w:lvlText w:val="•"/>
      <w:lvlJc w:val="left"/>
      <w:pPr>
        <w:ind w:left="-655" w:hanging="240"/>
      </w:pPr>
      <w:rPr>
        <w:rFonts w:hint="default"/>
        <w:lang w:val="en-US" w:eastAsia="en-US" w:bidi="ar-SA"/>
      </w:rPr>
    </w:lvl>
  </w:abstractNum>
  <w:abstractNum w:abstractNumId="12">
    <w:multiLevelType w:val="hybridMultilevel"/>
    <w:lvl w:ilvl="0">
      <w:start w:val="1"/>
      <w:numFmt w:val="lowerLetter"/>
      <w:lvlText w:val="(%1)"/>
      <w:lvlJc w:val="left"/>
      <w:pPr>
        <w:ind w:left="390" w:hanging="240"/>
        <w:jc w:val="left"/>
      </w:pPr>
      <w:rPr>
        <w:rFonts w:hint="default" w:ascii="Times New Roman" w:hAnsi="Times New Roman" w:eastAsia="Times New Roman" w:cs="Times New Roman"/>
        <w:color w:val="231F20"/>
        <w:spacing w:val="-14"/>
        <w:w w:val="100"/>
        <w:sz w:val="12"/>
        <w:szCs w:val="12"/>
        <w:lang w:val="en-US" w:eastAsia="en-US" w:bidi="ar-SA"/>
      </w:rPr>
    </w:lvl>
    <w:lvl w:ilvl="1">
      <w:start w:val="1"/>
      <w:numFmt w:val="decimal"/>
      <w:lvlText w:val="(%2)"/>
      <w:lvlJc w:val="left"/>
      <w:pPr>
        <w:ind w:left="390" w:hanging="241"/>
        <w:jc w:val="left"/>
      </w:pPr>
      <w:rPr>
        <w:rFonts w:hint="default" w:ascii="Times New Roman" w:hAnsi="Times New Roman" w:eastAsia="Times New Roman" w:cs="Times New Roman"/>
        <w:color w:val="231F20"/>
        <w:w w:val="100"/>
        <w:sz w:val="16"/>
        <w:szCs w:val="16"/>
        <w:lang w:val="en-US" w:eastAsia="en-US" w:bidi="ar-SA"/>
      </w:rPr>
    </w:lvl>
    <w:lvl w:ilvl="2">
      <w:start w:val="0"/>
      <w:numFmt w:val="bullet"/>
      <w:lvlText w:val="•"/>
      <w:lvlJc w:val="left"/>
      <w:pPr>
        <w:ind w:left="154" w:hanging="241"/>
      </w:pPr>
      <w:rPr>
        <w:rFonts w:hint="default"/>
        <w:lang w:val="en-US" w:eastAsia="en-US" w:bidi="ar-SA"/>
      </w:rPr>
    </w:lvl>
    <w:lvl w:ilvl="3">
      <w:start w:val="0"/>
      <w:numFmt w:val="bullet"/>
      <w:lvlText w:val="•"/>
      <w:lvlJc w:val="left"/>
      <w:pPr>
        <w:ind w:left="31" w:hanging="241"/>
      </w:pPr>
      <w:rPr>
        <w:rFonts w:hint="default"/>
        <w:lang w:val="en-US" w:eastAsia="en-US" w:bidi="ar-SA"/>
      </w:rPr>
    </w:lvl>
    <w:lvl w:ilvl="4">
      <w:start w:val="0"/>
      <w:numFmt w:val="bullet"/>
      <w:lvlText w:val="•"/>
      <w:lvlJc w:val="left"/>
      <w:pPr>
        <w:ind w:left="-92" w:hanging="241"/>
      </w:pPr>
      <w:rPr>
        <w:rFonts w:hint="default"/>
        <w:lang w:val="en-US" w:eastAsia="en-US" w:bidi="ar-SA"/>
      </w:rPr>
    </w:lvl>
    <w:lvl w:ilvl="5">
      <w:start w:val="0"/>
      <w:numFmt w:val="bullet"/>
      <w:lvlText w:val="•"/>
      <w:lvlJc w:val="left"/>
      <w:pPr>
        <w:ind w:left="-214" w:hanging="241"/>
      </w:pPr>
      <w:rPr>
        <w:rFonts w:hint="default"/>
        <w:lang w:val="en-US" w:eastAsia="en-US" w:bidi="ar-SA"/>
      </w:rPr>
    </w:lvl>
    <w:lvl w:ilvl="6">
      <w:start w:val="0"/>
      <w:numFmt w:val="bullet"/>
      <w:lvlText w:val="•"/>
      <w:lvlJc w:val="left"/>
      <w:pPr>
        <w:ind w:left="-337" w:hanging="241"/>
      </w:pPr>
      <w:rPr>
        <w:rFonts w:hint="default"/>
        <w:lang w:val="en-US" w:eastAsia="en-US" w:bidi="ar-SA"/>
      </w:rPr>
    </w:lvl>
    <w:lvl w:ilvl="7">
      <w:start w:val="0"/>
      <w:numFmt w:val="bullet"/>
      <w:lvlText w:val="•"/>
      <w:lvlJc w:val="left"/>
      <w:pPr>
        <w:ind w:left="-460" w:hanging="241"/>
      </w:pPr>
      <w:rPr>
        <w:rFonts w:hint="default"/>
        <w:lang w:val="en-US" w:eastAsia="en-US" w:bidi="ar-SA"/>
      </w:rPr>
    </w:lvl>
    <w:lvl w:ilvl="8">
      <w:start w:val="0"/>
      <w:numFmt w:val="bullet"/>
      <w:lvlText w:val="•"/>
      <w:lvlJc w:val="left"/>
      <w:pPr>
        <w:ind w:left="-583" w:hanging="241"/>
      </w:pPr>
      <w:rPr>
        <w:rFonts w:hint="default"/>
        <w:lang w:val="en-US" w:eastAsia="en-US" w:bidi="ar-SA"/>
      </w:rPr>
    </w:lvl>
  </w:abstractNum>
  <w:abstractNum w:abstractNumId="11">
    <w:multiLevelType w:val="hybridMultilevel"/>
    <w:lvl w:ilvl="0">
      <w:start w:val="1"/>
      <w:numFmt w:val="lowerLetter"/>
      <w:lvlText w:val="(%1)"/>
      <w:lvlJc w:val="left"/>
      <w:pPr>
        <w:ind w:left="439" w:hanging="240"/>
        <w:jc w:val="left"/>
      </w:pPr>
      <w:rPr>
        <w:rFonts w:hint="default" w:ascii="Times New Roman" w:hAnsi="Times New Roman" w:eastAsia="Times New Roman" w:cs="Times New Roman"/>
        <w:color w:val="231F20"/>
        <w:spacing w:val="-14"/>
        <w:w w:val="100"/>
        <w:sz w:val="12"/>
        <w:szCs w:val="12"/>
        <w:lang w:val="en-US" w:eastAsia="en-US" w:bidi="ar-SA"/>
      </w:rPr>
    </w:lvl>
    <w:lvl w:ilvl="1">
      <w:start w:val="0"/>
      <w:numFmt w:val="bullet"/>
      <w:lvlText w:val="•"/>
      <w:lvlJc w:val="left"/>
      <w:pPr>
        <w:ind w:left="571" w:hanging="240"/>
      </w:pPr>
      <w:rPr>
        <w:rFonts w:hint="default"/>
        <w:lang w:val="en-US" w:eastAsia="en-US" w:bidi="ar-SA"/>
      </w:rPr>
    </w:lvl>
    <w:lvl w:ilvl="2">
      <w:start w:val="0"/>
      <w:numFmt w:val="bullet"/>
      <w:lvlText w:val="•"/>
      <w:lvlJc w:val="left"/>
      <w:pPr>
        <w:ind w:left="701" w:hanging="240"/>
      </w:pPr>
      <w:rPr>
        <w:rFonts w:hint="default"/>
        <w:lang w:val="en-US" w:eastAsia="en-US" w:bidi="ar-SA"/>
      </w:rPr>
    </w:lvl>
    <w:lvl w:ilvl="3">
      <w:start w:val="0"/>
      <w:numFmt w:val="bullet"/>
      <w:lvlText w:val="•"/>
      <w:lvlJc w:val="left"/>
      <w:pPr>
        <w:ind w:left="832" w:hanging="240"/>
      </w:pPr>
      <w:rPr>
        <w:rFonts w:hint="default"/>
        <w:lang w:val="en-US" w:eastAsia="en-US" w:bidi="ar-SA"/>
      </w:rPr>
    </w:lvl>
    <w:lvl w:ilvl="4">
      <w:start w:val="0"/>
      <w:numFmt w:val="bullet"/>
      <w:lvlText w:val="•"/>
      <w:lvlJc w:val="left"/>
      <w:pPr>
        <w:ind w:left="963" w:hanging="240"/>
      </w:pPr>
      <w:rPr>
        <w:rFonts w:hint="default"/>
        <w:lang w:val="en-US" w:eastAsia="en-US" w:bidi="ar-SA"/>
      </w:rPr>
    </w:lvl>
    <w:lvl w:ilvl="5">
      <w:start w:val="0"/>
      <w:numFmt w:val="bullet"/>
      <w:lvlText w:val="•"/>
      <w:lvlJc w:val="left"/>
      <w:pPr>
        <w:ind w:left="1094" w:hanging="240"/>
      </w:pPr>
      <w:rPr>
        <w:rFonts w:hint="default"/>
        <w:lang w:val="en-US" w:eastAsia="en-US" w:bidi="ar-SA"/>
      </w:rPr>
    </w:lvl>
    <w:lvl w:ilvl="6">
      <w:start w:val="0"/>
      <w:numFmt w:val="bullet"/>
      <w:lvlText w:val="•"/>
      <w:lvlJc w:val="left"/>
      <w:pPr>
        <w:ind w:left="1225" w:hanging="240"/>
      </w:pPr>
      <w:rPr>
        <w:rFonts w:hint="default"/>
        <w:lang w:val="en-US" w:eastAsia="en-US" w:bidi="ar-SA"/>
      </w:rPr>
    </w:lvl>
    <w:lvl w:ilvl="7">
      <w:start w:val="0"/>
      <w:numFmt w:val="bullet"/>
      <w:lvlText w:val="•"/>
      <w:lvlJc w:val="left"/>
      <w:pPr>
        <w:ind w:left="1356" w:hanging="240"/>
      </w:pPr>
      <w:rPr>
        <w:rFonts w:hint="default"/>
        <w:lang w:val="en-US" w:eastAsia="en-US" w:bidi="ar-SA"/>
      </w:rPr>
    </w:lvl>
    <w:lvl w:ilvl="8">
      <w:start w:val="0"/>
      <w:numFmt w:val="bullet"/>
      <w:lvlText w:val="•"/>
      <w:lvlJc w:val="left"/>
      <w:pPr>
        <w:ind w:left="1487" w:hanging="240"/>
      </w:pPr>
      <w:rPr>
        <w:rFonts w:hint="default"/>
        <w:lang w:val="en-US" w:eastAsia="en-US" w:bidi="ar-SA"/>
      </w:rPr>
    </w:lvl>
  </w:abstractNum>
  <w:abstractNum w:abstractNumId="10">
    <w:multiLevelType w:val="hybridMultilevel"/>
    <w:lvl w:ilvl="0">
      <w:start w:val="2"/>
      <w:numFmt w:val="decimal"/>
      <w:lvlText w:val="%1"/>
      <w:lvlJc w:val="left"/>
      <w:pPr>
        <w:ind w:left="3316" w:hanging="3142"/>
        <w:jc w:val="left"/>
      </w:pPr>
      <w:rPr>
        <w:rFonts w:hint="default"/>
        <w:lang w:val="en-US" w:eastAsia="en-US" w:bidi="ar-SA"/>
      </w:rPr>
    </w:lvl>
    <w:lvl w:ilvl="1">
      <w:start w:val="2"/>
      <w:numFmt w:val="decimal"/>
      <w:lvlText w:val="%1.%2"/>
      <w:lvlJc w:val="left"/>
      <w:pPr>
        <w:ind w:left="3316" w:hanging="3142"/>
        <w:jc w:val="right"/>
      </w:pPr>
      <w:rPr>
        <w:rFonts w:hint="default" w:ascii="Times New Roman" w:hAnsi="Times New Roman" w:eastAsia="Times New Roman" w:cs="Times New Roman"/>
        <w:b/>
        <w:bCs/>
        <w:color w:val="009483"/>
        <w:spacing w:val="-11"/>
        <w:w w:val="100"/>
        <w:sz w:val="28"/>
        <w:szCs w:val="28"/>
        <w:u w:val="thick" w:color="0093C1"/>
        <w:lang w:val="en-US" w:eastAsia="en-US" w:bidi="ar-SA"/>
      </w:rPr>
    </w:lvl>
    <w:lvl w:ilvl="2">
      <w:start w:val="0"/>
      <w:numFmt w:val="bullet"/>
      <w:lvlText w:val="•"/>
      <w:lvlJc w:val="left"/>
      <w:pPr>
        <w:ind w:left="3827" w:hanging="3142"/>
      </w:pPr>
      <w:rPr>
        <w:rFonts w:hint="default"/>
        <w:lang w:val="en-US" w:eastAsia="en-US" w:bidi="ar-SA"/>
      </w:rPr>
    </w:lvl>
    <w:lvl w:ilvl="3">
      <w:start w:val="0"/>
      <w:numFmt w:val="bullet"/>
      <w:lvlText w:val="•"/>
      <w:lvlJc w:val="left"/>
      <w:pPr>
        <w:ind w:left="4080" w:hanging="3142"/>
      </w:pPr>
      <w:rPr>
        <w:rFonts w:hint="default"/>
        <w:lang w:val="en-US" w:eastAsia="en-US" w:bidi="ar-SA"/>
      </w:rPr>
    </w:lvl>
    <w:lvl w:ilvl="4">
      <w:start w:val="0"/>
      <w:numFmt w:val="bullet"/>
      <w:lvlText w:val="•"/>
      <w:lvlJc w:val="left"/>
      <w:pPr>
        <w:ind w:left="4334" w:hanging="3142"/>
      </w:pPr>
      <w:rPr>
        <w:rFonts w:hint="default"/>
        <w:lang w:val="en-US" w:eastAsia="en-US" w:bidi="ar-SA"/>
      </w:rPr>
    </w:lvl>
    <w:lvl w:ilvl="5">
      <w:start w:val="0"/>
      <w:numFmt w:val="bullet"/>
      <w:lvlText w:val="•"/>
      <w:lvlJc w:val="left"/>
      <w:pPr>
        <w:ind w:left="4587" w:hanging="3142"/>
      </w:pPr>
      <w:rPr>
        <w:rFonts w:hint="default"/>
        <w:lang w:val="en-US" w:eastAsia="en-US" w:bidi="ar-SA"/>
      </w:rPr>
    </w:lvl>
    <w:lvl w:ilvl="6">
      <w:start w:val="0"/>
      <w:numFmt w:val="bullet"/>
      <w:lvlText w:val="•"/>
      <w:lvlJc w:val="left"/>
      <w:pPr>
        <w:ind w:left="4841" w:hanging="3142"/>
      </w:pPr>
      <w:rPr>
        <w:rFonts w:hint="default"/>
        <w:lang w:val="en-US" w:eastAsia="en-US" w:bidi="ar-SA"/>
      </w:rPr>
    </w:lvl>
    <w:lvl w:ilvl="7">
      <w:start w:val="0"/>
      <w:numFmt w:val="bullet"/>
      <w:lvlText w:val="•"/>
      <w:lvlJc w:val="left"/>
      <w:pPr>
        <w:ind w:left="5094" w:hanging="3142"/>
      </w:pPr>
      <w:rPr>
        <w:rFonts w:hint="default"/>
        <w:lang w:val="en-US" w:eastAsia="en-US" w:bidi="ar-SA"/>
      </w:rPr>
    </w:lvl>
    <w:lvl w:ilvl="8">
      <w:start w:val="0"/>
      <w:numFmt w:val="bullet"/>
      <w:lvlText w:val="•"/>
      <w:lvlJc w:val="left"/>
      <w:pPr>
        <w:ind w:left="5348" w:hanging="3142"/>
      </w:pPr>
      <w:rPr>
        <w:rFonts w:hint="default"/>
        <w:lang w:val="en-US" w:eastAsia="en-US" w:bidi="ar-SA"/>
      </w:rPr>
    </w:lvl>
  </w:abstractNum>
  <w:abstractNum w:abstractNumId="9">
    <w:multiLevelType w:val="hybridMultilevel"/>
    <w:lvl w:ilvl="0">
      <w:start w:val="2"/>
      <w:numFmt w:val="lowerLetter"/>
      <w:lvlText w:val="(%1)"/>
      <w:lvlJc w:val="left"/>
      <w:pPr>
        <w:ind w:left="415" w:hanging="241"/>
        <w:jc w:val="left"/>
      </w:pPr>
      <w:rPr>
        <w:rFonts w:hint="default" w:ascii="Times New Roman" w:hAnsi="Times New Roman" w:eastAsia="Times New Roman" w:cs="Times New Roman"/>
        <w:color w:val="231F20"/>
        <w:w w:val="100"/>
        <w:sz w:val="12"/>
        <w:szCs w:val="12"/>
        <w:lang w:val="en-US" w:eastAsia="en-US" w:bidi="ar-SA"/>
      </w:rPr>
    </w:lvl>
    <w:lvl w:ilvl="1">
      <w:start w:val="0"/>
      <w:numFmt w:val="bullet"/>
      <w:lvlText w:val="•"/>
      <w:lvlJc w:val="left"/>
      <w:pPr>
        <w:ind w:left="831" w:hanging="241"/>
      </w:pPr>
      <w:rPr>
        <w:rFonts w:hint="default"/>
        <w:lang w:val="en-US" w:eastAsia="en-US" w:bidi="ar-SA"/>
      </w:rPr>
    </w:lvl>
    <w:lvl w:ilvl="2">
      <w:start w:val="0"/>
      <w:numFmt w:val="bullet"/>
      <w:lvlText w:val="•"/>
      <w:lvlJc w:val="left"/>
      <w:pPr>
        <w:ind w:left="1242" w:hanging="241"/>
      </w:pPr>
      <w:rPr>
        <w:rFonts w:hint="default"/>
        <w:lang w:val="en-US" w:eastAsia="en-US" w:bidi="ar-SA"/>
      </w:rPr>
    </w:lvl>
    <w:lvl w:ilvl="3">
      <w:start w:val="0"/>
      <w:numFmt w:val="bullet"/>
      <w:lvlText w:val="•"/>
      <w:lvlJc w:val="left"/>
      <w:pPr>
        <w:ind w:left="1653" w:hanging="241"/>
      </w:pPr>
      <w:rPr>
        <w:rFonts w:hint="default"/>
        <w:lang w:val="en-US" w:eastAsia="en-US" w:bidi="ar-SA"/>
      </w:rPr>
    </w:lvl>
    <w:lvl w:ilvl="4">
      <w:start w:val="0"/>
      <w:numFmt w:val="bullet"/>
      <w:lvlText w:val="•"/>
      <w:lvlJc w:val="left"/>
      <w:pPr>
        <w:ind w:left="2064" w:hanging="241"/>
      </w:pPr>
      <w:rPr>
        <w:rFonts w:hint="default"/>
        <w:lang w:val="en-US" w:eastAsia="en-US" w:bidi="ar-SA"/>
      </w:rPr>
    </w:lvl>
    <w:lvl w:ilvl="5">
      <w:start w:val="0"/>
      <w:numFmt w:val="bullet"/>
      <w:lvlText w:val="•"/>
      <w:lvlJc w:val="left"/>
      <w:pPr>
        <w:ind w:left="2475" w:hanging="241"/>
      </w:pPr>
      <w:rPr>
        <w:rFonts w:hint="default"/>
        <w:lang w:val="en-US" w:eastAsia="en-US" w:bidi="ar-SA"/>
      </w:rPr>
    </w:lvl>
    <w:lvl w:ilvl="6">
      <w:start w:val="0"/>
      <w:numFmt w:val="bullet"/>
      <w:lvlText w:val="•"/>
      <w:lvlJc w:val="left"/>
      <w:pPr>
        <w:ind w:left="2886" w:hanging="241"/>
      </w:pPr>
      <w:rPr>
        <w:rFonts w:hint="default"/>
        <w:lang w:val="en-US" w:eastAsia="en-US" w:bidi="ar-SA"/>
      </w:rPr>
    </w:lvl>
    <w:lvl w:ilvl="7">
      <w:start w:val="0"/>
      <w:numFmt w:val="bullet"/>
      <w:lvlText w:val="•"/>
      <w:lvlJc w:val="left"/>
      <w:pPr>
        <w:ind w:left="3297" w:hanging="241"/>
      </w:pPr>
      <w:rPr>
        <w:rFonts w:hint="default"/>
        <w:lang w:val="en-US" w:eastAsia="en-US" w:bidi="ar-SA"/>
      </w:rPr>
    </w:lvl>
    <w:lvl w:ilvl="8">
      <w:start w:val="0"/>
      <w:numFmt w:val="bullet"/>
      <w:lvlText w:val="•"/>
      <w:lvlJc w:val="left"/>
      <w:pPr>
        <w:ind w:left="3708" w:hanging="241"/>
      </w:pPr>
      <w:rPr>
        <w:rFonts w:hint="default"/>
        <w:lang w:val="en-US" w:eastAsia="en-US" w:bidi="ar-SA"/>
      </w:rPr>
    </w:lvl>
  </w:abstractNum>
  <w:abstractNum w:abstractNumId="8">
    <w:multiLevelType w:val="hybridMultilevel"/>
    <w:lvl w:ilvl="0">
      <w:start w:val="1"/>
      <w:numFmt w:val="lowerLetter"/>
      <w:lvlText w:val="(%1)"/>
      <w:lvlJc w:val="left"/>
      <w:pPr>
        <w:ind w:left="414" w:hanging="240"/>
        <w:jc w:val="left"/>
      </w:pPr>
      <w:rPr>
        <w:rFonts w:hint="default" w:ascii="Times New Roman" w:hAnsi="Times New Roman" w:eastAsia="Times New Roman" w:cs="Times New Roman"/>
        <w:color w:val="231F20"/>
        <w:spacing w:val="-14"/>
        <w:w w:val="100"/>
        <w:sz w:val="12"/>
        <w:szCs w:val="12"/>
        <w:lang w:val="en-US" w:eastAsia="en-US" w:bidi="ar-SA"/>
      </w:rPr>
    </w:lvl>
    <w:lvl w:ilvl="1">
      <w:start w:val="0"/>
      <w:numFmt w:val="bullet"/>
      <w:lvlText w:val="•"/>
      <w:lvlJc w:val="left"/>
      <w:pPr>
        <w:ind w:left="831" w:hanging="240"/>
      </w:pPr>
      <w:rPr>
        <w:rFonts w:hint="default"/>
        <w:lang w:val="en-US" w:eastAsia="en-US" w:bidi="ar-SA"/>
      </w:rPr>
    </w:lvl>
    <w:lvl w:ilvl="2">
      <w:start w:val="0"/>
      <w:numFmt w:val="bullet"/>
      <w:lvlText w:val="•"/>
      <w:lvlJc w:val="left"/>
      <w:pPr>
        <w:ind w:left="1242" w:hanging="240"/>
      </w:pPr>
      <w:rPr>
        <w:rFonts w:hint="default"/>
        <w:lang w:val="en-US" w:eastAsia="en-US" w:bidi="ar-SA"/>
      </w:rPr>
    </w:lvl>
    <w:lvl w:ilvl="3">
      <w:start w:val="0"/>
      <w:numFmt w:val="bullet"/>
      <w:lvlText w:val="•"/>
      <w:lvlJc w:val="left"/>
      <w:pPr>
        <w:ind w:left="1653" w:hanging="240"/>
      </w:pPr>
      <w:rPr>
        <w:rFonts w:hint="default"/>
        <w:lang w:val="en-US" w:eastAsia="en-US" w:bidi="ar-SA"/>
      </w:rPr>
    </w:lvl>
    <w:lvl w:ilvl="4">
      <w:start w:val="0"/>
      <w:numFmt w:val="bullet"/>
      <w:lvlText w:val="•"/>
      <w:lvlJc w:val="left"/>
      <w:pPr>
        <w:ind w:left="2064" w:hanging="240"/>
      </w:pPr>
      <w:rPr>
        <w:rFonts w:hint="default"/>
        <w:lang w:val="en-US" w:eastAsia="en-US" w:bidi="ar-SA"/>
      </w:rPr>
    </w:lvl>
    <w:lvl w:ilvl="5">
      <w:start w:val="0"/>
      <w:numFmt w:val="bullet"/>
      <w:lvlText w:val="•"/>
      <w:lvlJc w:val="left"/>
      <w:pPr>
        <w:ind w:left="2475" w:hanging="240"/>
      </w:pPr>
      <w:rPr>
        <w:rFonts w:hint="default"/>
        <w:lang w:val="en-US" w:eastAsia="en-US" w:bidi="ar-SA"/>
      </w:rPr>
    </w:lvl>
    <w:lvl w:ilvl="6">
      <w:start w:val="0"/>
      <w:numFmt w:val="bullet"/>
      <w:lvlText w:val="•"/>
      <w:lvlJc w:val="left"/>
      <w:pPr>
        <w:ind w:left="2886" w:hanging="240"/>
      </w:pPr>
      <w:rPr>
        <w:rFonts w:hint="default"/>
        <w:lang w:val="en-US" w:eastAsia="en-US" w:bidi="ar-SA"/>
      </w:rPr>
    </w:lvl>
    <w:lvl w:ilvl="7">
      <w:start w:val="0"/>
      <w:numFmt w:val="bullet"/>
      <w:lvlText w:val="•"/>
      <w:lvlJc w:val="left"/>
      <w:pPr>
        <w:ind w:left="3297" w:hanging="240"/>
      </w:pPr>
      <w:rPr>
        <w:rFonts w:hint="default"/>
        <w:lang w:val="en-US" w:eastAsia="en-US" w:bidi="ar-SA"/>
      </w:rPr>
    </w:lvl>
    <w:lvl w:ilvl="8">
      <w:start w:val="0"/>
      <w:numFmt w:val="bullet"/>
      <w:lvlText w:val="•"/>
      <w:lvlJc w:val="left"/>
      <w:pPr>
        <w:ind w:left="3708" w:hanging="240"/>
      </w:pPr>
      <w:rPr>
        <w:rFonts w:hint="default"/>
        <w:lang w:val="en-US" w:eastAsia="en-US" w:bidi="ar-SA"/>
      </w:rPr>
    </w:lvl>
  </w:abstractNum>
  <w:abstractNum w:abstractNumId="7">
    <w:multiLevelType w:val="hybridMultilevel"/>
    <w:lvl w:ilvl="0">
      <w:start w:val="1"/>
      <w:numFmt w:val="lowerLetter"/>
      <w:lvlText w:val="(%1)"/>
      <w:lvlJc w:val="left"/>
      <w:pPr>
        <w:ind w:left="394" w:hanging="240"/>
        <w:jc w:val="left"/>
      </w:pPr>
      <w:rPr>
        <w:rFonts w:hint="default" w:ascii="Times New Roman" w:hAnsi="Times New Roman" w:eastAsia="Times New Roman" w:cs="Times New Roman"/>
        <w:color w:val="231F20"/>
        <w:spacing w:val="-14"/>
        <w:w w:val="100"/>
        <w:sz w:val="12"/>
        <w:szCs w:val="12"/>
        <w:lang w:val="en-US" w:eastAsia="en-US" w:bidi="ar-SA"/>
      </w:rPr>
    </w:lvl>
    <w:lvl w:ilvl="1">
      <w:start w:val="1"/>
      <w:numFmt w:val="decimal"/>
      <w:lvlText w:val="(%2)"/>
      <w:lvlJc w:val="left"/>
      <w:pPr>
        <w:ind w:left="394" w:hanging="241"/>
        <w:jc w:val="left"/>
      </w:pPr>
      <w:rPr>
        <w:rFonts w:hint="default" w:ascii="Times New Roman" w:hAnsi="Times New Roman" w:eastAsia="Times New Roman" w:cs="Times New Roman"/>
        <w:color w:val="231F20"/>
        <w:w w:val="100"/>
        <w:sz w:val="16"/>
        <w:szCs w:val="16"/>
        <w:lang w:val="en-US" w:eastAsia="en-US" w:bidi="ar-SA"/>
      </w:rPr>
    </w:lvl>
    <w:lvl w:ilvl="2">
      <w:start w:val="0"/>
      <w:numFmt w:val="bullet"/>
      <w:lvlText w:val="•"/>
      <w:lvlJc w:val="left"/>
      <w:pPr>
        <w:ind w:left="244" w:hanging="241"/>
      </w:pPr>
      <w:rPr>
        <w:rFonts w:hint="default"/>
        <w:lang w:val="en-US" w:eastAsia="en-US" w:bidi="ar-SA"/>
      </w:rPr>
    </w:lvl>
    <w:lvl w:ilvl="3">
      <w:start w:val="0"/>
      <w:numFmt w:val="bullet"/>
      <w:lvlText w:val="•"/>
      <w:lvlJc w:val="left"/>
      <w:pPr>
        <w:ind w:left="166" w:hanging="241"/>
      </w:pPr>
      <w:rPr>
        <w:rFonts w:hint="default"/>
        <w:lang w:val="en-US" w:eastAsia="en-US" w:bidi="ar-SA"/>
      </w:rPr>
    </w:lvl>
    <w:lvl w:ilvl="4">
      <w:start w:val="0"/>
      <w:numFmt w:val="bullet"/>
      <w:lvlText w:val="•"/>
      <w:lvlJc w:val="left"/>
      <w:pPr>
        <w:ind w:left="88" w:hanging="241"/>
      </w:pPr>
      <w:rPr>
        <w:rFonts w:hint="default"/>
        <w:lang w:val="en-US" w:eastAsia="en-US" w:bidi="ar-SA"/>
      </w:rPr>
    </w:lvl>
    <w:lvl w:ilvl="5">
      <w:start w:val="0"/>
      <w:numFmt w:val="bullet"/>
      <w:lvlText w:val="•"/>
      <w:lvlJc w:val="left"/>
      <w:pPr>
        <w:ind w:left="10" w:hanging="241"/>
      </w:pPr>
      <w:rPr>
        <w:rFonts w:hint="default"/>
        <w:lang w:val="en-US" w:eastAsia="en-US" w:bidi="ar-SA"/>
      </w:rPr>
    </w:lvl>
    <w:lvl w:ilvl="6">
      <w:start w:val="0"/>
      <w:numFmt w:val="bullet"/>
      <w:lvlText w:val="•"/>
      <w:lvlJc w:val="left"/>
      <w:pPr>
        <w:ind w:left="-68" w:hanging="241"/>
      </w:pPr>
      <w:rPr>
        <w:rFonts w:hint="default"/>
        <w:lang w:val="en-US" w:eastAsia="en-US" w:bidi="ar-SA"/>
      </w:rPr>
    </w:lvl>
    <w:lvl w:ilvl="7">
      <w:start w:val="0"/>
      <w:numFmt w:val="bullet"/>
      <w:lvlText w:val="•"/>
      <w:lvlJc w:val="left"/>
      <w:pPr>
        <w:ind w:left="-146" w:hanging="241"/>
      </w:pPr>
      <w:rPr>
        <w:rFonts w:hint="default"/>
        <w:lang w:val="en-US" w:eastAsia="en-US" w:bidi="ar-SA"/>
      </w:rPr>
    </w:lvl>
    <w:lvl w:ilvl="8">
      <w:start w:val="0"/>
      <w:numFmt w:val="bullet"/>
      <w:lvlText w:val="•"/>
      <w:lvlJc w:val="left"/>
      <w:pPr>
        <w:ind w:left="-224" w:hanging="241"/>
      </w:pPr>
      <w:rPr>
        <w:rFonts w:hint="default"/>
        <w:lang w:val="en-US" w:eastAsia="en-US" w:bidi="ar-SA"/>
      </w:rPr>
    </w:lvl>
  </w:abstractNum>
  <w:abstractNum w:abstractNumId="6">
    <w:multiLevelType w:val="hybridMultilevel"/>
    <w:lvl w:ilvl="0">
      <w:start w:val="1"/>
      <w:numFmt w:val="decimal"/>
      <w:lvlText w:val="%1"/>
      <w:lvlJc w:val="left"/>
      <w:pPr>
        <w:ind w:left="3652" w:hanging="3453"/>
        <w:jc w:val="left"/>
      </w:pPr>
      <w:rPr>
        <w:rFonts w:hint="default"/>
        <w:lang w:val="en-US" w:eastAsia="en-US" w:bidi="ar-SA"/>
      </w:rPr>
    </w:lvl>
    <w:lvl w:ilvl="1">
      <w:start w:val="4"/>
      <w:numFmt w:val="decimal"/>
      <w:lvlText w:val="%1.%2"/>
      <w:lvlJc w:val="left"/>
      <w:pPr>
        <w:ind w:left="3652" w:hanging="3453"/>
        <w:jc w:val="left"/>
      </w:pPr>
      <w:rPr>
        <w:rFonts w:hint="default" w:ascii="Times New Roman" w:hAnsi="Times New Roman" w:eastAsia="Times New Roman" w:cs="Times New Roman"/>
        <w:b/>
        <w:bCs/>
        <w:color w:val="009483"/>
        <w:w w:val="100"/>
        <w:sz w:val="28"/>
        <w:szCs w:val="28"/>
        <w:u w:val="thick" w:color="0093C1"/>
        <w:lang w:val="en-US" w:eastAsia="en-US" w:bidi="ar-SA"/>
      </w:rPr>
    </w:lvl>
    <w:lvl w:ilvl="2">
      <w:start w:val="0"/>
      <w:numFmt w:val="bullet"/>
      <w:lvlText w:val="•"/>
      <w:lvlJc w:val="left"/>
      <w:pPr>
        <w:ind w:left="4105" w:hanging="3453"/>
      </w:pPr>
      <w:rPr>
        <w:rFonts w:hint="default"/>
        <w:lang w:val="en-US" w:eastAsia="en-US" w:bidi="ar-SA"/>
      </w:rPr>
    </w:lvl>
    <w:lvl w:ilvl="3">
      <w:start w:val="0"/>
      <w:numFmt w:val="bullet"/>
      <w:lvlText w:val="•"/>
      <w:lvlJc w:val="left"/>
      <w:pPr>
        <w:ind w:left="4327" w:hanging="3453"/>
      </w:pPr>
      <w:rPr>
        <w:rFonts w:hint="default"/>
        <w:lang w:val="en-US" w:eastAsia="en-US" w:bidi="ar-SA"/>
      </w:rPr>
    </w:lvl>
    <w:lvl w:ilvl="4">
      <w:start w:val="0"/>
      <w:numFmt w:val="bullet"/>
      <w:lvlText w:val="•"/>
      <w:lvlJc w:val="left"/>
      <w:pPr>
        <w:ind w:left="4550" w:hanging="3453"/>
      </w:pPr>
      <w:rPr>
        <w:rFonts w:hint="default"/>
        <w:lang w:val="en-US" w:eastAsia="en-US" w:bidi="ar-SA"/>
      </w:rPr>
    </w:lvl>
    <w:lvl w:ilvl="5">
      <w:start w:val="0"/>
      <w:numFmt w:val="bullet"/>
      <w:lvlText w:val="•"/>
      <w:lvlJc w:val="left"/>
      <w:pPr>
        <w:ind w:left="4772" w:hanging="3453"/>
      </w:pPr>
      <w:rPr>
        <w:rFonts w:hint="default"/>
        <w:lang w:val="en-US" w:eastAsia="en-US" w:bidi="ar-SA"/>
      </w:rPr>
    </w:lvl>
    <w:lvl w:ilvl="6">
      <w:start w:val="0"/>
      <w:numFmt w:val="bullet"/>
      <w:lvlText w:val="•"/>
      <w:lvlJc w:val="left"/>
      <w:pPr>
        <w:ind w:left="4995" w:hanging="3453"/>
      </w:pPr>
      <w:rPr>
        <w:rFonts w:hint="default"/>
        <w:lang w:val="en-US" w:eastAsia="en-US" w:bidi="ar-SA"/>
      </w:rPr>
    </w:lvl>
    <w:lvl w:ilvl="7">
      <w:start w:val="0"/>
      <w:numFmt w:val="bullet"/>
      <w:lvlText w:val="•"/>
      <w:lvlJc w:val="left"/>
      <w:pPr>
        <w:ind w:left="5217" w:hanging="3453"/>
      </w:pPr>
      <w:rPr>
        <w:rFonts w:hint="default"/>
        <w:lang w:val="en-US" w:eastAsia="en-US" w:bidi="ar-SA"/>
      </w:rPr>
    </w:lvl>
    <w:lvl w:ilvl="8">
      <w:start w:val="0"/>
      <w:numFmt w:val="bullet"/>
      <w:lvlText w:val="•"/>
      <w:lvlJc w:val="left"/>
      <w:pPr>
        <w:ind w:left="5440" w:hanging="3453"/>
      </w:pPr>
      <w:rPr>
        <w:rFonts w:hint="default"/>
        <w:lang w:val="en-US" w:eastAsia="en-US" w:bidi="ar-SA"/>
      </w:rPr>
    </w:lvl>
  </w:abstractNum>
  <w:abstractNum w:abstractNumId="5">
    <w:multiLevelType w:val="hybridMultilevel"/>
    <w:lvl w:ilvl="0">
      <w:start w:val="1"/>
      <w:numFmt w:val="lowerLetter"/>
      <w:lvlText w:val="(%1)"/>
      <w:lvlJc w:val="left"/>
      <w:pPr>
        <w:ind w:left="399" w:hanging="240"/>
        <w:jc w:val="left"/>
      </w:pPr>
      <w:rPr>
        <w:rFonts w:hint="default" w:ascii="Times New Roman" w:hAnsi="Times New Roman" w:eastAsia="Times New Roman" w:cs="Times New Roman"/>
        <w:spacing w:val="-14"/>
        <w:w w:val="100"/>
        <w:sz w:val="12"/>
        <w:szCs w:val="12"/>
        <w:lang w:val="en-US" w:eastAsia="en-US" w:bidi="ar-SA"/>
      </w:rPr>
    </w:lvl>
    <w:lvl w:ilvl="1">
      <w:start w:val="0"/>
      <w:numFmt w:val="bullet"/>
      <w:lvlText w:val="•"/>
      <w:lvlJc w:val="left"/>
      <w:pPr>
        <w:ind w:left="769" w:hanging="240"/>
      </w:pPr>
      <w:rPr>
        <w:rFonts w:hint="default"/>
        <w:lang w:val="en-US" w:eastAsia="en-US" w:bidi="ar-SA"/>
      </w:rPr>
    </w:lvl>
    <w:lvl w:ilvl="2">
      <w:start w:val="0"/>
      <w:numFmt w:val="bullet"/>
      <w:lvlText w:val="•"/>
      <w:lvlJc w:val="left"/>
      <w:pPr>
        <w:ind w:left="1139" w:hanging="240"/>
      </w:pPr>
      <w:rPr>
        <w:rFonts w:hint="default"/>
        <w:lang w:val="en-US" w:eastAsia="en-US" w:bidi="ar-SA"/>
      </w:rPr>
    </w:lvl>
    <w:lvl w:ilvl="3">
      <w:start w:val="0"/>
      <w:numFmt w:val="bullet"/>
      <w:lvlText w:val="•"/>
      <w:lvlJc w:val="left"/>
      <w:pPr>
        <w:ind w:left="1508" w:hanging="240"/>
      </w:pPr>
      <w:rPr>
        <w:rFonts w:hint="default"/>
        <w:lang w:val="en-US" w:eastAsia="en-US" w:bidi="ar-SA"/>
      </w:rPr>
    </w:lvl>
    <w:lvl w:ilvl="4">
      <w:start w:val="0"/>
      <w:numFmt w:val="bullet"/>
      <w:lvlText w:val="•"/>
      <w:lvlJc w:val="left"/>
      <w:pPr>
        <w:ind w:left="1878" w:hanging="240"/>
      </w:pPr>
      <w:rPr>
        <w:rFonts w:hint="default"/>
        <w:lang w:val="en-US" w:eastAsia="en-US" w:bidi="ar-SA"/>
      </w:rPr>
    </w:lvl>
    <w:lvl w:ilvl="5">
      <w:start w:val="0"/>
      <w:numFmt w:val="bullet"/>
      <w:lvlText w:val="•"/>
      <w:lvlJc w:val="left"/>
      <w:pPr>
        <w:ind w:left="2247" w:hanging="240"/>
      </w:pPr>
      <w:rPr>
        <w:rFonts w:hint="default"/>
        <w:lang w:val="en-US" w:eastAsia="en-US" w:bidi="ar-SA"/>
      </w:rPr>
    </w:lvl>
    <w:lvl w:ilvl="6">
      <w:start w:val="0"/>
      <w:numFmt w:val="bullet"/>
      <w:lvlText w:val="•"/>
      <w:lvlJc w:val="left"/>
      <w:pPr>
        <w:ind w:left="2617" w:hanging="240"/>
      </w:pPr>
      <w:rPr>
        <w:rFonts w:hint="default"/>
        <w:lang w:val="en-US" w:eastAsia="en-US" w:bidi="ar-SA"/>
      </w:rPr>
    </w:lvl>
    <w:lvl w:ilvl="7">
      <w:start w:val="0"/>
      <w:numFmt w:val="bullet"/>
      <w:lvlText w:val="•"/>
      <w:lvlJc w:val="left"/>
      <w:pPr>
        <w:ind w:left="2986" w:hanging="240"/>
      </w:pPr>
      <w:rPr>
        <w:rFonts w:hint="default"/>
        <w:lang w:val="en-US" w:eastAsia="en-US" w:bidi="ar-SA"/>
      </w:rPr>
    </w:lvl>
    <w:lvl w:ilvl="8">
      <w:start w:val="0"/>
      <w:numFmt w:val="bullet"/>
      <w:lvlText w:val="•"/>
      <w:lvlJc w:val="left"/>
      <w:pPr>
        <w:ind w:left="3356" w:hanging="240"/>
      </w:pPr>
      <w:rPr>
        <w:rFonts w:hint="default"/>
        <w:lang w:val="en-US" w:eastAsia="en-US" w:bidi="ar-SA"/>
      </w:rPr>
    </w:lvl>
  </w:abstractNum>
  <w:abstractNum w:abstractNumId="4">
    <w:multiLevelType w:val="hybridMultilevel"/>
    <w:lvl w:ilvl="0">
      <w:start w:val="1"/>
      <w:numFmt w:val="lowerLetter"/>
      <w:lvlText w:val="(%1)"/>
      <w:lvlJc w:val="left"/>
      <w:pPr>
        <w:ind w:left="425" w:hanging="240"/>
        <w:jc w:val="left"/>
      </w:pPr>
      <w:rPr>
        <w:rFonts w:hint="default" w:ascii="Times New Roman" w:hAnsi="Times New Roman" w:eastAsia="Times New Roman" w:cs="Times New Roman"/>
        <w:spacing w:val="-14"/>
        <w:w w:val="100"/>
        <w:sz w:val="12"/>
        <w:szCs w:val="12"/>
        <w:lang w:val="en-US" w:eastAsia="en-US" w:bidi="ar-SA"/>
      </w:rPr>
    </w:lvl>
    <w:lvl w:ilvl="1">
      <w:start w:val="0"/>
      <w:numFmt w:val="bullet"/>
      <w:lvlText w:val="•"/>
      <w:lvlJc w:val="left"/>
      <w:pPr>
        <w:ind w:left="779" w:hanging="240"/>
      </w:pPr>
      <w:rPr>
        <w:rFonts w:hint="default"/>
        <w:lang w:val="en-US" w:eastAsia="en-US" w:bidi="ar-SA"/>
      </w:rPr>
    </w:lvl>
    <w:lvl w:ilvl="2">
      <w:start w:val="0"/>
      <w:numFmt w:val="bullet"/>
      <w:lvlText w:val="•"/>
      <w:lvlJc w:val="left"/>
      <w:pPr>
        <w:ind w:left="1138" w:hanging="240"/>
      </w:pPr>
      <w:rPr>
        <w:rFonts w:hint="default"/>
        <w:lang w:val="en-US" w:eastAsia="en-US" w:bidi="ar-SA"/>
      </w:rPr>
    </w:lvl>
    <w:lvl w:ilvl="3">
      <w:start w:val="0"/>
      <w:numFmt w:val="bullet"/>
      <w:lvlText w:val="•"/>
      <w:lvlJc w:val="left"/>
      <w:pPr>
        <w:ind w:left="1498" w:hanging="240"/>
      </w:pPr>
      <w:rPr>
        <w:rFonts w:hint="default"/>
        <w:lang w:val="en-US" w:eastAsia="en-US" w:bidi="ar-SA"/>
      </w:rPr>
    </w:lvl>
    <w:lvl w:ilvl="4">
      <w:start w:val="0"/>
      <w:numFmt w:val="bullet"/>
      <w:lvlText w:val="•"/>
      <w:lvlJc w:val="left"/>
      <w:pPr>
        <w:ind w:left="1857" w:hanging="240"/>
      </w:pPr>
      <w:rPr>
        <w:rFonts w:hint="default"/>
        <w:lang w:val="en-US" w:eastAsia="en-US" w:bidi="ar-SA"/>
      </w:rPr>
    </w:lvl>
    <w:lvl w:ilvl="5">
      <w:start w:val="0"/>
      <w:numFmt w:val="bullet"/>
      <w:lvlText w:val="•"/>
      <w:lvlJc w:val="left"/>
      <w:pPr>
        <w:ind w:left="2216" w:hanging="240"/>
      </w:pPr>
      <w:rPr>
        <w:rFonts w:hint="default"/>
        <w:lang w:val="en-US" w:eastAsia="en-US" w:bidi="ar-SA"/>
      </w:rPr>
    </w:lvl>
    <w:lvl w:ilvl="6">
      <w:start w:val="0"/>
      <w:numFmt w:val="bullet"/>
      <w:lvlText w:val="•"/>
      <w:lvlJc w:val="left"/>
      <w:pPr>
        <w:ind w:left="2576" w:hanging="240"/>
      </w:pPr>
      <w:rPr>
        <w:rFonts w:hint="default"/>
        <w:lang w:val="en-US" w:eastAsia="en-US" w:bidi="ar-SA"/>
      </w:rPr>
    </w:lvl>
    <w:lvl w:ilvl="7">
      <w:start w:val="0"/>
      <w:numFmt w:val="bullet"/>
      <w:lvlText w:val="•"/>
      <w:lvlJc w:val="left"/>
      <w:pPr>
        <w:ind w:left="2935" w:hanging="240"/>
      </w:pPr>
      <w:rPr>
        <w:rFonts w:hint="default"/>
        <w:lang w:val="en-US" w:eastAsia="en-US" w:bidi="ar-SA"/>
      </w:rPr>
    </w:lvl>
    <w:lvl w:ilvl="8">
      <w:start w:val="0"/>
      <w:numFmt w:val="bullet"/>
      <w:lvlText w:val="•"/>
      <w:lvlJc w:val="left"/>
      <w:pPr>
        <w:ind w:left="3294" w:hanging="240"/>
      </w:pPr>
      <w:rPr>
        <w:rFonts w:hint="default"/>
        <w:lang w:val="en-US" w:eastAsia="en-US" w:bidi="ar-SA"/>
      </w:rPr>
    </w:lvl>
  </w:abstractNum>
  <w:abstractNum w:abstractNumId="3">
    <w:multiLevelType w:val="hybridMultilevel"/>
    <w:lvl w:ilvl="0">
      <w:start w:val="1"/>
      <w:numFmt w:val="decimal"/>
      <w:lvlText w:val="%1"/>
      <w:lvlJc w:val="left"/>
      <w:pPr>
        <w:ind w:left="9447" w:hanging="4508"/>
        <w:jc w:val="left"/>
      </w:pPr>
      <w:rPr>
        <w:rFonts w:hint="default"/>
        <w:lang w:val="en-US" w:eastAsia="en-US" w:bidi="ar-SA"/>
      </w:rPr>
    </w:lvl>
    <w:lvl w:ilvl="1">
      <w:start w:val="2"/>
      <w:numFmt w:val="decimal"/>
      <w:lvlText w:val="%1.%2"/>
      <w:lvlJc w:val="left"/>
      <w:pPr>
        <w:ind w:left="9447" w:hanging="4508"/>
        <w:jc w:val="right"/>
      </w:pPr>
      <w:rPr>
        <w:rFonts w:hint="default" w:ascii="Times New Roman" w:hAnsi="Times New Roman" w:eastAsia="Times New Roman" w:cs="Times New Roman"/>
        <w:b/>
        <w:bCs/>
        <w:color w:val="009483"/>
        <w:spacing w:val="-5"/>
        <w:w w:val="100"/>
        <w:sz w:val="28"/>
        <w:szCs w:val="28"/>
        <w:u w:val="thick" w:color="0093C1"/>
        <w:lang w:val="en-US" w:eastAsia="en-US" w:bidi="ar-SA"/>
      </w:rPr>
    </w:lvl>
    <w:lvl w:ilvl="2">
      <w:start w:val="0"/>
      <w:numFmt w:val="bullet"/>
      <w:lvlText w:val="•"/>
      <w:lvlJc w:val="left"/>
      <w:pPr>
        <w:ind w:left="9684" w:hanging="4508"/>
      </w:pPr>
      <w:rPr>
        <w:rFonts w:hint="default"/>
        <w:lang w:val="en-US" w:eastAsia="en-US" w:bidi="ar-SA"/>
      </w:rPr>
    </w:lvl>
    <w:lvl w:ilvl="3">
      <w:start w:val="0"/>
      <w:numFmt w:val="bullet"/>
      <w:lvlText w:val="•"/>
      <w:lvlJc w:val="left"/>
      <w:pPr>
        <w:ind w:left="9806" w:hanging="4508"/>
      </w:pPr>
      <w:rPr>
        <w:rFonts w:hint="default"/>
        <w:lang w:val="en-US" w:eastAsia="en-US" w:bidi="ar-SA"/>
      </w:rPr>
    </w:lvl>
    <w:lvl w:ilvl="4">
      <w:start w:val="0"/>
      <w:numFmt w:val="bullet"/>
      <w:lvlText w:val="•"/>
      <w:lvlJc w:val="left"/>
      <w:pPr>
        <w:ind w:left="9928" w:hanging="4508"/>
      </w:pPr>
      <w:rPr>
        <w:rFonts w:hint="default"/>
        <w:lang w:val="en-US" w:eastAsia="en-US" w:bidi="ar-SA"/>
      </w:rPr>
    </w:lvl>
    <w:lvl w:ilvl="5">
      <w:start w:val="0"/>
      <w:numFmt w:val="bullet"/>
      <w:lvlText w:val="•"/>
      <w:lvlJc w:val="left"/>
      <w:pPr>
        <w:ind w:left="10050" w:hanging="4508"/>
      </w:pPr>
      <w:rPr>
        <w:rFonts w:hint="default"/>
        <w:lang w:val="en-US" w:eastAsia="en-US" w:bidi="ar-SA"/>
      </w:rPr>
    </w:lvl>
    <w:lvl w:ilvl="6">
      <w:start w:val="0"/>
      <w:numFmt w:val="bullet"/>
      <w:lvlText w:val="•"/>
      <w:lvlJc w:val="left"/>
      <w:pPr>
        <w:ind w:left="10172" w:hanging="4508"/>
      </w:pPr>
      <w:rPr>
        <w:rFonts w:hint="default"/>
        <w:lang w:val="en-US" w:eastAsia="en-US" w:bidi="ar-SA"/>
      </w:rPr>
    </w:lvl>
    <w:lvl w:ilvl="7">
      <w:start w:val="0"/>
      <w:numFmt w:val="bullet"/>
      <w:lvlText w:val="•"/>
      <w:lvlJc w:val="left"/>
      <w:pPr>
        <w:ind w:left="10294" w:hanging="4508"/>
      </w:pPr>
      <w:rPr>
        <w:rFonts w:hint="default"/>
        <w:lang w:val="en-US" w:eastAsia="en-US" w:bidi="ar-SA"/>
      </w:rPr>
    </w:lvl>
    <w:lvl w:ilvl="8">
      <w:start w:val="0"/>
      <w:numFmt w:val="bullet"/>
      <w:lvlText w:val="•"/>
      <w:lvlJc w:val="left"/>
      <w:pPr>
        <w:ind w:left="10416" w:hanging="4508"/>
      </w:pPr>
      <w:rPr>
        <w:rFonts w:hint="default"/>
        <w:lang w:val="en-US" w:eastAsia="en-US" w:bidi="ar-SA"/>
      </w:rPr>
    </w:lvl>
  </w:abstractNum>
  <w:abstractNum w:abstractNumId="2">
    <w:multiLevelType w:val="hybridMultilevel"/>
    <w:lvl w:ilvl="0">
      <w:start w:val="1"/>
      <w:numFmt w:val="lowerLetter"/>
      <w:lvlText w:val="(%1)"/>
      <w:lvlJc w:val="left"/>
      <w:pPr>
        <w:ind w:left="409" w:hanging="240"/>
        <w:jc w:val="left"/>
      </w:pPr>
      <w:rPr>
        <w:rFonts w:hint="default" w:ascii="Times New Roman" w:hAnsi="Times New Roman" w:eastAsia="Times New Roman" w:cs="Times New Roman"/>
        <w:spacing w:val="-14"/>
        <w:w w:val="100"/>
        <w:sz w:val="12"/>
        <w:szCs w:val="12"/>
        <w:lang w:val="en-US" w:eastAsia="en-US" w:bidi="ar-SA"/>
      </w:rPr>
    </w:lvl>
    <w:lvl w:ilvl="1">
      <w:start w:val="0"/>
      <w:numFmt w:val="bullet"/>
      <w:lvlText w:val="•"/>
      <w:lvlJc w:val="left"/>
      <w:pPr>
        <w:ind w:left="665" w:hanging="240"/>
      </w:pPr>
      <w:rPr>
        <w:rFonts w:hint="default"/>
        <w:lang w:val="en-US" w:eastAsia="en-US" w:bidi="ar-SA"/>
      </w:rPr>
    </w:lvl>
    <w:lvl w:ilvl="2">
      <w:start w:val="0"/>
      <w:numFmt w:val="bullet"/>
      <w:lvlText w:val="•"/>
      <w:lvlJc w:val="left"/>
      <w:pPr>
        <w:ind w:left="930" w:hanging="240"/>
      </w:pPr>
      <w:rPr>
        <w:rFonts w:hint="default"/>
        <w:lang w:val="en-US" w:eastAsia="en-US" w:bidi="ar-SA"/>
      </w:rPr>
    </w:lvl>
    <w:lvl w:ilvl="3">
      <w:start w:val="0"/>
      <w:numFmt w:val="bullet"/>
      <w:lvlText w:val="•"/>
      <w:lvlJc w:val="left"/>
      <w:pPr>
        <w:ind w:left="1195" w:hanging="240"/>
      </w:pPr>
      <w:rPr>
        <w:rFonts w:hint="default"/>
        <w:lang w:val="en-US" w:eastAsia="en-US" w:bidi="ar-SA"/>
      </w:rPr>
    </w:lvl>
    <w:lvl w:ilvl="4">
      <w:start w:val="0"/>
      <w:numFmt w:val="bullet"/>
      <w:lvlText w:val="•"/>
      <w:lvlJc w:val="left"/>
      <w:pPr>
        <w:ind w:left="1460" w:hanging="240"/>
      </w:pPr>
      <w:rPr>
        <w:rFonts w:hint="default"/>
        <w:lang w:val="en-US" w:eastAsia="en-US" w:bidi="ar-SA"/>
      </w:rPr>
    </w:lvl>
    <w:lvl w:ilvl="5">
      <w:start w:val="0"/>
      <w:numFmt w:val="bullet"/>
      <w:lvlText w:val="•"/>
      <w:lvlJc w:val="left"/>
      <w:pPr>
        <w:ind w:left="1725" w:hanging="240"/>
      </w:pPr>
      <w:rPr>
        <w:rFonts w:hint="default"/>
        <w:lang w:val="en-US" w:eastAsia="en-US" w:bidi="ar-SA"/>
      </w:rPr>
    </w:lvl>
    <w:lvl w:ilvl="6">
      <w:start w:val="0"/>
      <w:numFmt w:val="bullet"/>
      <w:lvlText w:val="•"/>
      <w:lvlJc w:val="left"/>
      <w:pPr>
        <w:ind w:left="1990" w:hanging="240"/>
      </w:pPr>
      <w:rPr>
        <w:rFonts w:hint="default"/>
        <w:lang w:val="en-US" w:eastAsia="en-US" w:bidi="ar-SA"/>
      </w:rPr>
    </w:lvl>
    <w:lvl w:ilvl="7">
      <w:start w:val="0"/>
      <w:numFmt w:val="bullet"/>
      <w:lvlText w:val="•"/>
      <w:lvlJc w:val="left"/>
      <w:pPr>
        <w:ind w:left="2255" w:hanging="240"/>
      </w:pPr>
      <w:rPr>
        <w:rFonts w:hint="default"/>
        <w:lang w:val="en-US" w:eastAsia="en-US" w:bidi="ar-SA"/>
      </w:rPr>
    </w:lvl>
    <w:lvl w:ilvl="8">
      <w:start w:val="0"/>
      <w:numFmt w:val="bullet"/>
      <w:lvlText w:val="•"/>
      <w:lvlJc w:val="left"/>
      <w:pPr>
        <w:ind w:left="2520" w:hanging="240"/>
      </w:pPr>
      <w:rPr>
        <w:rFonts w:hint="default"/>
        <w:lang w:val="en-US" w:eastAsia="en-US" w:bidi="ar-SA"/>
      </w:rPr>
    </w:lvl>
  </w:abstractNum>
  <w:abstractNum w:abstractNumId="1">
    <w:multiLevelType w:val="hybridMultilevel"/>
    <w:lvl w:ilvl="0">
      <w:start w:val="1"/>
      <w:numFmt w:val="lowerLetter"/>
      <w:lvlText w:val="(%1)"/>
      <w:lvlJc w:val="left"/>
      <w:pPr>
        <w:ind w:left="409" w:hanging="240"/>
        <w:jc w:val="left"/>
      </w:pPr>
      <w:rPr>
        <w:rFonts w:hint="default" w:ascii="Times New Roman" w:hAnsi="Times New Roman" w:eastAsia="Times New Roman" w:cs="Times New Roman"/>
        <w:spacing w:val="-14"/>
        <w:w w:val="100"/>
        <w:sz w:val="12"/>
        <w:szCs w:val="12"/>
        <w:lang w:val="en-US" w:eastAsia="en-US" w:bidi="ar-SA"/>
      </w:rPr>
    </w:lvl>
    <w:lvl w:ilvl="1">
      <w:start w:val="0"/>
      <w:numFmt w:val="bullet"/>
      <w:lvlText w:val="•"/>
      <w:lvlJc w:val="left"/>
      <w:pPr>
        <w:ind w:left="717" w:hanging="240"/>
      </w:pPr>
      <w:rPr>
        <w:rFonts w:hint="default"/>
        <w:lang w:val="en-US" w:eastAsia="en-US" w:bidi="ar-SA"/>
      </w:rPr>
    </w:lvl>
    <w:lvl w:ilvl="2">
      <w:start w:val="0"/>
      <w:numFmt w:val="bullet"/>
      <w:lvlText w:val="•"/>
      <w:lvlJc w:val="left"/>
      <w:pPr>
        <w:ind w:left="1034" w:hanging="240"/>
      </w:pPr>
      <w:rPr>
        <w:rFonts w:hint="default"/>
        <w:lang w:val="en-US" w:eastAsia="en-US" w:bidi="ar-SA"/>
      </w:rPr>
    </w:lvl>
    <w:lvl w:ilvl="3">
      <w:start w:val="0"/>
      <w:numFmt w:val="bullet"/>
      <w:lvlText w:val="•"/>
      <w:lvlJc w:val="left"/>
      <w:pPr>
        <w:ind w:left="1351" w:hanging="240"/>
      </w:pPr>
      <w:rPr>
        <w:rFonts w:hint="default"/>
        <w:lang w:val="en-US" w:eastAsia="en-US" w:bidi="ar-SA"/>
      </w:rPr>
    </w:lvl>
    <w:lvl w:ilvl="4">
      <w:start w:val="0"/>
      <w:numFmt w:val="bullet"/>
      <w:lvlText w:val="•"/>
      <w:lvlJc w:val="left"/>
      <w:pPr>
        <w:ind w:left="1668" w:hanging="240"/>
      </w:pPr>
      <w:rPr>
        <w:rFonts w:hint="default"/>
        <w:lang w:val="en-US" w:eastAsia="en-US" w:bidi="ar-SA"/>
      </w:rPr>
    </w:lvl>
    <w:lvl w:ilvl="5">
      <w:start w:val="0"/>
      <w:numFmt w:val="bullet"/>
      <w:lvlText w:val="•"/>
      <w:lvlJc w:val="left"/>
      <w:pPr>
        <w:ind w:left="1986" w:hanging="240"/>
      </w:pPr>
      <w:rPr>
        <w:rFonts w:hint="default"/>
        <w:lang w:val="en-US" w:eastAsia="en-US" w:bidi="ar-SA"/>
      </w:rPr>
    </w:lvl>
    <w:lvl w:ilvl="6">
      <w:start w:val="0"/>
      <w:numFmt w:val="bullet"/>
      <w:lvlText w:val="•"/>
      <w:lvlJc w:val="left"/>
      <w:pPr>
        <w:ind w:left="2303" w:hanging="240"/>
      </w:pPr>
      <w:rPr>
        <w:rFonts w:hint="default"/>
        <w:lang w:val="en-US" w:eastAsia="en-US" w:bidi="ar-SA"/>
      </w:rPr>
    </w:lvl>
    <w:lvl w:ilvl="7">
      <w:start w:val="0"/>
      <w:numFmt w:val="bullet"/>
      <w:lvlText w:val="•"/>
      <w:lvlJc w:val="left"/>
      <w:pPr>
        <w:ind w:left="2620" w:hanging="240"/>
      </w:pPr>
      <w:rPr>
        <w:rFonts w:hint="default"/>
        <w:lang w:val="en-US" w:eastAsia="en-US" w:bidi="ar-SA"/>
      </w:rPr>
    </w:lvl>
    <w:lvl w:ilvl="8">
      <w:start w:val="0"/>
      <w:numFmt w:val="bullet"/>
      <w:lvlText w:val="•"/>
      <w:lvlJc w:val="left"/>
      <w:pPr>
        <w:ind w:left="2937" w:hanging="240"/>
      </w:pPr>
      <w:rPr>
        <w:rFonts w:hint="default"/>
        <w:lang w:val="en-US" w:eastAsia="en-US" w:bidi="ar-SA"/>
      </w:rPr>
    </w:lvl>
  </w:abstractNum>
  <w:abstractNum w:abstractNumId="0">
    <w:multiLevelType w:val="hybridMultilevel"/>
    <w:lvl w:ilvl="0">
      <w:start w:val="0"/>
      <w:numFmt w:val="decimal"/>
      <w:lvlText w:val="%1"/>
      <w:lvlJc w:val="left"/>
      <w:pPr>
        <w:ind w:left="160" w:hanging="360"/>
        <w:jc w:val="left"/>
      </w:pPr>
      <w:rPr>
        <w:rFonts w:hint="default"/>
        <w:lang w:val="en-US" w:eastAsia="en-US" w:bidi="ar-SA"/>
      </w:rPr>
    </w:lvl>
    <w:lvl w:ilvl="1">
      <w:start w:val="2"/>
      <w:numFmt w:val="decimal"/>
      <w:lvlText w:val="%1.%2"/>
      <w:lvlJc w:val="left"/>
      <w:pPr>
        <w:ind w:left="160" w:hanging="360"/>
        <w:jc w:val="left"/>
      </w:pPr>
      <w:rPr>
        <w:rFonts w:hint="default" w:ascii="Times New Roman" w:hAnsi="Times New Roman" w:eastAsia="Times New Roman" w:cs="Times New Roman"/>
        <w:color w:val="231F20"/>
        <w:spacing w:val="-6"/>
        <w:w w:val="100"/>
        <w:sz w:val="24"/>
        <w:szCs w:val="24"/>
        <w:lang w:val="en-US" w:eastAsia="en-US" w:bidi="ar-SA"/>
      </w:rPr>
    </w:lvl>
    <w:lvl w:ilvl="2">
      <w:start w:val="1"/>
      <w:numFmt w:val="decimal"/>
      <w:lvlText w:val="%3"/>
      <w:lvlJc w:val="left"/>
      <w:pPr>
        <w:ind w:left="5369" w:hanging="380"/>
        <w:jc w:val="left"/>
      </w:pPr>
      <w:rPr>
        <w:rFonts w:hint="default" w:ascii="Times New Roman" w:hAnsi="Times New Roman" w:eastAsia="Times New Roman" w:cs="Times New Roman"/>
        <w:b/>
        <w:bCs/>
        <w:color w:val="0093C1"/>
        <w:spacing w:val="-6"/>
        <w:w w:val="100"/>
        <w:sz w:val="24"/>
        <w:szCs w:val="24"/>
        <w:lang w:val="en-US" w:eastAsia="en-US" w:bidi="ar-SA"/>
      </w:rPr>
    </w:lvl>
    <w:lvl w:ilvl="3">
      <w:start w:val="1"/>
      <w:numFmt w:val="decimal"/>
      <w:lvlText w:val="%3.%4"/>
      <w:lvlJc w:val="left"/>
      <w:pPr>
        <w:ind w:left="5929" w:hanging="560"/>
        <w:jc w:val="left"/>
      </w:pPr>
      <w:rPr>
        <w:rFonts w:hint="default" w:ascii="Times New Roman" w:hAnsi="Times New Roman" w:eastAsia="Times New Roman" w:cs="Times New Roman"/>
        <w:b/>
        <w:bCs/>
        <w:color w:val="231F20"/>
        <w:spacing w:val="-4"/>
        <w:w w:val="100"/>
        <w:sz w:val="24"/>
        <w:szCs w:val="24"/>
        <w:lang w:val="en-US" w:eastAsia="en-US" w:bidi="ar-SA"/>
      </w:rPr>
    </w:lvl>
    <w:lvl w:ilvl="4">
      <w:start w:val="0"/>
      <w:numFmt w:val="bullet"/>
      <w:lvlText w:val="•"/>
      <w:lvlJc w:val="left"/>
      <w:pPr>
        <w:ind w:left="5895" w:hanging="560"/>
      </w:pPr>
      <w:rPr>
        <w:rFonts w:hint="default"/>
        <w:lang w:val="en-US" w:eastAsia="en-US" w:bidi="ar-SA"/>
      </w:rPr>
    </w:lvl>
    <w:lvl w:ilvl="5">
      <w:start w:val="0"/>
      <w:numFmt w:val="bullet"/>
      <w:lvlText w:val="•"/>
      <w:lvlJc w:val="left"/>
      <w:pPr>
        <w:ind w:left="5882" w:hanging="560"/>
      </w:pPr>
      <w:rPr>
        <w:rFonts w:hint="default"/>
        <w:lang w:val="en-US" w:eastAsia="en-US" w:bidi="ar-SA"/>
      </w:rPr>
    </w:lvl>
    <w:lvl w:ilvl="6">
      <w:start w:val="0"/>
      <w:numFmt w:val="bullet"/>
      <w:lvlText w:val="•"/>
      <w:lvlJc w:val="left"/>
      <w:pPr>
        <w:ind w:left="5870" w:hanging="560"/>
      </w:pPr>
      <w:rPr>
        <w:rFonts w:hint="default"/>
        <w:lang w:val="en-US" w:eastAsia="en-US" w:bidi="ar-SA"/>
      </w:rPr>
    </w:lvl>
    <w:lvl w:ilvl="7">
      <w:start w:val="0"/>
      <w:numFmt w:val="bullet"/>
      <w:lvlText w:val="•"/>
      <w:lvlJc w:val="left"/>
      <w:pPr>
        <w:ind w:left="5857" w:hanging="560"/>
      </w:pPr>
      <w:rPr>
        <w:rFonts w:hint="default"/>
        <w:lang w:val="en-US" w:eastAsia="en-US" w:bidi="ar-SA"/>
      </w:rPr>
    </w:lvl>
    <w:lvl w:ilvl="8">
      <w:start w:val="0"/>
      <w:numFmt w:val="bullet"/>
      <w:lvlText w:val="•"/>
      <w:lvlJc w:val="left"/>
      <w:pPr>
        <w:ind w:left="5845" w:hanging="560"/>
      </w:pPr>
      <w:rPr>
        <w:rFonts w:hint="default"/>
        <w:lang w:val="en-US" w:eastAsia="en-US" w:bidi="ar-SA"/>
      </w:rPr>
    </w:lvl>
  </w:abstract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TOC1" w:type="paragraph">
    <w:name w:val="TOC 1"/>
    <w:basedOn w:val="Normal"/>
    <w:uiPriority w:val="1"/>
    <w:qFormat/>
    <w:pPr>
      <w:spacing w:before="55"/>
      <w:ind w:left="5369" w:hanging="381"/>
    </w:pPr>
    <w:rPr>
      <w:rFonts w:ascii="Times New Roman" w:hAnsi="Times New Roman" w:eastAsia="Times New Roman" w:cs="Times New Roman"/>
      <w:b/>
      <w:bCs/>
      <w:sz w:val="24"/>
      <w:szCs w:val="24"/>
      <w:lang w:val="en-US" w:eastAsia="en-US" w:bidi="ar-SA"/>
    </w:rPr>
  </w:style>
  <w:style w:styleId="TOC2" w:type="paragraph">
    <w:name w:val="TOC 2"/>
    <w:basedOn w:val="Normal"/>
    <w:uiPriority w:val="1"/>
    <w:qFormat/>
    <w:pPr>
      <w:spacing w:before="44"/>
      <w:ind w:left="5929" w:hanging="561"/>
    </w:pPr>
    <w:rPr>
      <w:rFonts w:ascii="Times New Roman" w:hAnsi="Times New Roman" w:eastAsia="Times New Roman" w:cs="Times New Roman"/>
      <w:b/>
      <w:bCs/>
      <w:sz w:val="24"/>
      <w:szCs w:val="24"/>
      <w:lang w:val="en-US" w:eastAsia="en-US" w:bidi="ar-SA"/>
    </w:rPr>
  </w:style>
  <w:style w:styleId="TOC3" w:type="paragraph">
    <w:name w:val="TOC 3"/>
    <w:basedOn w:val="Normal"/>
    <w:uiPriority w:val="1"/>
    <w:qFormat/>
    <w:pPr>
      <w:spacing w:before="24"/>
      <w:ind w:left="5929" w:hanging="561"/>
    </w:pPr>
    <w:rPr>
      <w:rFonts w:ascii="Times New Roman" w:hAnsi="Times New Roman" w:eastAsia="Times New Roman" w:cs="Times New Roman"/>
      <w:b/>
      <w:bCs/>
      <w:i/>
      <w:lang w:val="en-US" w:eastAsia="en-US" w:bidi="ar-SA"/>
    </w:rPr>
  </w:style>
  <w:style w:styleId="TOC4" w:type="paragraph">
    <w:name w:val="TOC 4"/>
    <w:basedOn w:val="Normal"/>
    <w:uiPriority w:val="1"/>
    <w:qFormat/>
    <w:pPr>
      <w:spacing w:before="44"/>
      <w:ind w:left="6229"/>
    </w:pPr>
    <w:rPr>
      <w:rFonts w:ascii="Times New Roman" w:hAnsi="Times New Roman" w:eastAsia="Times New Roman" w:cs="Times New Roman"/>
      <w:sz w:val="24"/>
      <w:szCs w:val="24"/>
      <w:lang w:val="en-US" w:eastAsia="en-US" w:bidi="ar-SA"/>
    </w:rPr>
  </w:style>
  <w:style w:styleId="BodyText" w:type="paragraph">
    <w:name w:val="Body Text"/>
    <w:basedOn w:val="Normal"/>
    <w:uiPriority w:val="1"/>
    <w:qFormat/>
    <w:pPr/>
    <w:rPr>
      <w:rFonts w:ascii="Times New Roman" w:hAnsi="Times New Roman" w:eastAsia="Times New Roman" w:cs="Times New Roman"/>
      <w:sz w:val="18"/>
      <w:szCs w:val="18"/>
      <w:lang w:val="en-US" w:eastAsia="en-US" w:bidi="ar-SA"/>
    </w:rPr>
  </w:style>
  <w:style w:styleId="Heading1" w:type="paragraph">
    <w:name w:val="Heading 1"/>
    <w:basedOn w:val="Normal"/>
    <w:uiPriority w:val="1"/>
    <w:qFormat/>
    <w:pPr>
      <w:spacing w:before="86"/>
      <w:ind w:left="179"/>
      <w:outlineLvl w:val="1"/>
    </w:pPr>
    <w:rPr>
      <w:rFonts w:ascii="Times New Roman" w:hAnsi="Times New Roman" w:eastAsia="Times New Roman" w:cs="Times New Roman"/>
      <w:b/>
      <w:bCs/>
      <w:sz w:val="32"/>
      <w:szCs w:val="32"/>
      <w:lang w:val="en-US" w:eastAsia="en-US" w:bidi="ar-SA"/>
    </w:rPr>
  </w:style>
  <w:style w:styleId="Heading2" w:type="paragraph">
    <w:name w:val="Heading 2"/>
    <w:basedOn w:val="Normal"/>
    <w:uiPriority w:val="1"/>
    <w:qFormat/>
    <w:pPr>
      <w:ind w:left="170"/>
      <w:outlineLvl w:val="2"/>
    </w:pPr>
    <w:rPr>
      <w:rFonts w:ascii="Times New Roman" w:hAnsi="Times New Roman" w:eastAsia="Times New Roman" w:cs="Times New Roman"/>
      <w:b/>
      <w:bCs/>
      <w:sz w:val="28"/>
      <w:szCs w:val="28"/>
      <w:u w:val="single" w:color="000000"/>
      <w:lang w:val="en-US" w:eastAsia="en-US" w:bidi="ar-SA"/>
    </w:rPr>
  </w:style>
  <w:style w:styleId="Heading3" w:type="paragraph">
    <w:name w:val="Heading 3"/>
    <w:basedOn w:val="Normal"/>
    <w:uiPriority w:val="1"/>
    <w:qFormat/>
    <w:pPr>
      <w:ind w:left="569"/>
      <w:outlineLvl w:val="3"/>
    </w:pPr>
    <w:rPr>
      <w:rFonts w:ascii="Times New Roman" w:hAnsi="Times New Roman" w:eastAsia="Times New Roman" w:cs="Times New Roman"/>
      <w:b/>
      <w:bCs/>
      <w:sz w:val="24"/>
      <w:szCs w:val="24"/>
      <w:lang w:val="en-US" w:eastAsia="en-US" w:bidi="ar-SA"/>
    </w:rPr>
  </w:style>
  <w:style w:styleId="Heading4" w:type="paragraph">
    <w:name w:val="Heading 4"/>
    <w:basedOn w:val="Normal"/>
    <w:uiPriority w:val="1"/>
    <w:qFormat/>
    <w:pPr>
      <w:ind w:left="170"/>
      <w:outlineLvl w:val="4"/>
    </w:pPr>
    <w:rPr>
      <w:rFonts w:ascii="Times New Roman" w:hAnsi="Times New Roman" w:eastAsia="Times New Roman" w:cs="Times New Roman"/>
      <w:sz w:val="24"/>
      <w:szCs w:val="24"/>
      <w:lang w:val="en-US" w:eastAsia="en-US" w:bidi="ar-SA"/>
    </w:rPr>
  </w:style>
  <w:style w:styleId="Heading5" w:type="paragraph">
    <w:name w:val="Heading 5"/>
    <w:basedOn w:val="Normal"/>
    <w:uiPriority w:val="1"/>
    <w:qFormat/>
    <w:pPr>
      <w:ind w:left="170"/>
      <w:outlineLvl w:val="5"/>
    </w:pPr>
    <w:rPr>
      <w:rFonts w:ascii="Times New Roman" w:hAnsi="Times New Roman" w:eastAsia="Times New Roman" w:cs="Times New Roman"/>
      <w:i/>
      <w:sz w:val="24"/>
      <w:szCs w:val="24"/>
      <w:lang w:val="en-US" w:eastAsia="en-US" w:bidi="ar-SA"/>
    </w:rPr>
  </w:style>
  <w:style w:styleId="Heading6" w:type="paragraph">
    <w:name w:val="Heading 6"/>
    <w:basedOn w:val="Normal"/>
    <w:uiPriority w:val="1"/>
    <w:qFormat/>
    <w:pPr>
      <w:ind w:left="180"/>
      <w:outlineLvl w:val="6"/>
    </w:pPr>
    <w:rPr>
      <w:rFonts w:ascii="Times New Roman" w:hAnsi="Times New Roman" w:eastAsia="Times New Roman" w:cs="Times New Roman"/>
      <w:b/>
      <w:bCs/>
      <w:sz w:val="22"/>
      <w:szCs w:val="22"/>
      <w:lang w:val="en-US" w:eastAsia="en-US" w:bidi="ar-SA"/>
    </w:rPr>
  </w:style>
  <w:style w:styleId="Heading7" w:type="paragraph">
    <w:name w:val="Heading 7"/>
    <w:basedOn w:val="Normal"/>
    <w:uiPriority w:val="1"/>
    <w:qFormat/>
    <w:pPr>
      <w:spacing w:before="10"/>
      <w:ind w:left="180"/>
      <w:outlineLvl w:val="7"/>
    </w:pPr>
    <w:rPr>
      <w:rFonts w:ascii="Times New Roman" w:hAnsi="Times New Roman" w:eastAsia="Times New Roman" w:cs="Times New Roman"/>
      <w:b/>
      <w:bCs/>
      <w:sz w:val="20"/>
      <w:szCs w:val="20"/>
      <w:lang w:val="en-US" w:eastAsia="en-US" w:bidi="ar-SA"/>
    </w:rPr>
  </w:style>
  <w:style w:styleId="Heading8" w:type="paragraph">
    <w:name w:val="Heading 8"/>
    <w:basedOn w:val="Normal"/>
    <w:uiPriority w:val="1"/>
    <w:qFormat/>
    <w:pPr>
      <w:spacing w:before="10"/>
      <w:ind w:left="569"/>
      <w:outlineLvl w:val="8"/>
    </w:pPr>
    <w:rPr>
      <w:rFonts w:ascii="Times New Roman" w:hAnsi="Times New Roman" w:eastAsia="Times New Roman" w:cs="Times New Roman"/>
      <w:sz w:val="20"/>
      <w:szCs w:val="20"/>
      <w:lang w:val="en-US" w:eastAsia="en-US" w:bidi="ar-SA"/>
    </w:rPr>
  </w:style>
  <w:style w:styleId="Title" w:type="paragraph">
    <w:name w:val="Title"/>
    <w:basedOn w:val="Normal"/>
    <w:uiPriority w:val="1"/>
    <w:qFormat/>
    <w:pPr>
      <w:spacing w:before="59"/>
      <w:ind w:left="3780"/>
    </w:pPr>
    <w:rPr>
      <w:rFonts w:ascii="Times New Roman" w:hAnsi="Times New Roman" w:eastAsia="Times New Roman" w:cs="Times New Roman"/>
      <w:b/>
      <w:bCs/>
      <w:sz w:val="72"/>
      <w:szCs w:val="72"/>
      <w:lang w:val="en-US" w:eastAsia="en-US" w:bidi="ar-SA"/>
    </w:rPr>
  </w:style>
  <w:style w:styleId="ListParagraph" w:type="paragraph">
    <w:name w:val="List Paragraph"/>
    <w:basedOn w:val="Normal"/>
    <w:uiPriority w:val="1"/>
    <w:qFormat/>
    <w:pPr>
      <w:ind w:left="160"/>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line="120" w:lineRule="exac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infrep.htm" TargetMode="External"/><Relationship Id="rId6" Type="http://schemas.openxmlformats.org/officeDocument/2006/relationships/hyperlink" Target="http://www.bankofengland.co.uk/ir.htm" TargetMode="Externa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footer" Target="footer4.xml"/><Relationship Id="rId11" Type="http://schemas.openxmlformats.org/officeDocument/2006/relationships/footer" Target="footer5.xml"/><Relationship Id="rId12" Type="http://schemas.openxmlformats.org/officeDocument/2006/relationships/footer" Target="footer6.xml"/><Relationship Id="rId13" Type="http://schemas.openxmlformats.org/officeDocument/2006/relationships/footer" Target="footer7.xm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footer" Target="footer8.xml"/><Relationship Id="rId17" Type="http://schemas.openxmlformats.org/officeDocument/2006/relationships/footer" Target="footer9.xml"/><Relationship Id="rId18" Type="http://schemas.openxmlformats.org/officeDocument/2006/relationships/image" Target="media/image1.png"/><Relationship Id="rId19" Type="http://schemas.openxmlformats.org/officeDocument/2006/relationships/header" Target="header3.xml"/><Relationship Id="rId20" Type="http://schemas.openxmlformats.org/officeDocument/2006/relationships/header" Target="header4.xml"/><Relationship Id="rId21" Type="http://schemas.openxmlformats.org/officeDocument/2006/relationships/footer" Target="footer10.xml"/><Relationship Id="rId22" Type="http://schemas.openxmlformats.org/officeDocument/2006/relationships/footer" Target="footer11.xml"/><Relationship Id="rId23" Type="http://schemas.openxmlformats.org/officeDocument/2006/relationships/header" Target="header5.xml"/><Relationship Id="rId24" Type="http://schemas.openxmlformats.org/officeDocument/2006/relationships/header" Target="header6.xml"/><Relationship Id="rId25" Type="http://schemas.openxmlformats.org/officeDocument/2006/relationships/footer" Target="footer12.xml"/><Relationship Id="rId26" Type="http://schemas.openxmlformats.org/officeDocument/2006/relationships/footer" Target="footer13.xml"/><Relationship Id="rId27" Type="http://schemas.openxmlformats.org/officeDocument/2006/relationships/image" Target="media/image2.png"/><Relationship Id="rId28" Type="http://schemas.openxmlformats.org/officeDocument/2006/relationships/image" Target="media/image3.png"/><Relationship Id="rId29" Type="http://schemas.openxmlformats.org/officeDocument/2006/relationships/image" Target="media/image4.png"/><Relationship Id="rId30" Type="http://schemas.openxmlformats.org/officeDocument/2006/relationships/image" Target="media/image5.png"/><Relationship Id="rId31" Type="http://schemas.openxmlformats.org/officeDocument/2006/relationships/image" Target="media/image6.png"/><Relationship Id="rId32" Type="http://schemas.openxmlformats.org/officeDocument/2006/relationships/header" Target="header7.xml"/><Relationship Id="rId33" Type="http://schemas.openxmlformats.org/officeDocument/2006/relationships/header" Target="header8.xml"/><Relationship Id="rId34" Type="http://schemas.openxmlformats.org/officeDocument/2006/relationships/footer" Target="footer14.xml"/><Relationship Id="rId35" Type="http://schemas.openxmlformats.org/officeDocument/2006/relationships/footer" Target="footer15.xml"/><Relationship Id="rId36" Type="http://schemas.openxmlformats.org/officeDocument/2006/relationships/image" Target="media/image7.png"/><Relationship Id="rId37" Type="http://schemas.openxmlformats.org/officeDocument/2006/relationships/image" Target="media/image8.png"/><Relationship Id="rId38" Type="http://schemas.openxmlformats.org/officeDocument/2006/relationships/image" Target="media/image9.png"/><Relationship Id="rId39" Type="http://schemas.openxmlformats.org/officeDocument/2006/relationships/image" Target="media/image10.png"/><Relationship Id="rId40" Type="http://schemas.openxmlformats.org/officeDocument/2006/relationships/image" Target="media/image11.png"/><Relationship Id="rId41" Type="http://schemas.openxmlformats.org/officeDocument/2006/relationships/image" Target="media/image12.png"/><Relationship Id="rId42" Type="http://schemas.openxmlformats.org/officeDocument/2006/relationships/image" Target="media/image13.png"/><Relationship Id="rId43" Type="http://schemas.openxmlformats.org/officeDocument/2006/relationships/image" Target="media/image14.png"/><Relationship Id="rId44" Type="http://schemas.openxmlformats.org/officeDocument/2006/relationships/image" Target="media/image15.png"/><Relationship Id="rId45" Type="http://schemas.openxmlformats.org/officeDocument/2006/relationships/image" Target="media/image16.png"/><Relationship Id="rId46" Type="http://schemas.openxmlformats.org/officeDocument/2006/relationships/image" Target="media/image17.png"/><Relationship Id="rId47" Type="http://schemas.openxmlformats.org/officeDocument/2006/relationships/header" Target="header9.xml"/><Relationship Id="rId48" Type="http://schemas.openxmlformats.org/officeDocument/2006/relationships/footer" Target="footer16.xml"/><Relationship Id="rId49" Type="http://schemas.openxmlformats.org/officeDocument/2006/relationships/footer" Target="footer17.xml"/><Relationship Id="rId50" Type="http://schemas.openxmlformats.org/officeDocument/2006/relationships/image" Target="media/image18.png"/><Relationship Id="rId51" Type="http://schemas.openxmlformats.org/officeDocument/2006/relationships/header" Target="header10.xml"/><Relationship Id="rId52" Type="http://schemas.openxmlformats.org/officeDocument/2006/relationships/header" Target="header11.xml"/><Relationship Id="rId53" Type="http://schemas.openxmlformats.org/officeDocument/2006/relationships/image" Target="media/image19.png"/><Relationship Id="rId54" Type="http://schemas.openxmlformats.org/officeDocument/2006/relationships/image" Target="media/image20.png"/><Relationship Id="rId55" Type="http://schemas.openxmlformats.org/officeDocument/2006/relationships/image" Target="media/image21.png"/><Relationship Id="rId56" Type="http://schemas.openxmlformats.org/officeDocument/2006/relationships/image" Target="media/image22.png"/><Relationship Id="rId57" Type="http://schemas.openxmlformats.org/officeDocument/2006/relationships/image" Target="media/image23.png"/><Relationship Id="rId58" Type="http://schemas.openxmlformats.org/officeDocument/2006/relationships/image" Target="media/image24.png"/><Relationship Id="rId59" Type="http://schemas.openxmlformats.org/officeDocument/2006/relationships/image" Target="media/image25.png"/><Relationship Id="rId60" Type="http://schemas.openxmlformats.org/officeDocument/2006/relationships/image" Target="media/image26.png"/><Relationship Id="rId61" Type="http://schemas.openxmlformats.org/officeDocument/2006/relationships/image" Target="media/image27.png"/><Relationship Id="rId62" Type="http://schemas.openxmlformats.org/officeDocument/2006/relationships/footer" Target="footer18.xml"/><Relationship Id="rId63" Type="http://schemas.openxmlformats.org/officeDocument/2006/relationships/footer" Target="footer19.xml"/><Relationship Id="rId64" Type="http://schemas.openxmlformats.org/officeDocument/2006/relationships/header" Target="header12.xml"/><Relationship Id="rId65" Type="http://schemas.openxmlformats.org/officeDocument/2006/relationships/header" Target="header13.xml"/><Relationship Id="rId66" Type="http://schemas.openxmlformats.org/officeDocument/2006/relationships/header" Target="header14.xml"/><Relationship Id="rId67" Type="http://schemas.openxmlformats.org/officeDocument/2006/relationships/header" Target="header15.xml"/><Relationship Id="rId68" Type="http://schemas.openxmlformats.org/officeDocument/2006/relationships/footer" Target="footer20.xml"/><Relationship Id="rId69" Type="http://schemas.openxmlformats.org/officeDocument/2006/relationships/footer" Target="footer21.xml"/><Relationship Id="rId70" Type="http://schemas.openxmlformats.org/officeDocument/2006/relationships/image" Target="media/image28.png"/><Relationship Id="rId71" Type="http://schemas.openxmlformats.org/officeDocument/2006/relationships/image" Target="media/image29.png"/><Relationship Id="rId72" Type="http://schemas.openxmlformats.org/officeDocument/2006/relationships/image" Target="media/image30.png"/><Relationship Id="rId73" Type="http://schemas.openxmlformats.org/officeDocument/2006/relationships/header" Target="header16.xml"/><Relationship Id="rId74" Type="http://schemas.openxmlformats.org/officeDocument/2006/relationships/footer" Target="footer22.xml"/><Relationship Id="rId75" Type="http://schemas.openxmlformats.org/officeDocument/2006/relationships/footer" Target="footer23.xml"/><Relationship Id="rId76" Type="http://schemas.openxmlformats.org/officeDocument/2006/relationships/header" Target="header17.xml"/><Relationship Id="rId77" Type="http://schemas.openxmlformats.org/officeDocument/2006/relationships/header" Target="header18.xml"/><Relationship Id="rId78" Type="http://schemas.openxmlformats.org/officeDocument/2006/relationships/footer" Target="footer24.xml"/><Relationship Id="rId79" Type="http://schemas.openxmlformats.org/officeDocument/2006/relationships/footer" Target="footer25.xml"/><Relationship Id="rId80" Type="http://schemas.openxmlformats.org/officeDocument/2006/relationships/header" Target="header19.xml"/><Relationship Id="rId81" Type="http://schemas.openxmlformats.org/officeDocument/2006/relationships/header" Target="header20.xml"/><Relationship Id="rId82" Type="http://schemas.openxmlformats.org/officeDocument/2006/relationships/footer" Target="footer26.xml"/><Relationship Id="rId83" Type="http://schemas.openxmlformats.org/officeDocument/2006/relationships/footer" Target="footer27.xml"/><Relationship Id="rId84" Type="http://schemas.openxmlformats.org/officeDocument/2006/relationships/image" Target="media/image31.png"/><Relationship Id="rId85" Type="http://schemas.openxmlformats.org/officeDocument/2006/relationships/header" Target="header21.xml"/><Relationship Id="rId86" Type="http://schemas.openxmlformats.org/officeDocument/2006/relationships/header" Target="header22.xml"/><Relationship Id="rId87" Type="http://schemas.openxmlformats.org/officeDocument/2006/relationships/footer" Target="footer28.xml"/><Relationship Id="rId88" Type="http://schemas.openxmlformats.org/officeDocument/2006/relationships/footer" Target="footer29.xml"/><Relationship Id="rId89" Type="http://schemas.openxmlformats.org/officeDocument/2006/relationships/header" Target="header23.xml"/><Relationship Id="rId90" Type="http://schemas.openxmlformats.org/officeDocument/2006/relationships/footer" Target="footer30.xml"/><Relationship Id="rId91" Type="http://schemas.openxmlformats.org/officeDocument/2006/relationships/footer" Target="footer31.xml"/><Relationship Id="rId92" Type="http://schemas.openxmlformats.org/officeDocument/2006/relationships/header" Target="header24.xml"/><Relationship Id="rId93" Type="http://schemas.openxmlformats.org/officeDocument/2006/relationships/header" Target="header25.xml"/><Relationship Id="rId94" Type="http://schemas.openxmlformats.org/officeDocument/2006/relationships/image" Target="media/image32.png"/><Relationship Id="rId95" Type="http://schemas.openxmlformats.org/officeDocument/2006/relationships/image" Target="media/image33.png"/><Relationship Id="rId96" Type="http://schemas.openxmlformats.org/officeDocument/2006/relationships/footer" Target="footer32.xml"/><Relationship Id="rId97" Type="http://schemas.openxmlformats.org/officeDocument/2006/relationships/footer" Target="footer33.xml"/><Relationship Id="rId98" Type="http://schemas.openxmlformats.org/officeDocument/2006/relationships/image" Target="media/image34.png"/><Relationship Id="rId99" Type="http://schemas.openxmlformats.org/officeDocument/2006/relationships/header" Target="header26.xml"/><Relationship Id="rId100" Type="http://schemas.openxmlformats.org/officeDocument/2006/relationships/footer" Target="footer34.xml"/><Relationship Id="rId101" Type="http://schemas.openxmlformats.org/officeDocument/2006/relationships/footer" Target="footer35.xml"/><Relationship Id="rId102" Type="http://schemas.openxmlformats.org/officeDocument/2006/relationships/header" Target="header27.xml"/><Relationship Id="rId103" Type="http://schemas.openxmlformats.org/officeDocument/2006/relationships/header" Target="header28.xml"/><Relationship Id="rId104" Type="http://schemas.openxmlformats.org/officeDocument/2006/relationships/footer" Target="footer36.xml"/><Relationship Id="rId105" Type="http://schemas.openxmlformats.org/officeDocument/2006/relationships/footer" Target="footer37.xml"/><Relationship Id="rId106" Type="http://schemas.openxmlformats.org/officeDocument/2006/relationships/header" Target="header29.xml"/><Relationship Id="rId107" Type="http://schemas.openxmlformats.org/officeDocument/2006/relationships/header" Target="header30.xml"/><Relationship Id="rId108" Type="http://schemas.openxmlformats.org/officeDocument/2006/relationships/header" Target="header31.xml"/><Relationship Id="rId109" Type="http://schemas.openxmlformats.org/officeDocument/2006/relationships/footer" Target="footer38.xml"/><Relationship Id="rId110" Type="http://schemas.openxmlformats.org/officeDocument/2006/relationships/footer" Target="footer39.xml"/><Relationship Id="rId111" Type="http://schemas.openxmlformats.org/officeDocument/2006/relationships/image" Target="media/image35.png"/><Relationship Id="rId112" Type="http://schemas.openxmlformats.org/officeDocument/2006/relationships/header" Target="header32.xml"/><Relationship Id="rId113" Type="http://schemas.openxmlformats.org/officeDocument/2006/relationships/header" Target="header33.xml"/><Relationship Id="rId114" Type="http://schemas.openxmlformats.org/officeDocument/2006/relationships/footer" Target="footer40.xml"/><Relationship Id="rId115" Type="http://schemas.openxmlformats.org/officeDocument/2006/relationships/footer" Target="footer41.xml"/><Relationship Id="rId116" Type="http://schemas.openxmlformats.org/officeDocument/2006/relationships/image" Target="media/image36.png"/><Relationship Id="rId117" Type="http://schemas.openxmlformats.org/officeDocument/2006/relationships/image" Target="media/image37.png"/><Relationship Id="rId118" Type="http://schemas.openxmlformats.org/officeDocument/2006/relationships/header" Target="header34.xml"/><Relationship Id="rId119" Type="http://schemas.openxmlformats.org/officeDocument/2006/relationships/footer" Target="footer42.xml"/><Relationship Id="rId120" Type="http://schemas.openxmlformats.org/officeDocument/2006/relationships/image" Target="media/image38.png"/><Relationship Id="rId121" Type="http://schemas.openxmlformats.org/officeDocument/2006/relationships/header" Target="header35.xml"/><Relationship Id="rId122" Type="http://schemas.openxmlformats.org/officeDocument/2006/relationships/header" Target="header36.xml"/><Relationship Id="rId123" Type="http://schemas.openxmlformats.org/officeDocument/2006/relationships/footer" Target="footer43.xml"/><Relationship Id="rId124" Type="http://schemas.openxmlformats.org/officeDocument/2006/relationships/footer" Target="footer44.xml"/><Relationship Id="rId125" Type="http://schemas.openxmlformats.org/officeDocument/2006/relationships/header" Target="header37.xml"/><Relationship Id="rId126" Type="http://schemas.openxmlformats.org/officeDocument/2006/relationships/footer" Target="footer45.xml"/><Relationship Id="rId127" Type="http://schemas.openxmlformats.org/officeDocument/2006/relationships/hyperlink" Target="mailto:mapublications@bankofengland.co.uk" TargetMode="External"/><Relationship Id="rId128" Type="http://schemas.openxmlformats.org/officeDocument/2006/relationships/hyperlink" Target="http://www.bankofengland.co.uk/" TargetMode="External"/><Relationship Id="rId12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MPC</dc:creator>
  <dc:subject>Inflation Report Feb99</dc:subject>
  <dc:title>Inflation Report</dc:title>
  <dcterms:created xsi:type="dcterms:W3CDTF">2020-06-02T23:02:16Z</dcterms:created>
  <dcterms:modified xsi:type="dcterms:W3CDTF">2020-06-02T23:02:16Z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1999-02-09T00:00:00Z</vt:filetime>
  </property>
  <property fmtid="{D5CDD505-2E9C-101B-9397-08002B2CF9AE}" pid="3" name="Creator">
    <vt:lpwstr>QuarkXPressª: PSPrinter 8.3.1</vt:lpwstr>
  </property>
  <property fmtid="{D5CDD505-2E9C-101B-9397-08002B2CF9AE}" pid="4" name="LastSaved">
    <vt:filetime>2020-06-02T00:00:00Z</vt:filetime>
  </property>
</Properties>
</file>